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Securities and Exchange Commission on July 8, 2026</w:t>
      </w:r>
    </w:p>
    <w:p>
      <w:pPr>
        <w:pStyle w:val="TextBody"/>
        <w:keepNext w:val="false"/>
        <w:pageBreakBefore w:val="false"/>
        <w:widowControl/>
        <w:pBdr/>
        <w:bidi w:val="0"/>
        <w:spacing w:before="0" w:after="283"/>
        <w:ind w:left="0" w:right="0" w:hanging="0"/>
        <w:jc w:val="right"/>
        <w:rPr>
          <w:rFonts w:ascii="Times New Roman PS Std;serif" w:hAnsi="Times New Roman PS Std;serif"/>
          <w:b w:val="false"/>
          <w:i w:val="false"/>
          <w:caps w:val="false"/>
          <w:smallCaps w:val="false"/>
          <w:sz w:val="20"/>
          <w:bdr w:val="double" w:sz="16" w:space="4" w:color="000000"/>
        </w:rPr>
      </w:pPr>
      <w:r>
        <w:rPr>
          <w:rFonts w:ascii="Times New Roman PS Std;serif" w:hAnsi="Times New Roman PS Std;serif"/>
          <w:b/>
          <w:i w:val="false"/>
          <w:caps w:val="false"/>
          <w:smallCaps w:val="false"/>
          <w:sz w:val="20"/>
          <w:bdr w:val="double" w:sz="16" w:space="4" w:color="000000"/>
        </w:rPr>
        <w:t>Registration</w:t>
      </w:r>
      <w:r>
        <w:rPr>
          <w:rFonts w:ascii="Times New Roman PS Std;serif" w:hAnsi="Times New Roman PS Std;serif"/>
          <w:b w:val="false"/>
          <w:i w:val="false"/>
          <w:caps w:val="false"/>
          <w:smallCaps w:val="false"/>
          <w:sz w:val="20"/>
          <w:bdr w:val="double" w:sz="16" w:space="4" w:color="000000"/>
        </w:rPr>
        <w:t xml:space="preserve"> </w:t>
      </w:r>
      <w:r>
        <w:rPr>
          <w:rFonts w:ascii="Times New Roman PS Std;serif" w:hAnsi="Times New Roman PS Std;serif"/>
          <w:b/>
          <w:i w:val="false"/>
          <w:caps w:val="false"/>
          <w:smallCaps w:val="false"/>
          <w:sz w:val="20"/>
          <w:bdr w:val="double" w:sz="16" w:space="4" w:color="000000"/>
        </w:rPr>
        <w:t>No. 333-296284</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2</w:t>
        <w:br/>
        <w:t>to</w:t>
        <w:br/>
        <w:t>FORM S-4</w:t>
        <w:br/>
        <w:t>REGISTRATION STATEMENT</w:t>
        <w:br/>
      </w:r>
      <w:r>
        <w:rPr>
          <w:rFonts w:ascii="Times New Roman PS Std;serif" w:hAnsi="Times New Roman PS Std;serif"/>
          <w:b/>
          <w:i/>
          <w:caps w:val="false"/>
          <w:smallCaps w:val="false"/>
          <w:sz w:val="20"/>
        </w:rPr>
        <w:t>UNDER</w:t>
        <w:br/>
        <w:t>THE SECURITIES ACT OF 1933</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SoundHound AI,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(Exact Name of Registrant as Specified in Its Charter)</w:t>
      </w:r>
    </w:p>
    <w:p>
      <w:pPr>
        <w:pStyle w:val="TextBody"/>
        <w:keepNext w:val="true"/>
        <w:pageBreakBefore w:val="false"/>
        <w:widowControl/>
        <w:pBdr/>
        <w:bidi w:val="0"/>
        <w:spacing w:before="60" w:after="283"/>
        <w:jc w:val="center"/>
        <w:rPr>
          <w:caps w:val="false"/>
          <w:smallCaps w:val="false"/>
        </w:rPr>
      </w:pPr>
      <w:r>
        <w:rPr>
          <w:caps w:val="false"/>
          <w:smallCaps w:val="false"/>
        </w:rPr>
        <w:t>––––––––––––––––––––––––––––––––––––––––––––––––––</w:t>
      </w:r>
    </w:p>
    <w:tbl>
      <w:tblPr>
        <w:tblW w:w="9640" w:type="dxa"/>
        <w:jc w:val="left"/>
        <w:tblInd w:w="0" w:type="dxa"/>
        <w:tblLayout w:type="fixed"/>
        <w:tblCellMar>
          <w:top w:w="0" w:type="dxa"/>
          <w:left w:w="0" w:type="dxa"/>
          <w:bottom w:w="0" w:type="dxa"/>
          <w:right w:w="0" w:type="dxa"/>
        </w:tblCellMar>
      </w:tblPr>
      <w:tblGrid>
        <w:gridCol w:w="3406"/>
        <w:gridCol w:w="146"/>
        <w:gridCol w:w="3301"/>
        <w:gridCol w:w="146"/>
        <w:gridCol w:w="2641"/>
      </w:tblGrid>
      <w:tr>
        <w:trPr/>
        <w:tc>
          <w:tcPr>
            <w:tcW w:w="3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7372</w:t>
            </w:r>
          </w:p>
        </w:tc>
        <w:tc>
          <w:tcPr>
            <w:tcW w:w="146" w:type="dxa"/>
            <w:tcBorders/>
            <w:vAlign w:val="bottom"/>
          </w:tcPr>
          <w:p>
            <w:pPr>
              <w:pStyle w:val="TableContents"/>
              <w:bidi w:val="0"/>
              <w:spacing w:before="0" w:after="283"/>
              <w:jc w:val="left"/>
              <w:rPr/>
            </w:pPr>
            <w:r>
              <w:rPr/>
              <w:t> </w:t>
            </w:r>
          </w:p>
        </w:tc>
        <w:tc>
          <w:tcPr>
            <w:tcW w:w="26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86-1286799</w:t>
            </w:r>
          </w:p>
        </w:tc>
      </w:tr>
      <w:tr>
        <w:trPr/>
        <w:tc>
          <w:tcPr>
            <w:tcW w:w="3406"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(State or other jurisdiction of </w:t>
              <w:br/>
              <w:t>incorporation or organization)</w:t>
            </w:r>
          </w:p>
        </w:tc>
        <w:tc>
          <w:tcPr>
            <w:tcW w:w="146" w:type="dxa"/>
            <w:tcBorders/>
          </w:tcPr>
          <w:p>
            <w:pPr>
              <w:pStyle w:val="TableContents"/>
              <w:bidi w:val="0"/>
              <w:spacing w:before="0" w:after="283"/>
              <w:jc w:val="left"/>
              <w:rPr/>
            </w:pPr>
            <w:r>
              <w:rPr/>
              <w:t> </w:t>
            </w:r>
          </w:p>
        </w:tc>
        <w:tc>
          <w:tcPr>
            <w:tcW w:w="330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(Primary Standard Industrial </w:t>
              <w:br/>
              <w:t>Classification Code Number)</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(I.R.S. Employer </w:t>
              <w:br/>
              <w:t>Identification Number)</w:t>
            </w:r>
          </w:p>
        </w:tc>
      </w:tr>
    </w:tbl>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5400 Betsy Ross Drive</w:t>
        <w:br/>
        <w:t>Santa Clara, CA 95054</w:t>
        <w:br/>
        <w:t>Telephone: (408) 441-3200</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(Address, including zip code and telephone number, including area code, of registrant’s principal executive offices)</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 Keyvan Mohajer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Executive Officer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5400 Betsy Ross Drive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Santa Clara, CA 95054</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Telephone: (408) 441-3200</w:t>
        <w:br/>
        <w:t>(Name, address, including zip code and telephone number, including area code, of agent for service)</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10205" w:type="dxa"/>
        <w:jc w:val="left"/>
        <w:tblInd w:w="0" w:type="dxa"/>
        <w:tblLayout w:type="fixed"/>
        <w:tblCellMar>
          <w:top w:w="0" w:type="dxa"/>
          <w:left w:w="0" w:type="dxa"/>
          <w:bottom w:w="0" w:type="dxa"/>
          <w:right w:w="0" w:type="dxa"/>
        </w:tblCellMar>
      </w:tblPr>
      <w:tblGrid>
        <w:gridCol w:w="3999"/>
        <w:gridCol w:w="146"/>
        <w:gridCol w:w="3414"/>
        <w:gridCol w:w="146"/>
        <w:gridCol w:w="2500"/>
      </w:tblGrid>
      <w:tr>
        <w:trPr/>
        <w:tc>
          <w:tcPr>
            <w:tcW w:w="3999"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Luke Bergstrom </w:t>
              <w:br/>
              <w:t xml:space="preserve">Max Schleusener </w:t>
              <w:br/>
              <w:t xml:space="preserve">Lauren Lefcoe </w:t>
              <w:br/>
              <w:t>Latham &amp; Watkins LLP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br/>
              <w:t xml:space="preserve">505 Montgomery Street, Suite 2000 </w:t>
              <w:br/>
              <w:t xml:space="preserve">San Francisco, CA 94111 </w:t>
              <w:br/>
              <w:t>(415) 391-0600</w:t>
            </w:r>
          </w:p>
        </w:tc>
        <w:tc>
          <w:tcPr>
            <w:tcW w:w="146" w:type="dxa"/>
            <w:tcBorders/>
          </w:tcPr>
          <w:p>
            <w:pPr>
              <w:pStyle w:val="TableContents"/>
              <w:bidi w:val="0"/>
              <w:spacing w:before="0" w:after="283"/>
              <w:jc w:val="left"/>
              <w:rPr/>
            </w:pPr>
            <w:r>
              <w:rPr/>
              <w:t> </w:t>
            </w:r>
          </w:p>
        </w:tc>
        <w:tc>
          <w:tcPr>
            <w:tcW w:w="3414"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Monica Greenberg </w:t>
              <w:br/>
              <w:t xml:space="preserve">Chief Legal &amp; Administrative Officer </w:t>
              <w:br/>
              <w:t xml:space="preserve">LivePerson, Inc. </w:t>
              <w:br/>
              <w:t>530 7th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Avenue, Floor M1 </w:t>
              <w:br/>
              <w:t xml:space="preserve">New York, NY 10018 </w:t>
              <w:br/>
              <w:t>(212) 609-4200</w:t>
            </w:r>
          </w:p>
        </w:tc>
        <w:tc>
          <w:tcPr>
            <w:tcW w:w="146" w:type="dxa"/>
            <w:tcBorders/>
          </w:tcPr>
          <w:p>
            <w:pPr>
              <w:pStyle w:val="TableContents"/>
              <w:bidi w:val="0"/>
              <w:spacing w:before="0" w:after="283"/>
              <w:jc w:val="left"/>
              <w:rPr/>
            </w:pPr>
            <w:r>
              <w:rPr/>
              <w:t> </w:t>
            </w:r>
          </w:p>
        </w:tc>
        <w:tc>
          <w:tcPr>
            <w:tcW w:w="2500"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Philip Richter </w:t>
              <w:br/>
              <w:t xml:space="preserve">Mark Hayek </w:t>
              <w:br/>
              <w:t xml:space="preserve">Adam Cohen </w:t>
              <w:br/>
              <w:t xml:space="preserve">Fried, Frank, Harris, Shriver &amp; </w:t>
              <w:br/>
              <w:t xml:space="preserve">Jacobson LLP </w:t>
              <w:br/>
              <w:t xml:space="preserve">One New York Plaza </w:t>
              <w:br/>
              <w:t xml:space="preserve">New York, NY 10004 </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 859-8000</w:t>
            </w:r>
          </w:p>
        </w:tc>
      </w:tr>
    </w:tbl>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Approximate date of commencement of proposed sale to the public: </w:t>
      </w:r>
      <w:r>
        <w:rPr>
          <w:rFonts w:ascii="Times New Roman PS Std;serif" w:hAnsi="Times New Roman PS Std;serif"/>
          <w:b w:val="false"/>
          <w:i w:val="false"/>
          <w:caps w:val="false"/>
          <w:smallCaps w:val="false"/>
          <w:sz w:val="16"/>
        </w:rPr>
        <w:t>As soon as practicable after this registration statement is declared effective.</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Indicate by check mark whether the registrant is a large accelerated filer, an accelerated filer, a 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filer, a smaller reporting company, or an emerging growth company. See the definitions of “large accelerated filer,” “accelerated filer,” “smaller reporting company,” and “emerging growth company” in Rule 12b-2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of the Exchange Act.</w:t>
      </w:r>
    </w:p>
    <w:tbl>
      <w:tblPr>
        <w:tblW w:w="11564" w:type="dxa"/>
        <w:jc w:val="left"/>
        <w:tblInd w:w="0" w:type="dxa"/>
        <w:tblLayout w:type="fixed"/>
        <w:tblCellMar>
          <w:top w:w="0" w:type="dxa"/>
          <w:left w:w="0" w:type="dxa"/>
          <w:bottom w:w="0" w:type="dxa"/>
          <w:right w:w="0" w:type="dxa"/>
        </w:tblCellMar>
      </w:tblPr>
      <w:tblGrid>
        <w:gridCol w:w="1811"/>
        <w:gridCol w:w="146"/>
        <w:gridCol w:w="316"/>
        <w:gridCol w:w="146"/>
        <w:gridCol w:w="1486"/>
        <w:gridCol w:w="146"/>
        <w:gridCol w:w="316"/>
        <w:gridCol w:w="146"/>
        <w:gridCol w:w="2206"/>
        <w:gridCol w:w="146"/>
        <w:gridCol w:w="316"/>
        <w:gridCol w:w="146"/>
        <w:gridCol w:w="1576"/>
        <w:gridCol w:w="146"/>
        <w:gridCol w:w="316"/>
        <w:gridCol w:w="146"/>
        <w:gridCol w:w="1546"/>
        <w:gridCol w:w="146"/>
        <w:gridCol w:w="361"/>
      </w:tblGrid>
      <w:tr>
        <w:trPr/>
        <w:tc>
          <w:tcPr>
            <w:tcW w:w="18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Large 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2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Non-accelerated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6"/>
              </w:rPr>
              <w:t xml:space="preserve">filer </w:t>
              <w:br/>
              <w:t>(Do not check if a smaller reporting company)</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Smaller reporting </w:t>
              <w:br/>
              <w:t>company</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Emerging growth company</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If applicable, place an X in the box to designate the appropriate rule provision relied upon in conducting this transaction:</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13e-4(i) (Cross-Border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Issue Tender Offer)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14d-1(d) (Cross-Border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Third-Party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Tender Offer)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keepNext w:val="false"/>
        <w:pageBreakBefore w:val="false"/>
        <w:widowControl/>
        <w:pBdr/>
        <w:bidi w:val="0"/>
        <w:spacing w:before="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proxy statement/prospectus is not complete and may be changed. These securities may not be issued until the registration statement filed with the Securities and Exchange Commission is effective. This proxy statement/prospectus is not an offer to sell these securities and does not constitute the solicitation of offers to buy these securities in any jurisdiction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 SUBJECT TO COMPLETION, DATED JULY 8, 2026</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19500" cy="591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9500" cy="591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LETTER TO STOCKHOLDERS OF LIVEPERSON,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LivePerson,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LivePerson, Inc. (“LivePerson”), SoundHound AI, Inc. (“SoundHound”) and Lightspeed Merger Sub, Inc., an indirect, wholly owned subsidiary of SoundHound (“Merger Sub I”), entered into a Merger Agreement (the “Original Merger Agreement”), which was amended and restated on July 2, 2026, by the Amended and Restated Merger Agreement, by and among LivePerson, SoundHound, Merger Sub I and Lightspeed Merger Sub II Inc., an indirect, wholly owned subsidiary of SoundHound (“Merger Sub II”) (as it may be further amended from time to time, the “Merger Agreement”), under which, upon the terms and subject to the conditions set forth therein,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the “Mergers”), with LivePerson surviving the Second Merger as an indirect, wholly owned subsidiary of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First Merger is completed, subject to the terms and conditions of the Merger Agreement, LivePerson stockholders will receive, in exchange for each share of LivePerson Common Stock, par value $0.001 per share (“LivePerson Common Stock”), issued and outstanding immediately prior to the time that the First Merger becomes effective (the “First Effective Time”) (other than certain excluded shares, including the TASE Shares (as defined below)) a number of shares of Class A common stock of SoundHound, par value $0.0001 per share (“SoundHound Common Stock”) to be calculated in accordance with the Merger Agreement and as further described in this proxy statement/prospectus (the “Per Share Merger Consideration”). If the Second Merger is completed, subject to the terms and conditions of the Merger Agreement, LivePerson stockholders whose shares of LivePerson Common Stock are held through the Tel-Aviv Stock Exchange Clearing House Ltd. (“TASECH”) (such shares of LivePerson Common Stock, the “TASE Shares”) will receive, in exchange for each TASE Share issued and outstanding immediately prior to the time that the Second Merger becomes effective (the “Second Effective Time”) (other than any Dissenting Shares (used herein as defined in the Merger Agreement )) an amount of cash to be calculated in accordance with the Merger Agreement and as further described in this proxy statement/prospectus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Merger Consideration will be calculated prior to closing of the First Merger in accordance with the terms and conditions of the Merger Agreement and will depend on (1) the “Closing Merger Consideration” and (2) the average of the daily volume-weighted average prices of a share of SoundHound Common Stock on the Nasdaq on each of the ten consecutive trading days ending on (and including) the third (3rd) trading day prior to the date of closing of the Mergers, rounded down to the nearest penny, as reported by Bloomberg (the “SoundHound Closing VWAP Stock Price”), subject to a minimum price per share of SoundHound Common Stock of $7.00 per share and a maximum price per share of SoundHound Common Stock of $12.00 per share (the “SoundHound Closing Stock Price”). If the SoundHound Closing VWAP Stock Price is greater than $12.00 per share, the SoundHound Closing Stock Price will be deemed to equal $12.00 per share, and if such actual average is less than $7.00 per share, the SoundHound Closing Stock Price will be deemed to equal $7.00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Merger Consideration” will be calculated by dividing (a) $42,784,532.64 (as such amount may be adjusted (i) downward based on the difference, if any, between the applicable minimum cash threshold in the Merger Agreement and the amount of cash and cash equivalents on LivePerson’s balance sheet shortly before the First Effective Time (as estimated after giving effect to payments to be made in connection with the transactions in accordance with the Merger Agreement), and/or (ii) upward based on the aggregate exercise prices of certain outstanding options over LivePerson Common Stock, in each case as more fully described in this proxy statement/prospectus) (the “Aggregate Consideration Amount”) by (b) the SoundHound Closing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Per Share Merger Consideration will be a number of shares of SoundHound Common Stock equal to (a) the Closing Merger Consideration, divided by (b) the Fully Diluted Common Number (as defined in the Merger Agreement), which shall include the total number of shares of LivePerson Common Stock issued and outstanding immediately prior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First Effective Time plus the total number of shares of LivePerson Common Stock that are issuable upon the conversion, exercise or settlement in full of certain options, awards or other rights to acquire LivePerson Common Stock that are outstanding as of immediately prior to the First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TASE Cash Merger Consideration” will be an amount equal to (i) (A) the Closing Merger Consideration multiplied by (B) the SoundHound Closing VWAP Stock Price, multiplied by (ii) the “Closing TASE Merger Consideration Percentage,” which will be a fraction equal to (A) the total number of TASE Shares issued and outstanding immediately prior to the Second Effective Time (the “Fully Diluted TASE Common Number”) divided by (B) the Fully Diluted Common Number; provided, however, if the Closing TASE Merger Consideration Percentage exceeds $7.5 million, then the Closing TASE Cash Merger Consideration will be deemed to equal $7.5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Per Share Cash Merger Consideration will be calculated prior to closing of the Second Merger and will be a dollar amount equal to the quotient of (a) the Closing TASE Cash Merger Consideration divided by (b) the Fully Diluted TASE Common Number issued and outstanding immediately prior to the Second Effective Time.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Assuming no adjustments are made to the Aggregate Consideration Amount based on the amount of cash and cash equivalents estimated to be on LivePerson’s balance sheet shortly prior to the First Effective Time and approximately 12.8 million shares of LivePerson Common Stock outstanding on a fully diluted basis, and assuming that the total number of TASE Shares immediately prior to the Second Effective Time is not more than approximately 2.25 million shares, the Aggregate Consideration Amount represents approximately $3.33 in value per share of LivePerson Common Stock, which represents a premium of approximately 22% over the volume-weighted average price of LivePerson’s common stock for the thirty days prior to the date of execution of the Original Merger Agreement. LivePerson Common Stock is quoted on the Nasdaq Global Select Market under the symbol “LPSN,” and SoundHound Common Stock is quoted on the Nasdaq Global Market under the symbol “SOUN.” </w:t>
      </w:r>
      <w:r>
        <w:rPr>
          <w:rFonts w:ascii="Times New Roman PS Std;serif" w:hAnsi="Times New Roman PS Std;serif"/>
          <w:b/>
          <w:i w:val="false"/>
          <w:caps w:val="false"/>
          <w:smallCaps w:val="false"/>
          <w:sz w:val="20"/>
        </w:rPr>
        <w:t>Given that the Per Share Merger Consideration and the Per Share Cash Merger Consideration will depend on factors including the trading prices of SoundHound Common Stock during the relevant period prior to the First Effective Time, the amount of cash and cash equivalents estimated to be on LivePerson’s balance sheet shortly before the First Effective Time, and the number of TASE Shares issued and outstanding shortly before the Second Effective Time, at the time of the LivePerson special meeting (defined below), you will not know the precise value of the Per Share Merger Consideration or the Per Share Cash Merger Consideration, as applicable, you may receive on the date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LivePerson (the “LivePerson board of directors”) has unanimously approved the Merger Agreement and recommended that LivePerson stockholders vote in favor of adopting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Mergers cannot be completed without approval of the proposal to adopt the Merger Agreement by the affirmative vote of holders of a majority of the outstanding shares of LivePerson Common Stock entitled to vote thereon.    </w:t>
      </w:r>
      <w:r>
        <w:rPr>
          <w:rFonts w:ascii="Times New Roman PS Std;serif" w:hAnsi="Times New Roman PS Std;serif"/>
          <w:b w:val="false"/>
          <w:i w:val="false"/>
          <w:caps w:val="false"/>
          <w:smallCaps w:val="false"/>
          <w:sz w:val="20"/>
        </w:rPr>
        <w:t>Because of this, LivePerson is holding a special meeting of its stockholders on August 20, 2026 to vote on the proposal necessary to complete the Mergers (the “LivePerson special meeting”). At the LivePerson special meeting, LivePerson stockholders will also be asked to approve the non-binding compensation advisory proposal and the adjournment proposal, neither of which is a condition to the consummation of the Mergers. Information about the LivePerson special meeting, the Mergers, the Merger Agreement, and the other business to be considered by stockholders at the LivePerson special meeting is contained in this proxy statement/prospectus. The LivePerson board of directors has fixed the close of business on July 6, 2026 as the record date for the determination of LivePerson stockholders entitled to notice of, and to vote at, the LivePerson special meeting. Any stockholder entitled to attend and vote at the LivePerson special meeting is entitled to appoint a proxy to attend and vote on such stockholder’s behalf. Such proxy need not be a holder of LivePerson Common Stock. We urge you to read this proxy statement/prospectus and the annexes and documents incorporated by reference carefully. </w:t>
      </w:r>
      <w:r>
        <w:rPr>
          <w:rFonts w:ascii="Times New Roman PS Std;serif" w:hAnsi="Times New Roman PS Std;serif"/>
          <w:b/>
          <w:i w:val="false"/>
          <w:caps w:val="false"/>
          <w:smallCaps w:val="false"/>
          <w:sz w:val="20"/>
        </w:rPr>
        <w:t>You should also carefully consider the risks that are described in the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section beginning on page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LivePerson board of directors has unanimously determined that the Merger Agreement and the transactions contemplated thereby, including the Mergers, are fair to, and are in the best interests of, the LivePerson stockholders, approved and declared advisable the Merger Agreement and the transactions contemplated thereby, including the Mergers, and directed that the Merger Agreement be submitted to LivePerson’s stockholders for adoption at a meeting of such stockholders, and unanimously recommends that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LivePerson stockholders vote (i) “FOR” the proposal to adopt the Merger Agreement and the transactions contemplated thereby, including the Mergers, (ii) “FOR” the proposal on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for named executive officers and (iii)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regardless of the number of shares of LivePerson Common Stock that you 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addition to being a proxy statement, this document is also a prospectus for shares of SoundHound Common Stock that will be issued to LivePerson stockholders in exchange for each share of LivePerson Common Stock they hold (other than certain excluded shares, including the TASE Shares)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Whether or not you plan to attend the LivePerson special meeting,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The failure to vote, assuming a quorum is present, will have the same effect as a vote “AGAINST” the proposal to adopt the Merger Agreement and the transactions contemplated thereby, including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being a stockholder of LivePerson. Your vote and participation, no matter how many shares you own, are very important to us. We look forward to seeing you at the virtual LivePerson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bl>
      <w:tblPr>
        <w:tblW w:w="3125" w:type="dxa"/>
        <w:jc w:val="left"/>
        <w:tblInd w:w="0" w:type="dxa"/>
        <w:tblLayout w:type="fixed"/>
        <w:tblCellMar>
          <w:top w:w="0" w:type="dxa"/>
          <w:left w:w="0" w:type="dxa"/>
          <w:bottom w:w="0" w:type="dxa"/>
          <w:right w:w="0" w:type="dxa"/>
        </w:tblCellMar>
      </w:tblPr>
      <w:tblGrid>
        <w:gridCol w:w="766"/>
        <w:gridCol w:w="146"/>
        <w:gridCol w:w="1876"/>
        <w:gridCol w:w="146"/>
        <w:gridCol w:w="191"/>
      </w:tblGrid>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need any assistance in authorizing a proxy or voting your shares, please contact our proxy solicitor: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Penn Plaza</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 Toll-Free: (800) 322-2885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proxy@mackenziepartners.com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statement/prospectus is dated [•</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2026 and is first being mailed to stockholders of LivePerson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19500" cy="5911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19500" cy="591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LivePerson, Inc.</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www.liveperson.com</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20,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 a.m. Eastern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NOTICE IS HEREBY GIVEN that a Special Meeting of Stockholders (including any adjournments or postponements thereof, the “LivePerson special meeting”) of LivePerson, Inc., a Delaware corporation (“LivePerson”), is scheduled to be held on August 20, 2026 at 10:00 a.m. Eastern Time. The LivePerson special meeting will be held via 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The LivePerson special meeting will be held for the following purposes, as more fully described in the proxy statement/prospectus accompanying this Notice: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adopt the Amended and Restated Merger Agreement, dated July 2, 2026 (as it may be amended from time to time, the “Merger Agreement”), by and among LivePerson, SoundHound AI, Inc. (“SoundHound”), Lightspeed Merger Sub Inc., an indirect wholly owned subsidiary of SoundHound (“Merger Sub I”) and Lightspeed Merger Sub II Inc., an indirect wholly owned subsidiary of SoundHound (“Merger Sub II”), and the transactions contemplated thereby, including the Mergers (as defined below) (and such proposal,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by a non-binding advisory vote, certain compensation that may be paid or become payable to LivePerson’s named executive officers that is based on, or otherwise relates to, the mergers contemplated by the Merger Agreement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the adjournment of the LivePerson special meeting, if necessary or appropriate, to solicit additional proxies if there are not sufficient votes to approve the merger proposal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 approval of the merger proposal is required to complete the merger between Merger Sub I and LivePerson (the “First Merger”) and the subsequent merger between Merger Sub II and LivePerson (the “Second Merger”, and, together with the First Merger, collectively the “Mergers”), as contemplated by the Merger Agreement. LivePerson stockholders will also be asked to approve the non-binding compensation advisory proposal and the adjournment proposal, neither of which is a condition to the consummation of the Mergers. LivePerson does not intend to transact any other business at the LivePerson special meeting or any adjournment or postponement thereof. The record date for the LivePerson special meeting has been set as July 6, 2026. Only LivePerson stockholders of record as of the close of business on such record date are entitled to notice of, and to vote at, the LivePerson special meeting or any adjournments and postponements of the LivePerson special meeting. For additional information regarding the LivePerson special meeting, see the section entitled “</w:t>
      </w:r>
      <w:r>
        <w:rPr>
          <w:rFonts w:ascii="Times New Roman PS Std;serif" w:hAnsi="Times New Roman PS Std;serif"/>
          <w:b w:val="false"/>
          <w:i/>
          <w:caps w:val="false"/>
          <w:smallCaps w:val="false"/>
          <w:sz w:val="20"/>
        </w:rPr>
        <w:t>Special Meeting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LivePerson Stockholders</w:t>
      </w:r>
      <w:r>
        <w:rPr>
          <w:rFonts w:ascii="Times New Roman PS Std;serif" w:hAnsi="Times New Roman PS Std;serif"/>
          <w:b w:val="false"/>
          <w:i w:val="false"/>
          <w:caps w:val="false"/>
          <w:smallCaps w:val="false"/>
          <w:sz w:val="20"/>
        </w:rPr>
        <w:t>” beginning on page 32 of the proxy statement/prospectus accompanying this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LivePerson board of directors unanimously recommends that holders of LivePerson Common Stock vote (i) “FOR” the merger proposal, (ii)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(iii)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proposals are described in more detail in the accompanying proxy statement/prospectus, which you should read carefully and in its entirety before you vote. A copy of the Merger Agreement is attached as Annex A to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virtual format with a live audio webcast for the LivePerson special meeting to provide a consistent experience for all stockholders. You are entitled to attend the LivePerson special meeting only if you were a stockholder as of the close of business on the record date or hold a valid legal proxy for such a stockholder for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consummated, stockholders and beneficial owners who hold or beneficially own shares of LivePerson Common Stock through the Tel-Aviv Stock Exchange Clearing House Ltd (the “TASECH”) and who (i) do not vote in favor of the merger proposal, (ii) properly demand appraisal of their shares of Live Person Common Stock, (iii) continuously hold or beneficially own their shares through the TASECH from the date of making the demand through the effective time of the Second Merger, (iv) otherwise comply with the procedures of Section 262 of the DGCL (“Section 262”) and (v) do not withdraw their demands or otherwise lose their rights of appraisal will be entitled to seek appraisal of their shares in connection with the Second Merger under Section 262. Stockholders and beneficial owners desiring to seek appraisal must comply with all the requirements of Delaware law, which are summarized in the proxy statement accompanying this notice and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VOTE AS PROMPTLY AS POSSIBLE, WHETHER OR NOT YOU PLAN TO ATTEND THE LIVEPERSON SPECIAL MEETING VIA THE SPECIAL MEETING WEBSITE. IF YOU LATER DESIRE TO REVOKE OR CHANGE YOUR PROXY FOR ANY REASON, YOU MAY DO SO IN THE MANNER DESCRIBED IN THE ACCOMPANYING PROXY STATEMENT/PROSPECTUS. FOR FURTHER INFORMATION CONCERNING THE PROPOSALS BEING VOTED UPON, USE OF THE PROXY AND OTHER RELATED MATTERS, YOU ARE URGED TO READ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Approval of the merger proposal by the LivePerson stockholders is a condition to the consummation of the Mergers and requires the affirmative vote of a majority of the outstanding shares of LivePerson Common Stock entitled to vote on the proposal. Approval of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requires the affirmative vote of a majority of the shares of LivePerson Common Stock having voting power that is present in person or represented by proxy at the LivePerson special meeting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entitled to vote on the proposal. Approval of the adjournment proposal requires the affirmative vote of a majority of the shares of LivePerson Common Stock having voting power that is present in person or represented by proxy at the LivePerson special meeting and entitled to vote on the proposal. LivePerson stockholders are requested to complete, date, sign and return the enclosed proxy in the envelope provided, which requires no postage if mailed in the United States, or to submit their votes by phone or the Internet. Simply follow the instructions provided on the enclosed proxy card. Abstentions or failure to submit a proxy or vote via the LivePerson special meeting website will have the same effect as a vote “AGAINST” the merger proposal,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the adjournment proposal.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the same effect as a vote “AGAINST” the merger proposal and will have no effect on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broker, bank or other nominee is the holder of record of your shares (i.e., your shares are held in “street name”), you will receive a voting instruction form from the holder of record. We recommend that you instruct your broker, bank or other nominee to submit your proxy to vote your shares on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number of shares of common stock that you own, your vote will be very important. Thank you for your ongoing support, interest and investment in LivePerson.</w:t>
      </w:r>
    </w:p>
    <w:tbl>
      <w:tblPr>
        <w:tblW w:w="4251" w:type="dxa"/>
        <w:jc w:val="left"/>
        <w:tblInd w:w="0" w:type="dxa"/>
        <w:tblLayout w:type="fixed"/>
        <w:tblCellMar>
          <w:top w:w="0" w:type="dxa"/>
          <w:left w:w="0" w:type="dxa"/>
          <w:bottom w:w="0" w:type="dxa"/>
          <w:right w:w="0" w:type="dxa"/>
        </w:tblCellMar>
      </w:tblPr>
      <w:tblGrid>
        <w:gridCol w:w="161"/>
        <w:gridCol w:w="146"/>
        <w:gridCol w:w="1051"/>
        <w:gridCol w:w="204"/>
        <w:gridCol w:w="268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944" w:type="dxa"/>
            <w:gridSpan w:val="3"/>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Miller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Important Notice Regarding the Availability of Proxy Materials for the Special Meeting of Stockholders Scheduled to Be Held on August 20, 2026 at 10:00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a.m. Eastern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Notice of Special Meeting of Stockholders, the accompanying proxy statement/prospectus and LivePerson’s Annual Report for the fiscal year ended December 31, 2025, are available free of charge at www.proxyvote.com.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If you have any questions concerning the business to be conducted at the LivePerson special meeting, would like additional copies of the proxy statement/prospectus or need help submitting a proxy for your shares, please contact MacKenzie Partners, LivePerson’s proxy solicitor: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Penn Plaza</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 Toll-Free: (800) 322-2885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proxy@mackenziepartners.com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by reference important business and financial information about SoundHound AI, Inc. (“SoundHound”) and LivePerson, Inc. (“LivePerson”) from other documents that are not included in or delivered with this proxy statement/prospectus, including documents that SoundHound and LivePerson have filed with the U.S. Securities and Exchange Commission (the “SEC”). For a listing of documents incorporated by reference herein,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request copies of this proxy statement/prospectus and any of the documents incorporated by reference herein or other information concerning SoundHound or LivePerson, without charge, upon written or oral request to the applicable company’s principal executive offices. The respective addresses and phone numbers of such principal offices are listed below.</w:t>
      </w:r>
    </w:p>
    <w:tbl>
      <w:tblPr>
        <w:tblW w:w="6718" w:type="dxa"/>
        <w:jc w:val="left"/>
        <w:tblInd w:w="0" w:type="dxa"/>
        <w:tblLayout w:type="fixed"/>
        <w:tblCellMar>
          <w:top w:w="0" w:type="dxa"/>
          <w:left w:w="0" w:type="dxa"/>
          <w:bottom w:w="0" w:type="dxa"/>
          <w:right w:w="0" w:type="dxa"/>
        </w:tblCellMar>
      </w:tblPr>
      <w:tblGrid>
        <w:gridCol w:w="3376"/>
        <w:gridCol w:w="146"/>
        <w:gridCol w:w="3196"/>
      </w:tblGrid>
      <w:tr>
        <w:trPr/>
        <w:tc>
          <w:tcPr>
            <w:tcW w:w="337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SoundHound Stockholders:</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LivePerson Stockholders:</w:t>
            </w:r>
          </w:p>
        </w:tc>
      </w:tr>
      <w:tr>
        <w:trPr/>
        <w:tc>
          <w:tcPr>
            <w:tcW w:w="337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Inc. </w:t>
              <w:br/>
              <w:t xml:space="preserve">5400 Betsy Ross Drive </w:t>
              <w:br/>
              <w:t xml:space="preserve">Santa Clara, CA 95054 </w:t>
              <w:br/>
              <w:t xml:space="preserve">Attention: Corporate Secretary </w:t>
              <w:br/>
              <w:t>Telephone: (408) 441-3200</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Inc. </w:t>
              <w:br/>
              <w:t xml:space="preserve">530 Seventh Ave, Floor M1 </w:t>
              <w:br/>
              <w:t xml:space="preserve">New York, New York 10018 </w:t>
              <w:br/>
              <w:t xml:space="preserve">Attention: Corporate Secretary </w:t>
              <w:br/>
              <w:t>Telephone: (212) 609-4200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obtain timely delivery of these documents before the special meeting of stockholders of LivePerson (the “LivePerson special meeting”), LivePerson stockholders must request the information no later than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August 13, 2026, which is five business days before the date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also obtain any of the documents incorporated by reference into this proxy statement/prospectus free of charge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In addition, you may obtain copies of many of these documents, free of charge, from SoundHound by accessing SoundHound’s website at </w:t>
      </w:r>
      <w:r>
        <w:rPr>
          <w:rFonts w:ascii="Times New Roman PS Std;serif" w:hAnsi="Times New Roman PS Std;serif"/>
          <w:b w:val="false"/>
          <w:i/>
          <w:caps w:val="false"/>
          <w:smallCaps w:val="false"/>
          <w:sz w:val="20"/>
        </w:rPr>
        <w:t>http://www.SoundHound.com</w:t>
      </w:r>
      <w:r>
        <w:rPr>
          <w:rFonts w:ascii="Times New Roman PS Std;serif" w:hAnsi="Times New Roman PS Std;serif"/>
          <w:b w:val="false"/>
          <w:i w:val="false"/>
          <w:caps w:val="false"/>
          <w:smallCaps w:val="false"/>
          <w:sz w:val="20"/>
        </w:rPr>
        <w:t xml:space="preserve"> under the “About” link and then under the heading “Investors” or from LivePerson by accessing LivePerson’s website at </w:t>
      </w:r>
      <w:r>
        <w:rPr>
          <w:rFonts w:ascii="Times New Roman PS Std;serif" w:hAnsi="Times New Roman PS Std;serif"/>
          <w:b w:val="false"/>
          <w:i/>
          <w:caps w:val="false"/>
          <w:smallCaps w:val="false"/>
          <w:sz w:val="20"/>
        </w:rPr>
        <w:t>http://www.LivePerson.com</w:t>
      </w:r>
      <w:r>
        <w:rPr>
          <w:rFonts w:ascii="Times New Roman PS Std;serif" w:hAnsi="Times New Roman PS Std;serif"/>
          <w:b w:val="false"/>
          <w:i w:val="false"/>
          <w:caps w:val="false"/>
          <w:smallCaps w:val="false"/>
          <w:sz w:val="20"/>
        </w:rPr>
        <w:t xml:space="preserve"> under the “About” link and then under the heading “Investor Relations.”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addition, if you have questions about the merger or this proxy statement/prospectus, would like additional copies of this proxy statement/prospectus or need to obtain proxy cards or other information related to the proxy solicitation, contact Mackenzie Partners, Inc., the proxy solicitor for LivePerson, toll-free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at (800) 322-2885. You will not be charged for any of these documents that you request.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a registration statement on Form S-4 filed with the SEC by SoundHound (File No. 333-296284), constitutes a prospectus of SoundHound under Section 5 of the Securities Act of 1933, as amended (the “Securities Act”), with respect to the shares of Class A common stock of SoundHound, par value $0.0001 per share (“SoundHound Common Stock”), to be issued to the holders (the “LivePerson stockholders”) of shares of common stock, par value $0.001 per share, of LivePerson (“LivePerson Common Stock”), excluding shares of LivePerson Common Stock held through the Tel-Aviv Stock Exchange Clearing House Ltd. (such shares, “TASE Shares”), pursuant to the Amended and Restated Merger Agreement, dated July 2, 2026, by and among SoundHound, Lightspeed Merger Sub Inc., a Delaware corporation and indirect wholly owned subsidiary of SoundHound (“Merger Sub I”), Lightspeed Merger Sub II Inc., a Delaware corporation and indirect wholly owned subsidiary of SoundHound (“Merger Sub II”) and LivePerson (as amended from time to time,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also constitutes a notice of meeting and proxy statement of LivePerson under Section 14(a) of the Securities Exchange Act of 1934, as amended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SoundHound has supplied all information contained or incorporated by reference herein relating to SoundHound, and LivePerson has supplied all information contained or incorporated by reference herein relating to LivePerson. SoundHound and LivePerson have both contributed to the information relating to the Mergers (as defined below) and the Merger Agreement contained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herein in connection with any vote, the giving or withholding of any proxy or any investment decision in connection with the Merger Agreement. SoundHound and LivePerson have not authorized anyone to provide you with information that is different from that contained in or incorporated by reference herein. This proxy statement/prospectus is dated [•], 2026,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stockholders of LivePerson, nor the issuance by SoundHound of shares of SoundHound Common Stock pursuant to the Merger Agreement,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currency amounts referenced in this proxy statement/prospectus are in U.S. dollars.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QUESTIONS AND ANSWERS ABOUT THE MERGER AND THE LIVEPERSON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CAUTIONARY STATEMENT REGARDING FORWARD 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COMPARISON OF MARKET PRICE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SELECTED UNAUDITED PRO FORMA CONDENSED COMBINED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THE PARTIES TO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THE LIVEPERSON SPECIAL MEETING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PROPOSAL 1: ADOPTION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PROPOSAL 2: ADVISORY NON-BINDING VOTE ON MERGER-RELATED COMPENSATION FOR NAMED EXECUTIVE OFFICERS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PROPOSAL 3: ADJOURNMENT OF THE LIVEPERSON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THE MERGERS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AGREEMENTS RELATED TO THE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INTERESTS OF LIVEPERSON DIRECTORS AND EXECUTIVE OFFICERS IN THE MERGERS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MATERIAL U.S. FEDERAL INCOME TAX CONSEQUENCES OF THE MERGERS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COMPARISON OF STOCKHOLDERS’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SECURITY OWNERSHIP OF CERTAIN BENEFICIAL OWNERS AND MANAGEMENT OF LIVEPERSON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STOCKHOLDER PROPOSALS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10">
              <w:r>
                <w:rPr>
                  <w:rStyle w:val="InternetLink"/>
                  <w:rFonts w:ascii="Times New Roman PS Std;serif" w:hAnsi="Times New Roman PS Std;serif"/>
                  <w:b w:val="false"/>
                  <w:i w:val="false"/>
                  <w:caps w:val="false"/>
                  <w:smallCaps w:val="false"/>
                  <w:sz w:val="20"/>
                </w:rPr>
                <w:t xml:space="preserve">APPENDICES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1"/>
      <w:bookmarkEnd w:id="1"/>
      <w:r>
        <w:rPr>
          <w:rFonts w:ascii="Times New Roman PS Std;serif" w:hAnsi="Times New Roman PS Std;serif"/>
          <w:b/>
          <w:i w:val="false"/>
          <w:caps w:val="false"/>
          <w:smallCaps w:val="false"/>
          <w:sz w:val="20"/>
        </w:rPr>
        <w:t xml:space="preserve">QUESTIONS AND ANSWERS ABOUT THE MERGER AND THE LIVEPERSON SPECIAL MEETING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brief answers to certain questions that you, as a LivePerson stockholder, may have regarding the Mergers and the other matters being considered at the special meeting of LivePerson stockholders (the “LivePerson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w:t>
      </w:r>
      <w:r>
        <w:rPr>
          <w:rFonts w:ascii="Times New Roman PS Std;serif" w:hAnsi="Times New Roman PS Std;serif"/>
          <w:b w:val="false"/>
          <w:i/>
          <w:caps w:val="false"/>
          <w:smallCaps w:val="false"/>
          <w:sz w:val="20"/>
        </w:rPr>
        <w:t>Summary</w:t>
      </w:r>
      <w:r>
        <w:rPr>
          <w:rFonts w:ascii="Times New Roman PS Std;serif" w:hAnsi="Times New Roman PS Std;serif"/>
          <w:b w:val="false"/>
          <w:i w:val="false"/>
          <w:caps w:val="false"/>
          <w:smallCaps w:val="false"/>
          <w:sz w:val="20"/>
        </w:rPr>
        <w:t>” beginning on page 1 for a summary of important information regarding the Merger Agreement, the Mergers and the related transactions. Additional important information is contained in the annexes to, and the documents incorporated by reference in, this proxy statement/prospectus. You may obtain the information incorporated by reference in this proxy statement/prospectus, without charge, by following the instructions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receiving these proxy materials because LivePerson has agreed to be acquired by SoundHound through (i) a merger of Merger Sub I with and into LivePerson, with LivePerson continuing as the surviving corporation (the “first surviving corporation”) in the First Merger (the “First Merger”) and becoming an indirect, wholly owned subsidiary of SoundHound, and (ii) immediately following the First Merger, a merger of Merger Sub II with and into the first surviving corporation (the “Second Merger,” and together with the First Merger, collectively, the “Mergers”), with LivePerson continuing as the surviving corporation (the “surviving corporation”) and becoming an indirect, wholly owned subsidiary of SoundHound. The Merger Agreement, which governs the terms and conditions of the Mergers, is attached as Annex A 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must be adopted by the LivePerson stockholders in accordance with the General Corporation Law of the State of Delaware (the “DGCL”), the Fourth Amended and Restated Certificate of Incorporation of LivePerson (as amended, the “LivePerson charter”) and the Fourth Amended and Restated Bylaws of LivePerson (the “LivePerson bylaws”, together with the LivePerson charter, the “LivePerson organizational documents”) in order for the Mergers to be consummated. LivePerson is holding the LivePerson special meeting to obtain that approval. LivePerson stockholders will also be asked to vote on a non-binding advisory proposal to approve certain compensation that may be paid or become payable to LivePerson’s named executive officers that is based on or otherwise relates to the Mergers. Your vote is very important. LivePerson encourages you to submit a proxy to have your shares of LivePerson common stock voted as soon as possible.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included in these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materials include this proxy statement/prospectus for the LivePerson special meeting and the enclosed proxy card. LivePerson is first mailing these materials to stockholders entitled to notice of and to vote at the LivePerson special meeting on or about [•], 2026. LivePerson’s proxy materials are also available on the Internet and may be printed, free of charge,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matters am I being asked to vote 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stockholders are being asked to consider and vote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adopt the Merger Agreement and the transactions contemplated thereby, including the Mergers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by non-binding advisory vote, certain compensation that may be paid or become payable to LivePerson’s named executive officers that is based on or otherwise relates to the Mergers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the adjournment of the LivePerson special meeting, if necessary or appropriate, to solicit additional proxies if there are not sufficient votes to approve the merger proposal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should I participate in voting the shares I 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w:t>
      </w:r>
      <w:r>
        <w:rPr>
          <w:rFonts w:ascii="Times New Roman PS Std;serif" w:hAnsi="Times New Roman PS Std;serif"/>
          <w:b w:val="false"/>
          <w:i w:val="false"/>
          <w:caps w:val="false"/>
          <w:smallCaps w:val="false"/>
          <w:sz w:val="20"/>
        </w:rPr>
        <w:t xml:space="preserve">The Mergers cannot be completed unless the merger proposal is approved by the affirmative vote of a majority of the outstanding shares of LivePerson Common Stock entitled to vote on the merger proposal. You will also be asked to approve the non-binding compensation advisory proposal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both of which are not a condition to the consummation of the Mergers. Only LivePerson stockholders as of the close of business on the record date (as herein defined) are entitled to vote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LivePerson stockholders receive if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amount of consideration payable by SoundHound to holders of LivePerson Common Stock (other than holders of TASE Shares) in connection with the First Merger pursuant to the terms of the Merger Agreement will be a number of shares of SoundHound Common Stock equal to the quotient of (a) the Aggregate Consideration Amount (as defined below), divided by (b) the SoundHound Closing Stock Price (as defined below) (the “Closing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Amount” refers to an amount equal to (a) $42,784,532.64, minus (b) the LivePerson Shortfall Cash, plus (c) the aggregate dollar amount of the exercise prices of all In-the-Money Options (as defined below) (other than Assumed Options (as defined in the section entitled “</w:t>
      </w:r>
      <w:r>
        <w:rPr>
          <w:rFonts w:ascii="Times New Roman PS Std;serif" w:hAnsi="Times New Roman PS Std;serif"/>
          <w:b w:val="false"/>
          <w:i/>
          <w:caps w:val="false"/>
          <w:smallCaps w:val="false"/>
          <w:sz w:val="20"/>
        </w:rPr>
        <w:t>Summary — Treatment of LivePerson Equity Awards</w:t>
      </w:r>
      <w:r>
        <w:rPr>
          <w:rFonts w:ascii="Times New Roman PS Std;serif" w:hAnsi="Times New Roman PS Std;serif"/>
          <w:b w:val="false"/>
          <w:i w:val="false"/>
          <w:caps w:val="false"/>
          <w:smallCaps w:val="false"/>
          <w:sz w:val="20"/>
        </w:rPr>
        <w:t>” beginning on page 2)). “LivePerson Shortfall Cash” refers to an amount equal to (x) $74,000,000 (or, solely for purposes of the Merger Agreement, $71,000,000 if the closing of the Mergers (the “Closing”) occurs in July), minus (y) the aggregate principal amount of LivePerson’s 0% convertible notes due 2026 (the “2026 Convertible Notes”) repurchased by LivePerson between April 1, 2026 and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The “SoundHound Closing Stock Price” refers to the price per share of SoundHound Common Stock derived from the average of the daily volume-weighted average prices of a share of SoundHound Common Stock on the Nasdaq Stock Market LLC (“Nasdaq”) on each of the ten consecutive trading days ending on (and including) the trading day that is three (3) trading days prior to the Closing Date, rounded down to the nearest penny, as reported by Bloomberg (the “SoundHound Closing VWAP Stock Price”); provided that, in the event the SoundHound Closing VWAP Stock Price (I) exceeds $12.00 per share, “SoundHound Closing Stock Price” will be $12.00 per share or (II) falls below $7.00 per share, “SoundHound Closing Stock Price” will be $7.00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First Effective Time (as defined in the section entitled “</w:t>
      </w:r>
      <w:r>
        <w:rPr>
          <w:rFonts w:ascii="Times New Roman PS Std;serif" w:hAnsi="Times New Roman PS Std;serif"/>
          <w:b w:val="false"/>
          <w:i/>
          <w:caps w:val="false"/>
          <w:smallCaps w:val="false"/>
          <w:sz w:val="20"/>
        </w:rPr>
        <w:t>Summary — Closing and Effective Times of the Mergers</w:t>
      </w:r>
      <w:r>
        <w:rPr>
          <w:rFonts w:ascii="Times New Roman PS Std;serif" w:hAnsi="Times New Roman PS Std;serif"/>
          <w:b w:val="false"/>
          <w:i w:val="false"/>
          <w:caps w:val="false"/>
          <w:smallCaps w:val="false"/>
          <w:sz w:val="20"/>
        </w:rPr>
        <w:t>” beginning on page 14), each share of LivePerson Common Stock issued and outstanding immediately prior to the First Effective Time (other than (i) shares held by LivePerson as treasury shares, (ii) shares held by any subsidiary of LivePerson, (iii) shares held by SoundHound or any subsidiary of SoundHound (such shares described in the foregoing clauses (i) through (iii), “Cancelled LivePerson Shares”), or (iv) TASE Shares) will be automatically converted into the right to receive a number of shares of SoundHound Common Stock equal to (a) the Closing Merger Consideration, divided by (b) the total number of shares of LivePerson Common Stock that are issued and outstanding, or that are issuable upon the conversion, exercise or settlement in full of other rights to acquire LivePerson Common Stock, as of immediately prior to the First Effective Time (the “Fully Diluted Common Number”) (the result of the calculation set forth in the foregoing clauses (a) and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aggregate amount of cash consideration payable by SoundHound to holders of TASE Shares that are not Dissenting Shares (as defined below) in connection with the Second Merger pursuant to the terms of the Merger Agreement will be an amount equal to (i) (A) the Closing Merger Consideration, multiplied by (B) the SoundHound Closing VWAP Stock Price, multiplied further by (ii) the “Closing TASE Merger Consideration Percentage,” which will be a fraction equal to the quotient of (A) the total number of TASE Shares issued and outstanding as of immediately prior to the Second Effective Time (as defined in the section entitled “Summary — Closing and Effective Times of the Mergers” beginning on page 14) divided by (B) the Fully Diluted Common Number (the “Closing TASE Cash Merger Consideration”); provided that if the product of the foregoing clauses (i) and (ii) is an amount that exceeds $7.5 million, then the Closing TASE Cash Merger Consideration will be deemed to equal $7.5 million.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the terms and conditions of the Merger Agreement, at the Second Effective Time, each TASE Share issued and outstanding as of immediately prior to the Second Effective Time (other than shares held by SoundHound or any subsidiary of SoundHound and other than Dissenting Shares) will be automatically converted into the right to receive an amount of cash equal to (a) the Closing TASE Cash Merger Consideration, divided by (b) the total number of TASE Shares issued and outstanding immediately prior to the Second Effective Time (the “Fully Diluted TASE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Common Number”) (the result of the calculation set forth in the foregoing clauses (a) and (b), the “Per Share Cash Merger Consideration”). Any holders or beneficial owners of TASE Shares issued and outstanding immediately prior to the Second Effective Time who (i) do not vote in favor of the adoption of the Merger Agreement (or consent thereto in writing), (ii) properly demand appraisal of such shares, (iii) continuously hold or beneficially own their shares through the TASECH from the date of making the demand through the Second Effective Time, (iv) otherwise comply with the procedures of Section 262 of the DGCL (“Section 262”) and (v) do not withdraw their demands or otherwise lose their rights of appraisal shall not be converted into the right to receive the Per Share Cash Merger Consideration.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no adjustments are made to the Aggregate Consideration Amount and approximately 12.8 million shares of LivePerson Common Stock outstanding on a fully diluted basis, and assuming that the Fully Diluted TASE Common Number is not more than approximately 2.25 million shares, the Aggregate Consideration Amount (for purposes of both the Per Share Merger Consideration and the Per Share Cash Merger Consideration) represents approximately $3.33 in value per share of LivePerson Common Stock, which represents a premium of approximately 22% over the volume-weighted average price of LivePerson Common Stock for the thirty days prior to the date of execution of the Merger Agreement, dated April 21, 2026, by and among LivePerson, SoundHound and Merger Sub I (the “Original Merger Agreement”). For additional information regarding the Closing Merger Consideration, the Per Share Merger Consideration, and the Per Share Cash Merger Consideration, as applicable,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will the amount of Closing Merger Consideration, and the Closing TASE Cash Merger Consideration, be finalized?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earlier than 20 business days and no later than 15 business days, prior to the anticipated Closing Date, LivePerson will deliver to SoundHound a statement setting forth a good faith estimated unaudited balance sheet of LivePerson and a good faith estimate of the LivePerson Cash Balance, in each case, as of 12:01 a.m. Pacific Time on the Closing Date, together with supporting calculations. LivePerson and SoundHound will consult in good faith until five business days prior to the Closing Date. The estimated LivePerson Cash Balance as of the fifth business day prior to the Closing Date (accounting for any updates resulting from any prior consultations between LivePerson and SoundHound) will be used to calculate the Aggregate Consideration Amount and, thus, the Closing Merger Consideration and the Closing TASE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amount of Closing Merger Consideration (and consequently the Closing TASE Cash Merger Consideration) may be impacted by the determination of the SoundHound Closing Stock Price. As a result, the Closing Merger Consideration and the Closing TASE Cash Merger Consideration will not be finalized prior to the date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are holders of TASE Shares receiving consideration in the form of cash, and all other holders of LivePerson Common Stock are receiving Closing Merger Consideration in the form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Common Stock is currently listed on two stock exchanges: the Nasdaq and the Tel Aviv Stock Exchange (the “TASE”). Following the execution of the Original Merger Agreement, the parties determined that applicable Israeli securities laws, which are only applicable to TASE Shares, would have required SoundHound to prepare and file an Israeli securities law-compliant prospectus in connection with the proposed offering and issuance of SoundHound Common Stock to holders of TASE Shares, unless an exception to such requirement was applicable or an exemption from such requirement could be obtained from the applicable legal authorities in Israel. Absent such exception or exemption, the LivePerson special meeting, and accordingly the proposed closing of the transactions contemplated by the Original Merger Agreement, could have been delayed by a number of months. The parties explored a number of potential options to avoid such a delay, including LivePerson voluntarily delisting from the TASE, and on June 7, 2026, LivePerson provided notice to the TASE of its intention to delist TASE Shares, effective on or about September 9, 2026. However, the parties ultimately determined that no exception to the requirements of Israeli securities laws applicable to the offer and issuance of shares of SoundHound Common Stock to holders of TASE Shares was available, and any exemption would require a determination by one or more governmental authorities in Israel, and the parties’ ability to obtain such exemption, and the timing thereof, was highly uncertain. The parties also determined that, if the holders of TASE Shares were to receive consideration in the form of cash rather than shares of SoundHound Common Stock, SoundHound would not be required to file an Israeli securities-law compliant prospectus and Israeli securities laws would not impact the timing of the LivePerson special meeting, thereby avoiding the risk of significant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delays and uncertainty that would have resulted from complying with, or seeking exemptions under, Israeli securities laws. Accordingly, the parties determined to amend and restate the Original Merger Agreement to provide for the receipt by holders of TASE Shares (other than Dissenting Shares) of the Per Share Cash Merger Consideration in the Second Merger so that the parties could continue to pursue a closing of SoundHound’s acquisition of LivePerson as soon as practicable. For more information, please see the section entitled “</w:t>
      </w:r>
      <w:r>
        <w:rPr>
          <w:rFonts w:ascii="Times New Roman PS Std;serif" w:hAnsi="Times New Roman PS Std;serif"/>
          <w:b w:val="false"/>
          <w:i/>
          <w:caps w:val="false"/>
          <w:smallCaps w:val="false"/>
          <w:sz w:val="20"/>
        </w:rPr>
        <w:t>The Mergers — Background of the Mergers</w:t>
      </w:r>
      <w:r>
        <w:rPr>
          <w:rFonts w:ascii="Times New Roman PS Std;serif" w:hAnsi="Times New Roman PS Std;serif"/>
          <w:b w:val="false"/>
          <w:i w:val="false"/>
          <w:caps w:val="false"/>
          <w:smallCaps w:val="false"/>
          <w:sz w:val="20"/>
        </w:rPr>
        <w:t>” beginning on page 40.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and my shares are held through the Depository Trust Company or on the books and records of LivePerson’s transfer agent, Equiniti Trust Company, LLC, may I transfer my shares to a broker registered on the TASECH in order to receive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 Holders of LivePerson Common Stock should therefore not seek to transfer shares of LivePerson Common Stock to the TASE in order to receive the Per Share Cash Merger Consideration. In addition, any such transfer, if effected notwithstanding the foregoing restriction, may be disadvantageous to such holder for several reasons, including, among others, that (i) the Per Share Cash Merger Consideration is capped at an aggregate $7.5 million, which was determined based on the percentage of TASE Shares relative to the overall number of outstanding shares of LivePerson Common Stock on a fully-diluted basis as of June 17, 2026, and thus an increase to the number of shares constituting TASE Shares could result in all holders receiving a lower amount of Per Share Cash Merger Consideration than the value of the Per Share Cash Merger Consideration if no such transfer had been made and (ii) holders may be subject to Israeli withholding tax requirements applicable to non-Israeli holders, which withholding tax requirements would not have applied if such shares had not been transferred to the TASE. Holders of LivePerson Common Stock are strongly advised to consult with their legal, tax and financial advisors prior to transferring shares of Common Stock to the TASE.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holders of LivePerson equity awards receive in the Mergers?</w:t>
      </w:r>
    </w:p>
    <w:p>
      <w:pPr>
        <w:pStyle w:val="TextBody"/>
        <w:keepNext w:val="tru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at the First Effective Time, each option to purchase shares of LivePerson Common Stock (a “LivePerson Option”) with a per-share exercise price less than the product of the Per Share Merger Consideration multiplied by the SoundHound Closing Stock Price (such product, the “Per Share Cash Equivalent Consideration”, and each such LivePerson Option, an “In-the-Money Option”) and held by any individual who is not an “employee” of SoundHound within the meaning set forth in Form S-8 under the Securities Act as of immediately after the Second Effective Time (such employee, a “continuing service provider”) will be entitled to receive the Per Share Merger Consideration applicable to the number of shares covered by such LivePerson Option, net of the applicable exercise price and less applicable tax withholdings. All other In-the-Money Options will be assumed by SoundHound and converted into corresponding awards denominated in shares of SoundHound Common Stock in accordance with the terms set forth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LivePerson Option that is not an In-the-Money Option will be cancelled for no consideration.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Restricted Stock Unit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 with respect to shares of LivePerson Common Stock (the “LivePerson RSUs”) held by non-employee directors of LivePerson and each LivePerson RSU that has vested but not yet settled will be entitled to receive the Per Share Merger Consideration in respect of each LivePerson RSU, less applicable tax withholdings. All other LivePerson RSUs will be assumed by SoundHound and converted into corresponding awards denominated in shares of SoundHound Common Stock in accordance with the terms set forth in the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warrants to purchase shares of LivePerson Common Stock will be cancelled for no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provides that in the event the treatment of any LivePerson Options or LivePerson RSUs held by persons outside of the United States would be administratively burdensome to SoundHound, SoundHound may either cash out such equity awards based on the value of the Per Share Merger Consideration or convert them into cash-based awards that continue to vest on the same schedule.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regarding the treatment of LivePerson equity awards, see the section entitled “</w:t>
      </w:r>
      <w:r>
        <w:rPr>
          <w:rFonts w:ascii="Times New Roman PS Std;serif" w:hAnsi="Times New Roman PS Std;serif"/>
          <w:b w:val="false"/>
          <w:i/>
          <w:caps w:val="false"/>
          <w:smallCaps w:val="false"/>
          <w:sz w:val="20"/>
        </w:rPr>
        <w:t>The Merger Agreement — Treatment of LivePerson Equity Awards in the Merger</w:t>
      </w:r>
      <w:r>
        <w:rPr>
          <w:rFonts w:ascii="Times New Roman PS Std;serif" w:hAnsi="Times New Roman PS Std;serif"/>
          <w:b w:val="false"/>
          <w:i w:val="false"/>
          <w:caps w:val="false"/>
          <w:smallCaps w:val="false"/>
          <w:sz w:val="20"/>
        </w:rPr>
        <w:t>” beginning on page 75.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equity stake will LivePerson stockholders hold in SoundHound immediately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number of issued and outstanding shares of LivePerson and SoundHound Common Stock as of July 6, 2026, and assuming no adjustments are made to the Aggregate Consideration Amount and the SoundHound Closing Stock Price is between $7.00 and $12.00 per share and the total number of TASE Shares issued and outstanding as of immediately prior to the First Effective Time is 2,169,063 shares (the approximate number of shares held through the TASE on the record date), holders of shares of LivePerson Common Stock (other than TASE Shares) as of immediately prior to the First Effective Time would hold, in the aggregate, between approximately 1.5% and 0.9% of the issued and outstanding shares of SoundHound Common Stock immediately following the Effective Times (without giving effect to any shares of SoundHound Common Stock held by LivePerson stockholders prior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exact equity stake of LivePerson stockholders in SoundHound immediately following the Effective Times will depend on (i) the number of shares of LivePerson Common Stock and SoundHound Common Stock issued and outstanding immediately prior to the First Effective Time, (ii) any adjustments to the Aggregate Consideration Amount, (iii) the SoundHound Closing Stock Price and (iv) the total number of TASE Shares issued and outstanding as of immediately prior to the First Effective Time. For more information, please see the section entitled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 74.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happen to LivePerson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Merger Sub I will merge with and into LivePerson and, immediately thereafter, Merger Sub II will merge with and into LivePerson. As a result of the Mergers, the separate corporate existences of Merger Sub I and Merger Sub II will cease, and LivePerson will continue as the surviving corporation in the Mergers and as an indirect, wholly owned subsidiary of SoundHound. Furthermore, shares of LivePerson Common Stock will no longer be publicly traded and will be delisted from the Nasdaq and the TASE.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own shares of LivePerson Common Stock. What will happen to those shares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your shares of LivePerson Common Stock, unless they are TASE Shares, will be converted into the right to receive the Per Share Merger Consideration. For holders of TASE Shares, your TASE Shares will be converted into the right to receive the Per Share Cash Merger Consideration. In each case, all such shares of LivePerson Common Stock, when so converted, will cease to be outstanding and will automatically be cancelled. Each holder of a share of LivePerson Common Stock (other than TASE Shares) that was outstanding immediately prior to the First Effective Time will cease to have any rights with respect to shares of LivePerson Common Stock except the right to receive the Per Share Merger Consideration (including any cash to be paid in lieu of any fractional shares of SoundHound Common Stock) and any dividends or distributions made with respect to shares of SoundHound Common Stock with a record date after the First Effective Time, in each case to be issued or paid upon the exchange of any certificates or book-entry shares of LivePerson Common Stock for the Per Share Merger Consideration. Each holder of a TASE Share (other than Dissenting Shares) that was outstanding immediately prior to the Second Effective Time will cease to have any rights with respect to such TASE Share except the right to receive the Per Share Cash Merger Consideration. For additional information,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will the SoundHound Common Stock that LivePerson stockholders receive in the First Merger be publicly traded?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Mergers are completed, the shares of SoundHound Common Stock that LivePerson stockholders receive in the First Merger will be listed and traded on the Nasdaq Global Market, or such other Nasdaq market on which shares of SoundHound Common Stock are then listed.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Mergers are not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proposal is not approved by LivePerson stockholders or if the Mergers are not completed for any other reason, SoundHound will not issue shares of SoundHound Common Stock or pay cash, as applicable, to LivePerson stockholders in exchange for their shares of LivePerson Common Stock, LivePerson stockholders will not receive any other consideration in connection with the Mergers, and their shares of LivePerson Common Stock will remain outstanding. LivePerson will remain an independent public company and LivePerson Common Stock will continue to be listed and traded on the Nasdaq Global Select Market and the Tel-Aviv Stock Exchange, however, effective on or about September 9, 2026, LivePerson Common Stock will be delisted from the Tel-Aviv Stock Exchange even if the merger proposal is not approved by LivePerson stockholders or if the Mergers are not completed for any other reason prior to such date. If the Merger Agreement is terminated under specified circumstances, LivePerson may be required to pay SoundHound a termination fee and/or reimburse SoundHound for certain expenses, as applicable. For a more detailed discussion of the termination fee and related provisions, see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non-binding compensation advisory proposal is not approved by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is advisory and non-binding, and the Mergers are not conditioned or dependent upon the approval of the non-binding compensation advisory proposal by LivePerson stockholders. However, LivePerson and SoundHound each value the opinions of LivePerson stockholders and SoundHound expects to consider the outcome of the vote, along with other relevant factors, when considering future executive compensation, assuming the Mergers are completed. Because the executive compensation to be paid in connection with the Mergers is based on the terms of the Merger Agreement as well as the contractual arrangements between LivePerson and its named executive officers, subject to the contractual conditions applicable thereto, such compensation will be payable, regardless of the outcome of this advisory vote if the merger proposal is approved. However, LivePerson seeks the support of its stockholders and believes that stockholder support is appropriate because LivePerson has a comprehensive executive compensation program designed to link the compensation of its named executive officers with LivePerson’s performance and the interests of LivePerson’s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LivePerson board of directors recommend I vote on these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LivePerson (the “LivePerson board of directors”) unanimously recommends that the LivePerson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merger proposal (the “LivePerson board of directors recommendation”)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are LivePerson stockholders being asked to vote on executive officer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require LivePerson to seek a non-binding advisory vote on certain compensation that may be paid or become payable to LivePerson’s named executive officers that is based on or otherwise relates to the Mergers. For additional information regarding the non-binding compensation advisory proposal, see the section entitled “</w:t>
      </w:r>
      <w:r>
        <w:rPr>
          <w:rFonts w:ascii="Times New Roman PS Std;serif" w:hAnsi="Times New Roman PS Std;serif"/>
          <w:b w:val="false"/>
          <w:i/>
          <w:caps w:val="false"/>
          <w:smallCaps w:val="false"/>
          <w:sz w:val="20"/>
        </w:rPr>
        <w:t>LivePerson Stockholder Proposals —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w:t>
      </w:r>
      <w:r>
        <w:rPr>
          <w:rFonts w:ascii="Times New Roman PS Std;serif" w:hAnsi="Times New Roman PS Std;serif"/>
          <w:b w:val="false"/>
          <w:i w:val="false"/>
          <w:caps w:val="false"/>
          <w:smallCaps w:val="false"/>
          <w:sz w:val="20"/>
        </w:rPr>
        <w:t>” beginning on page 38. LivePerson urges its stockholders to read the section entitled “</w:t>
      </w:r>
      <w:r>
        <w:rPr>
          <w:rFonts w:ascii="Times New Roman PS Std;serif" w:hAnsi="Times New Roman PS Std;serif"/>
          <w:b w:val="false"/>
          <w:i/>
          <w:caps w:val="false"/>
          <w:smallCaps w:val="false"/>
          <w:sz w:val="20"/>
        </w:rPr>
        <w:t>Interests of LivePerson’s Directors and Executive Officers in the Merger</w:t>
      </w:r>
      <w:r>
        <w:rPr>
          <w:rFonts w:ascii="Times New Roman PS Std;serif" w:hAnsi="Times New Roman PS Std;serif"/>
          <w:b w:val="false"/>
          <w:i w:val="false"/>
          <w:caps w:val="false"/>
          <w:smallCaps w:val="false"/>
          <w:sz w:val="20"/>
        </w:rPr>
        <w:t>” beginning on page 99.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of LivePerson Common Stock as of the close of business on July 6, 2026 (the “Record Date”), are entitled to notice of and to vote at the LivePerson special meeting. On the Record Date, there were 12,332,427 shares of LivePerson Common Stock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am I entitled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LivePerson stockholder is entitled to one vote for each share of LivePerson Common Stock held by such stockholder on the Record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holding shares as a stockholder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directly in your name with LivePerson’s transfer agent, Equiniti Trust Company, LLC, then you are considered the stockholder of record with respect to those shares, and these materials have been sent directly to you by us. As a stockholder of record, you are entitled to vote your shares in person at the LivePerson special meeting or by proxy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a stock brokerage account or by a bank or other nominee, then you are considered a “street name” stockholder. These materials will be forwarded to you by your broker, bank or other nominee who is considered, with respect to those shares, the stockholder of record. If your shares are held in “street name,” you will receive voting instructions from your broker, bank or other nominee, as described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vote my shares if I am a stockholder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with respect to stockholders who hold TASE Shares and intend to vote their shares, there are four ways a stockholder of record can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Internet</w:t>
      </w:r>
      <w:r>
        <w:rPr>
          <w:rFonts w:ascii="Times New Roman PS Std;serif" w:hAnsi="Times New Roman PS Std;serif"/>
          <w:b w:val="false"/>
          <w:i w:val="false"/>
          <w:caps w:val="false"/>
          <w:smallCaps w:val="false"/>
          <w:sz w:val="20"/>
        </w:rPr>
        <w:t xml:space="preserve">:    You may vote over the Internet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Telephone</w:t>
      </w:r>
      <w:r>
        <w:rPr>
          <w:rFonts w:ascii="Times New Roman PS Std;serif" w:hAnsi="Times New Roman PS Std;serif"/>
          <w:b w:val="false"/>
          <w:i w:val="false"/>
          <w:caps w:val="false"/>
          <w:smallCaps w:val="false"/>
          <w:sz w:val="20"/>
        </w:rPr>
        <w:t>:    You may vote by telephone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sign, date and return the enclosed proxy card in the prepaid postage envelope provided.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At the LivePerson special meeting</w:t>
      </w:r>
      <w:r>
        <w:rPr>
          <w:rFonts w:ascii="Times New Roman PS Std;serif" w:hAnsi="Times New Roman PS Std;serif"/>
          <w:b w:val="false"/>
          <w:i w:val="false"/>
          <w:caps w:val="false"/>
          <w:smallCaps w:val="false"/>
          <w:sz w:val="20"/>
        </w:rPr>
        <w:t xml:space="preserve">:    You may vote your shares electronically at the LivePerson special meeting. Please follow the instructions for attending the LivePerson special meeting and voting during the meeting posted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All votes must be received before the polls close during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7:00 p.m. (Israel time) on August 19, 2026. The form of proxy card for LivePerson stockholders who hold TASE Shares is available on the websites: </w:t>
      </w:r>
      <w:r>
        <w:rPr>
          <w:rFonts w:ascii="Times New Roman PS Std;serif" w:hAnsi="Times New Roman PS Std;serif"/>
          <w:b w:val="false"/>
          <w:i/>
          <w:caps w:val="false"/>
          <w:smallCaps w:val="false"/>
          <w:sz w:val="20"/>
        </w:rPr>
        <w:t>https://www.magna.isa.gov.il</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https://maya.tase.co.il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w:t>
      </w:r>
      <w:r>
        <w:rPr>
          <w:rFonts w:ascii="Times New Roman PS Std;serif" w:hAnsi="Times New Roman PS Std;serif"/>
          <w:b w:val="false"/>
          <w:i w:val="false"/>
          <w:caps w:val="false"/>
          <w:smallCaps w:val="false"/>
          <w:sz w:val="20"/>
        </w:rPr>
        <w:t>Even if you plan to attend the LivePerson special meeting, LivePerson recommends that you also use the enclosed proxy card to vote (i) by Internet, by following the instructions specified on the enclosed proxy card, (ii) by telephone or (iii) by signing, dating and returning the proxy card in the prepaid postage envelope provided if you are unable to attend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vote my shares if I am a street name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your shares are held in “street name” (that is, held for your account by a broker, bank or other nominee), you will receive voting instructions from your broker, bank or other nominee. You must follow these instructions in order for your shares to be voted. Street name stockholders should generally be able to vote by telephone, by Internet or by signing, dating and returning a voting instruction form. Your broker is required to vote those shares in accordance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your instructions. However, the availability of telephone and Internet voting will depend on the voting process of your broker, bank or other nominee. If you are a street name stockholder, you may not vote your shares by ballot at the LivePerson special meeting unless you obtain a legal proxy from your broker, bank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submit a proxy card, how will it be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enclosed proxy card is properly signed, dated and returned, the shares represented thereby will be voted at the LivePerson special meeting in accordance with the instructions specified thereon. If you are a stockholder of record of shares of LivePerson Common Stock and if you indicate when voting through the Internet that you wish to vote as recommended by the LivePerson board of directors, or if you sign, date and return a proxy card without giving specific voting instructions, then John D. Collins and Monica L. Greenberg, the proxy holders designated by the LivePerson board of directors, who are officers of LivePerson, will vote your shares in the manner recommended by the LivePerson board of directors on all matters presented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Specifically, to the extent your proxy card does not indicate otherwise, if you return a validly executed proxy card without indicating how your shares should be voted on a matter and you do not revoke your proxy, your proxy will be voted: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is not aware of any matters that are expected to come before the LivePerson special meeting other than those described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except as provided below with respect to LivePerson stockholders who hold TASE Shares, you can change your vote or revoke your proxy before it is exercised at the LivePerson special meeting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entering a new vote by Internet or by telephone on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dating and returning a later-dated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of revocation to LivePerson, Inc., 530 Seventh Ave, Floor M1, New York, New York 10018, Attention: Corporate Secretary;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and voting at the LivePerson special meeting (although attendance at the LivePerson special meeting will not, by itself, revoke a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TASE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TASE Shares and wish to revoke or change your proxy card, you must file a notice of revocation or another signed proxy card with the LivePerson’s Israeli counsel, Arnon, Tadmor-Levy, c/o Moshe Pasker, Azrieli Center (Square Tower), Tel Aviv, Israel, 6702101 (e-mail: MosheP@ArnonTL.com), no later than 7:00 p.m. (Israel time) on August 19,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street name stockholder, your broker, bank or other nominee can provide you with instructions on how to change your vote. Street name stockholders may only vote at the LivePerson special meeting if they obtain a legal proxy from the broker, bank or other nominee that holds their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should I do if I receive more than one proxy card or set of proxy materials from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may be owned through more than one brokerage or other share ownership account. In order to vote all of the shares that you own, you must vote each proxy card you receive in order to vote with respect to each account by telephone, by internet, or by signing, dating and returning each proxy card you receive in the prepaid-postage envelope provided.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attend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has adopted a virtual format with a live audio webcast for the LivePerson special meeting to provide a consistent experience for all stockholders. The LivePerson special meeting will be held via 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You are entitled to attend the LivePerson special meeting only if you were a stockholder of LivePerson as of the close of business on the Record Date or hold a valid legal proxy for such a stockholder for the 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constitutes a quorum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virtually or by proxy, of the holders of 33 1/3% of the number of shares of stock issued and outstanding and entitled to vote at the LivePerson special meeting is necessary to constitute a quorum in connection with the transaction of business at the LivePerson special meeting. Without a quorum, no business may be transacted at the LivePerson special meeting. All votes will be tabulated by the independent inspector of election appointed for the LivePerson special meeting, who will separately tabulate “FOR” and “AGAINST” votes, abstentions (as applicable), and broker non-votes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proxies from brokers, bankers or other nominees indicating that such persons have not received instructions from the beneficial owner or other persons entitled to vote shares as to a matter with respect to which the broker, bank or other nominee does not have discretionary power to vote). Abstentions are counted as “present” for quorum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LivePerson stockholder vote is required for the approval of the proposals?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merger proposal</w:t>
      </w:r>
      <w:r>
        <w:rPr>
          <w:rFonts w:ascii="Times New Roman PS Std;serif" w:hAnsi="Times New Roman PS Std;serif"/>
          <w:b w:val="false"/>
          <w:i w:val="false"/>
          <w:caps w:val="false"/>
          <w:smallCaps w:val="false"/>
          <w:sz w:val="20"/>
        </w:rPr>
        <w:t>.    Approval of the merger proposal requires the affirmative vote of a majority of the outstanding shares of LivePerson Common Stock entitled to vote on the merger proposal. Abstentions and broker non-votes will have the same effect as a vote “AGAINST” the merger proposal. Failure to vote on the merger proposal will have the same effect as a vote “AGAINST”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w:t>
      </w:r>
      <w:r>
        <w:rPr>
          <w:rFonts w:ascii="Times New Roman PS Std;serif" w:hAnsi="Times New Roman PS Std;serif"/>
          <w:b w:val="false"/>
          <w:i w:val="false"/>
          <w:caps w:val="false"/>
          <w:smallCaps w:val="false"/>
          <w:sz w:val="20"/>
        </w:rPr>
        <w:t>.    Approval of the non-binding compensation advisory proposal requires the affirmative vote of a majority of the shares of LivePerson Common Stock present in person or represented by proxy at the LivePerson special meeting and entitled to vote on the non-binding compensation advisory proposal. Abstentions will have the same effect as a vote “AGAINST” the non-binding compensation advisory proposal, and broker non-votes will have no effect on the outcome of the vote. As an advisory vote, this proposal is not binding upon LivePerson, the LivePerson board of directors, SoundHound or the board of directors of SoundHound (the “SoundHound board of directors”), and approval of the non-binding compensation advisory proposal is not a condition to completion of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adjournment proposal</w:t>
      </w:r>
      <w:r>
        <w:rPr>
          <w:rFonts w:ascii="Times New Roman PS Std;serif" w:hAnsi="Times New Roman PS Std;serif"/>
          <w:b w:val="false"/>
          <w:i w:val="false"/>
          <w:caps w:val="false"/>
          <w:smallCaps w:val="false"/>
          <w:sz w:val="20"/>
        </w:rPr>
        <w:t>.    Approval of the adjournment proposal requires the affirmative vote of a majority of the shares of LivePerson Common Stock present in person or represented by proxy at the LivePerson special meeting and entitled to vote on the adjournment proposal. If LivePerson stockholders approve the adjournment proposal, subject to the terms of the Merger Agreement, LivePerson could adjourn the LivePerson special meeting and use the additional time to solicit additional proxies, including soliciting proxies from LivePerson stockholders who have previously voted. LivePerson does not intend to call a vote on the adjournment proposal if the merger proposal is approved at the LivePerson special meeting. Abstentions will have the same effect as a vote “AGAINST” the adjournment proposal, and broker non-votes will have no effect on the outcome of the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shares be voted if I do nothing?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of record (i.e., you own your shares directly on the books of LivePerson’s transfer agent and not through a broker) and you do not cast your vote, no votes will be cast on your behalf on any of the items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TASE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stock through a member of the TASE and intend to vote your shares, you are obliged to sign, date and return a proxy card along with a certificate of ownership to the offices of Israeli counsel to LivePerson, Arnon, Tadmor-Levy, c/o Moshe Pasker, Azrieli Center (Square Tower), Tel Aviv, Israel, 6702101 (e-mail: MosheP@ArnonTL.com), no later than 7:00 p.m. (Israel time) on August 19, 2026. If you do not do so, no votes will be cast on your behalf on any of the items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If you hold your shares in “street name,” you must provide your broker, bank or other nominee with instructions on how to vote your shares. Otherwise, your broker, bank or other nominee cannot vote your shares on any of the proposals to be considered at the LivePerson special meeting. A so called “broker non-vote” will result if your broker, bank or other nominee returns a proxy but does not provide instruction as to how shares should be voted on a particular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Nasdaq Stock Market rules, brokers, banks or other nominees do not have discretionary authority to vote on any of the proposals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they will have (i)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(ii) no effect on the non-binding compensation advisory proposal and (iii) no effect on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count the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 of Broadridge Financial Solutions, Inc. will serve as the independent inspector of election (the “Inspector of Election”) for the LivePerson special meeting and, in such capacity, will count and tabulate the votes, abstentions and broker non-votes.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LivePerson special meeting is adjourned?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a quorum is not present or represented at the LivePerson special meeting, the LivePerson stockholders present at the meeting, in person or represented by proxy, may adjourn the meeting until a quorum is present or represented. The Chair of the LivePerson board of directors may also adjourn the LivePerson special meeting from time to time. Unless a new record date is fixed, your proxy will still be valid at an adjourned LivePerson special meeting and you will still be able to change or revoke your proxy until it is used to vote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expects to disclose final voting results based on the Inspector of Election’s final, certified report on a Current Report on Form 8-K that will be filed with the SEC within four business days after the LivePerson special meeting. If final results are unavailable at that time, LivePerson intends to file preliminary voting results based on the preliminary tabulation by the Inspector of Election and then file the final voting results in an amendment to the Current Report on Form 8-K within four business days of the day the final results are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I have appraisal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Shares of LivePerson Common Stock are listed on the Nasdaq as of the record date, and LivePerson stockholders other than holders of TASE Shares will receive SoundHound Common Stock pursuant to the First Merger.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that are not TASE Shares will not be entitled to appraisal rights with respect to the shares of LivePerson Common Stock they hold in connection with the Mergers. 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36.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there any risks that I should consider as a LivePerson stockholder in deciding how to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should read and carefully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20. You also should read and carefully consider the risk factors of SoundHound and LivePerson contained in the documents that are incorporated by reference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sell my shares before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for LivePerson stockholders entitled to vote at the LivePerson special meeting is earlier than the date of the LivePerson special meeting. If you transfer your shares of LivePerson Common Stock after the Record Date but before the LivePerson special meeting, you will, unless special arrangements are made, retain your right to vote at the LivePerson special meeting but will have transferred the right to receive the Per Share Merger Consideration or Per Share Cash Merger Consideration, as applicable, to the person to whom you transferred your shares of LivePerson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material U.S. federal income tax consequences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by a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of shares of LivePerson Common Stock for cash or shares of SoundHound Common Stock (and the receipt of cash in lieu of any fractional shares of SoundHound Common Stock) pursuant to the Mergers is intended to be treated as a taxable sale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xml:space="preserve">” beginning on page 104) generally will recognize gain or loss for U.S. federal income tax 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gain or loss will be long-term capital gain or loss if such U.S. Holder’s holding period in such shares of LivePerson Common Stock exceeds one year as of the Closing Date. The deductibility of capital losses is subject to limitations.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gain realized by a Non-U.S.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upon exchange of shares of LivePerson 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discussion of the material U.S. federal income tax consequences of the Mergers, you should read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in this proxy statement/prospectus. Because individual circumstances may differ, you should consult your own tax advisor as to the particular tax consequences of the Mergers to you,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are the Mergers expected to be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working to complete the Mergers as quickly as possible. Subject to the satisfaction or, to the extent permitted by applicable law, waiver of the conditions described in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 including the approval of the merger proposal by LivePerson stockholders at the LivePerson special meeting, the transaction is expected to be completed in the third quarter of 2026. However, neither SoundHound nor LivePerson can predict the actual date on which the Mergers will be completed, nor can the parties assure that the Mergers will be completed, because completion is subject to conditions beyond either company’s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LivePerson stockholder, how will I receive the Per Share Merger Consideration or Per Share Cash Merger Consideration to which I am entitled?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holder of certificates that represent eligible shares of LivePerson Common Stock (excluding Dissenting Shares) (the “LivePerson Common Stock certificates”), a notice advising you of the effectiveness of the Mergers and a letter of transmittal and instructions for the surrender of your LivePerson Common Stock certificates will be mailed to you as soon as practicable after the Second Effective Time. After receiving proper documentation from you, the exchange agent will send to you (i) a statement reflecting the aggregate whole number of shares of SoundHound Common Stock (which will be in uncertificated book-entry form) that you have a right to receive pursuant to the Merger Agreement and (ii) a check in the amount equal to the cash payable in lieu of any fractional shares of SoundHound Common Stock and dividends and other distributions on the shares of SoundHound Common Stock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holder of book-entry shares representing eligible shares of LivePerson Common Stock (excluding Dissenting Shares) (the “LivePerson book-entry shares”) which are held through the Depository Trust Company (“DTC”) or the Tel Aviv Stock Exchange Clearing House Ltd. (the “TASECH”), the exchange agent will transmit to DTC or its nominees, or to TASECH or its nominees, as applicable, at or as soon as reasonably practicable after the Second Effective Time, (i) in the case of shares of LivePerson Common Stock that are not TASE Shares, the Per Share Merger Consideration, cash in lieu of any fractional shares of SoundHound Common Stock and any dividends and other distributions on the shares of SoundHound Common Stock to which you may be entitled pursuant to the Merger Agreement and (ii) in the case of TASE Shares, the Per Share Cash Merger Consideration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holder of record of LivePerson book-entry shares which are not held through DTC or the TASECH, the exchange agent will deliver to you, as soon as practicable after the Second Effective Time, a notice advising you of the effectiveness of the Mergers and a letter of transmittal and instructions for returning such letter of transmittal. After receiving proper documentation from you, the exchange agent will send to you (i) in the case of shares of LivePerson Common Stock that are not TASE Shares, a statement reflecting the aggregate whole number of shares of SoundHound Common Stock (which will be in uncertificated book-entry form) that you have a right to receive pursuant to the Merger Agreement and a check in the amount equal to the cash payable in lieu of any fractional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SoundHound Common Stock and dividends and other distributions on the shares of SoundHound Common Stock to which you may be entitled pursuant to the Merger Agreement or (ii) in the case of TASE Shares, the Per Share Cash Merger Consideration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accrued on any amount payable for shares of LivePerson Common Stock eligible to receive the Per Share Merger Consideration or the Per Share Cash Merger Consideration, as applicable,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the exchange of LivePerson Common Stock for the Per Share Merger Consideration or the Per Share Cash Merger Consideration, as applicable, see the section entitled “</w:t>
      </w:r>
      <w:r>
        <w:rPr>
          <w:rFonts w:ascii="Times New Roman PS Std;serif" w:hAnsi="Times New Roman PS Std;serif"/>
          <w:b w:val="false"/>
          <w:i/>
          <w:caps w:val="false"/>
          <w:smallCaps w:val="false"/>
          <w:sz w:val="20"/>
        </w:rPr>
        <w:t>The Merger Agreement — Exchange of LivePerson Common Stock for the Merger Consideration</w:t>
      </w:r>
      <w:r>
        <w:rPr>
          <w:rFonts w:ascii="Times New Roman PS Std;serif" w:hAnsi="Times New Roman PS Std;serif"/>
          <w:b w:val="false"/>
          <w:i w:val="false"/>
          <w:caps w:val="false"/>
          <w:smallCaps w:val="false"/>
          <w:sz w:val="20"/>
        </w:rPr>
        <w:t>” beginning on page 76.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certificates, do I need to send in my stock certificates at this time to receive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Please DO NOT send your LivePerson Common Stock certificates with your proxy card. You should carefully review and follow the instructions set forth in the letter of transmittal, which will be mailed to you, regarding the surrender of your stock certificates.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other than TASE Shares, will the shares of SoundHound Common Stock issued in the Mergers receive a dividend?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completion of the Mergers, the shares of SoundHound Common Stock issued in connection with the Merger will carry with them the right to receive any dividends on shares of SoundHound Common Stock as the shares of SoundHound Common Stock held by all other holders of such shares, for any dividend the Record Date for which occurs after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does not currently pay regular dividends on its common stock. Any future SoundHound dividends will remain subject to approval by the SoundHound board of directors and other considerations.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solicit and pay the cost of soliciting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retained MacKenzie Partners, Inc. (“MacKenzie Partners”) to assist in the solicitation process. LivePerson estimates it will pay MacKenzie Partners a base fee of approximately $40,000, in addition to the reimbursement of certain costs and expenses, for these services. LivePerson also has agreed to indemnify MacKenzie Partners against certain liabilities relating to, or arising out of, its retention.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should I do now?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proxy statement/prospectus carefully and in its entirety, including the annexes, and return your completed, signed and dated proxy card by mail in the enclosed postage-paid envelope or submit your voting instructions by phone or the Internet as soon as possible so that your shares of LivePerson Common Stock will be voted in accordance with your instructions.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any other questions I may have?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require any assistance with voting your shares, or if you need additional copies of the proxy materials, please contact LivePerson’s proxy solicitor, MacKenzie Partners: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br/>
        <w:t>7 Penn Plaza</w:t>
        <w:br/>
        <w:t>New York, New York 10001</w:t>
        <w:br/>
        <w:t>Call Toll-Free: (800) 322-2885</w:t>
        <w:br/>
        <w:t>Email: proxy@mackenziepartners.com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more information about SoundHound, LivePerson and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find out more information about SoundHound, LivePerson and the Mergers by reading this proxy statement/prospectus and, with respect to SoundHound and LivePerson, from various sources described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02"/>
      <w:bookmarkEnd w:id="2"/>
      <w:r>
        <w:rPr>
          <w:rFonts w:ascii="Times New Roman PS Std;serif" w:hAnsi="Times New Roman PS Std;serif"/>
          <w:b/>
          <w:i w:val="false"/>
          <w:caps w:val="false"/>
          <w:smallCaps w:val="false"/>
          <w:sz w:val="20"/>
        </w:rPr>
        <w:t xml:space="preserve">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included in this proxy statement/prospectus and does not contain all of the information that may be important to you. You should read this proxy statement/prospectus and its annexes carefully and in their entirety and the other documents to which SoundHound and LivePerson refer before you decide how to vote with respect to the proposals to be considered and voted on at the LivePerson special meeting. In addition, SoundHound and LivePerson incorporate by reference important business and financial information about SoundHound and LivePerson into this proxy statement/prospectus, as further described in the section entitled “Where You Can Find More Information” beginning on page 124. You may obtain the information incorporated by reference into this proxy statement/prospectus without charge by following the instructions in the section entitled “Where You Can Find More Information” beginning on page 124. Each item in this summary includes a page reference directing you to a more complete description of that item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Parties to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SoundHound AI,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LivePerson,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530 7th Avenue, Floor M1</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New York, NY 10018</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(212) 609-4200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Lightspeed Merger Sub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SoundHound AI,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Lightspeed Merger Sub II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Mergers and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terms and conditions of the Mergers are contained in the Merger Agreement, which is attached to this document as Annex A and is incorporated by reference herein in its entirety. SoundHound and LivePerson encourage you to read the Merger Agreement carefully and in its entirety, as it is the legal document that governs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the SoundHound board of directors and the LivePerson board of directors has unanimously approved and adopted the Merger Agreement and the transactions contemplated by the Merger Agreement. Pursuant to the terms and subject to the satisfaction, or to the extent permitted by applicable law, waiver of the conditions included in the Merger Agreement, SoundHound has agreed to acquire LivePerson by means of two mergers whereby Merger Sub I will merge with and into LivePerson, with LivePerson surviving the First Merger as an indirect, wholly owned subsidiary of SoundHound, and immediately following the First Merger, Merger Sub II will merge with and into LivePerson, with LivePerson surviving the Second Merger as an indirect wholly owned subsidiary of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terms and conditions of the Merger Agreement, at the First Effective Time, each share of LivePerson Common Stock issued and outstanding immediately prior to the First Effective Time (other than Cancelled LivePerson Shares and TASE Shares) will be automatically converted into the right to receive a number of shares of SoundHound Common Stock equal to the Per Share Merger Consideration. Further, subject to the terms and conditions of the Merger Agreement, at the Second Effective Time, each TASE Share (other than any Dissenting Shares) will be automatically converted into the right to receive an amount in cash equal to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all warrants to purchase shares of LivePerson Common Stock will be automatically cancelled without any payment or consideration required to be made in respect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stockholders will not be entitled to receive any fractional shares of SoundHound Common Stock in the Mergers,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Treatment of LivePerson Equity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First Effective Time, each In-the-Money Option held by any continuing service provider as of immediately after the Second Effective Time, whether or not then vested or exercisable, will be assumed by SoundHound and converted into an option to acquire shares of SoundHound Common Stock (each,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 A “Net Share” with respect to a LivePerson Option means the quotient obtained from dividing (a) the product of (i) the excess of the Per Share Cash Equivalent Consideration over the per share exercise price of such LivePerson Option, multiplied by (ii) the number of shares of LivePerson Common Stock covered by such LivePerson Option, by (b) the Per Share Cash Equivalent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outstanding and unexercised LivePerson Option that is not an In-the-Money Option will be cancelled for no consideration and without any payment in respect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LivePerson RSU that is outstanding immediately prior to the First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 restricted stock unit award covering shares of SoundHound Common Stock (such LivePerson RSUs, the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 (b) 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shall be commenced; and (d) if any offering period is still in effect at the First Effective Time, then the last day of such offering period will be accelerated to a date that is no later than three business days prior to the Closing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Date, Time, Place and Purpose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LivePerson special meeting will be held on August 20, 2026 at 10:00 a.m., Eastern Time via live audio webcast at </w:t>
      </w:r>
      <w:r>
        <w:rPr>
          <w:rFonts w:ascii="Times New Roman PS Std;serif" w:hAnsi="Times New Roman PS Std;serif"/>
          <w:b w:val="false"/>
          <w:i/>
          <w:caps w:val="false"/>
          <w:smallCaps w:val="false"/>
          <w:sz w:val="20"/>
          <w:bdr w:val="single" w:sz="8" w:space="10" w:color="000000"/>
        </w:rPr>
        <w:t>www.virtualshareholdermeeting.com/LPSN2026SM</w:t>
      </w:r>
      <w:r>
        <w:rPr>
          <w:rFonts w:ascii="Times New Roman PS Std;serif" w:hAnsi="Times New Roman PS Std;serif"/>
          <w:b w:val="false"/>
          <w:i w:val="false"/>
          <w:caps w:val="false"/>
          <w:smallCaps w:val="false"/>
          <w:sz w:val="20"/>
          <w:bdr w:val="single" w:sz="8" w:space="10" w:color="000000"/>
        </w:rPr>
        <w:t xml:space="preserve"> (the “LivePerson Special Meeting Website”). To attend the LivePerson special meeting please follow the instructions provided on the enclosed proxy card and on the LivePerson Special Meeting Website.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purpose of the LivePerson special meeting is to consider and vote on the merger proposal, the non-binding compensation advisory proposal, and the adjournment proposal. Approval of the merger proposal is a condition to the obligation of LivePerson and SoundHound to complete the Mergers. Approval of the non-binding compensation advisory proposal and the adjournment proposal is not a condition to the obligation of either LivePerson or SoundHound to complete the Mergers.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Only holders of record of issued and outstanding shares of LivePerson Common Stock as of the close of business on July 6, 2026, the Record Date, are entitled to notice of, and to vote at, the LivePerson special meeting or any adjournment or postponement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close of business on the Record Date, there were 12,332,427 shares of LivePerson Common Stock issued and outstanding and entitled to vote at the LivePerson special meeting. You may cast one vote for each share of LivePerson Common Stock that you held as of the close of business on the Record Date.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in connection with the transaction of business at the LivePerson special meeting. If you submit a properly executed proxy card, even if you do not vote for any of the proposals or vote to “</w:t>
      </w:r>
      <w:r>
        <w:rPr>
          <w:rFonts w:ascii="Times New Roman PS Std;serif" w:hAnsi="Times New Roman PS Std;serif"/>
          <w:b/>
          <w:i w:val="false"/>
          <w:caps w:val="false"/>
          <w:smallCaps w:val="false"/>
          <w:sz w:val="20"/>
          <w:bdr w:val="single" w:sz="8" w:space="10" w:color="000000"/>
        </w:rPr>
        <w:t>ABSTAIN</w:t>
      </w:r>
      <w:r>
        <w:rPr>
          <w:rFonts w:ascii="Times New Roman PS Std;serif" w:hAnsi="Times New Roman PS Std;serif"/>
          <w:b w:val="false"/>
          <w:i w:val="false"/>
          <w:caps w:val="false"/>
          <w:smallCaps w:val="false"/>
          <w:sz w:val="20"/>
          <w:bdr w:val="single" w:sz="8" w:space="10" w:color="000000"/>
        </w:rPr>
        <w:t>” in respect of each proposal, your shares of LivePerson Common Stock will be counted for purposes of determining whether a quorum is present for the transaction of business at the LivePerson special meeting.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Required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merger proposal. Failure to vote on the merger proposal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adjournment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proposal, the non-binding compensation advisory proposal and the adjournment proposal are described in the section entitled “</w:t>
      </w:r>
      <w:r>
        <w:rPr>
          <w:rFonts w:ascii="Times New Roman PS Std;serif" w:hAnsi="Times New Roman PS Std;serif"/>
          <w:b w:val="false"/>
          <w:i/>
          <w:caps w:val="false"/>
          <w:smallCaps w:val="false"/>
          <w:sz w:val="20"/>
          <w:bdr w:val="single" w:sz="8" w:space="10" w:color="000000"/>
        </w:rPr>
        <w:t>LivePerson Stockholder Proposals</w:t>
      </w:r>
      <w:r>
        <w:rPr>
          <w:rFonts w:ascii="Times New Roman PS Std;serif" w:hAnsi="Times New Roman PS Std;serif"/>
          <w:b w:val="false"/>
          <w:i w:val="false"/>
          <w:caps w:val="false"/>
          <w:smallCaps w:val="false"/>
          <w:sz w:val="20"/>
          <w:bdr w:val="single" w:sz="8" w:space="10" w:color="000000"/>
        </w:rPr>
        <w:t>” beginning on page 38.</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 quorum is not present or if there are not sufficient votes for the approval of the merger proposal, LivePerson expects that the LivePerson special meeting will be adjourned by the chairman of the LivePerson special meeting, as permitted by LivePerson’s bylaws, to solicit additional proxies in accordance with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SoundHound’s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drive upsell and cross-sell opportunities by offering SoundHound’s voice AI to LivePerson’s digital customers, a capability frequently requested by LivePerson’s customer base;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expectation that the combined company will create additional growth opportunities by leveraging the strengths of each business, which is expected to create long-term stockholder value;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cultural synergies between the two companies;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fact that the Merger Agreement places limitations on LivePerson’s ability to seek an Acquisition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 and requires LivePerson to pay the termination fee (as such term is defined in the section entitled “</w:t>
      </w:r>
      <w:r>
        <w:rPr>
          <w:rFonts w:ascii="Times New Roman PS Std;serif" w:hAnsi="Times New Roman PS Std;serif"/>
          <w:b w:val="false"/>
          <w:i/>
          <w:caps w:val="false"/>
          <w:smallCaps w:val="false"/>
          <w:sz w:val="20"/>
          <w:bdr w:val="single" w:sz="8" w:space="10" w:color="000000"/>
        </w:rPr>
        <w:t>Summary — Termination Fee — Termination Fee Payable by LivePerson</w:t>
      </w:r>
      <w:r>
        <w:rPr>
          <w:rFonts w:ascii="Times New Roman PS Std;serif" w:hAnsi="Times New Roman PS Std;serif"/>
          <w:b w:val="false"/>
          <w:i w:val="false"/>
          <w:caps w:val="false"/>
          <w:smallCaps w:val="false"/>
          <w:sz w:val="20"/>
          <w:bdr w:val="single" w:sz="8" w:space="10" w:color="000000"/>
        </w:rPr>
        <w:t>” beginning on page 94) if SoundHound or LivePerson terminates the Merger Agreement under certain circumstances, including if LivePerson enters into an agreement or consummates an Acquisition Proposal within a certain time period;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expectation that the conditions to the consummation of the Mergers will be satisfied on a timely basis;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amount and form of consideration to be paid in the transaction;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current financial market conditions and the current and historical market prices and volatility of, and trading information with respect to, SoundHound Common Stock and LivePerson Common Stock;</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management’s endorsement of the Mergers and LivePerson board of directors’ unanimous recommendation in favor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Recommendation of the LivePerson Board of Directors; LivePerson’s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a meeting held on April 21, 2026, the LivePerson board of directors unanimously (i) approved and declared advisable the Original Merger Agreement and the Notes Restructuring Agreement and the transactions contemplated thereby, (ii) determined that it is in the best interests of LivePerson and its stockholders for LivePerson to enter into the Original Merger Agreement and the Notes Restructuring Agreement, (iii) directed that the Original Merger Agreement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and the transactions contemplated by the Original Merger Agreement, be submitted to the LivePerson stockholders for their consideration, adoption, and approval, and (iv) resolved to recommend that the LivePerson stockholders vote to adopt the Merger Agreement.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 2026, the LivePerson board of directors unanimously (i) approved and declared advisable the Merger Agreement and the transactions contemplated thereby, including the Mergers, (ii) determined that it is in the best interests of LivePerson and its stockholders for LivePerson to enter into the Merger Agreement (and to amend and restate the Original Agreement in its entirety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LivePerson board of directors unanimously recommends that LivePerson stockholders vote “FOR” the merger proposal, “FOR” the non-binding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compensation advisory proposal and “FOR” the adjournment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the factors considered by the LivePerson board of directors in reaching its decision to approve the Merger Agreement, see the section entitled “</w:t>
      </w:r>
      <w:r>
        <w:rPr>
          <w:rFonts w:ascii="Times New Roman PS Std;serif" w:hAnsi="Times New Roman PS Std;serif"/>
          <w:b w:val="false"/>
          <w:i/>
          <w:caps w:val="false"/>
          <w:smallCaps w:val="false"/>
          <w:sz w:val="20"/>
          <w:bdr w:val="single" w:sz="8" w:space="10" w:color="000000"/>
        </w:rPr>
        <w:t>The Mergers — Recommendation of the LivePerson Board of Directors; LivePerson’s Reasons for the Mergers</w:t>
      </w:r>
      <w:r>
        <w:rPr>
          <w:rFonts w:ascii="Times New Roman PS Std;serif" w:hAnsi="Times New Roman PS Std;serif"/>
          <w:b w:val="false"/>
          <w:i w:val="false"/>
          <w:caps w:val="false"/>
          <w:smallCaps w:val="false"/>
          <w:sz w:val="20"/>
          <w:bdr w:val="single" w:sz="8" w:space="10" w:color="000000"/>
        </w:rPr>
        <w:t>” beginning on page 56.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LivePerson’s Financial Advisor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retained Houlihan Lokey Capital, Inc. (“Houlihan Lokey”) to act as a financial advisor in connection with the merger pursuant to the Original Merger Agreement. LivePerson selected Houlihan Lokey based on its qualifications, expertise and reputation and its knowledge of the business and capital structure of LivePerson.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21, 2026, Houlihan Lokey Capital, Inc.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pursuant to the Original Merger Agreement was fair, from a financial point of view, to such holders (solely in their capacity as holders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Houlihan Lokey’s opinion was directed to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merger pursuant to the Original Merger Agreement and did not address any other aspect or implication of the transactions contemplated by the Original Merger Agreement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LivePerson, SoundHound, any security holder or any other person as to</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how to act or vote with respect to any matter relating to the Mergers or otherwise. Houlihan Lokey’s opinion was not updated in connection with the amendment and restatement of the Original Merger Agreement and does not address any aspect or implication thereof. For more information, see the section of this proxy statement/prospectus entitled “</w:t>
      </w:r>
      <w:r>
        <w:rPr>
          <w:rFonts w:ascii="Times New Roman PS Std;serif" w:hAnsi="Times New Roman PS Std;serif"/>
          <w:b/>
          <w:i/>
          <w:caps w:val="false"/>
          <w:smallCaps w:val="false"/>
          <w:sz w:val="20"/>
          <w:bdr w:val="single" w:sz="8" w:space="10" w:color="000000"/>
        </w:rPr>
        <w:t>The Mergers</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i/>
          <w:caps w:val="false"/>
          <w:smallCaps w:val="false"/>
          <w:sz w:val="20"/>
          <w:bdr w:val="single" w:sz="8" w:space="10" w:color="000000"/>
        </w:rPr>
        <w:t>Opinion of LivePerson’s Financial Advisor.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LivePerson’s Directors and Executive Officers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See the section entitled “</w:t>
      </w:r>
      <w:r>
        <w:rPr>
          <w:rFonts w:ascii="Times New Roman PS Std;serif" w:hAnsi="Times New Roman PS Std;serif"/>
          <w:b w:val="false"/>
          <w:i/>
          <w:caps w:val="false"/>
          <w:smallCaps w:val="false"/>
          <w:sz w:val="20"/>
          <w:bdr w:val="single" w:sz="8" w:space="10" w:color="000000"/>
        </w:rPr>
        <w:t>Interests of LivePerson’s Directors and Executive Officers in the Mergers</w:t>
      </w:r>
      <w:r>
        <w:rPr>
          <w:rFonts w:ascii="Times New Roman PS Std;serif" w:hAnsi="Times New Roman PS Std;serif"/>
          <w:b w:val="false"/>
          <w:i w:val="false"/>
          <w:caps w:val="false"/>
          <w:smallCaps w:val="false"/>
          <w:sz w:val="20"/>
          <w:bdr w:val="single" w:sz="8" w:space="10" w:color="000000"/>
        </w:rPr>
        <w:t>” beginning on page 99.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Certain Beneficial Owners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 For additional information regarding beneficial ownership of LivePerson Common Stock, see the section entitled “</w:t>
      </w:r>
      <w:r>
        <w:rPr>
          <w:rFonts w:ascii="Times New Roman PS Std;serif" w:hAnsi="Times New Roman PS Std;serif"/>
          <w:b w:val="false"/>
          <w:i/>
          <w:caps w:val="false"/>
          <w:smallCaps w:val="false"/>
          <w:sz w:val="20"/>
          <w:bdr w:val="single" w:sz="8" w:space="10" w:color="000000"/>
        </w:rPr>
        <w:t>Security Ownership of Certain Beneficial Owners and Management of LivePerson</w:t>
      </w:r>
      <w:r>
        <w:rPr>
          <w:rFonts w:ascii="Times New Roman PS Std;serif" w:hAnsi="Times New Roman PS Std;serif"/>
          <w:b w:val="false"/>
          <w:i w:val="false"/>
          <w:caps w:val="false"/>
          <w:smallCaps w:val="false"/>
          <w:sz w:val="20"/>
          <w:bdr w:val="single" w:sz="8" w:space="10" w:color="000000"/>
        </w:rPr>
        <w:t>” beginning on page 114.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PS Std;serif" w:hAnsi="Times New Roman PS Std;serif"/>
          <w:b w:val="false"/>
          <w:i/>
          <w:caps w:val="false"/>
          <w:smallCaps w:val="false"/>
          <w:sz w:val="20"/>
          <w:bdr w:val="single" w:sz="8" w:space="10" w:color="000000"/>
        </w:rPr>
        <w:t>The Mergers — Regulatory Approvals</w:t>
      </w:r>
      <w:r>
        <w:rPr>
          <w:rFonts w:ascii="Times New Roman PS Std;serif" w:hAnsi="Times New Roman PS Std;serif"/>
          <w:b w:val="false"/>
          <w:i w:val="false"/>
          <w:caps w:val="false"/>
          <w:smallCaps w:val="false"/>
          <w:sz w:val="20"/>
          <w:bdr w:val="single" w:sz="8" w:space="10" w:color="000000"/>
        </w:rPr>
        <w:t>” beginning on page 70.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 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Litigation Relating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Stockholders of LivePerson or SoundHound may file lawsuits challenging the Mergers or the other transactions contemplated by the Merger Agreement, which may name LivePerson, SoundHound, members of the boards of directors of LivePerson or SoundHound, or others as defendants.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Appraisal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bdr w:val="single" w:sz="8" w:space="10" w:color="000000"/>
        </w:rPr>
        <w:t>https://delcode.delaware.gov/title8/c001/sc09/index.html#262</w:t>
      </w:r>
      <w:r>
        <w:rPr>
          <w:rFonts w:ascii="Times New Roman PS Std;serif" w:hAnsi="Times New Roman PS Std;serif"/>
          <w:b w:val="false"/>
          <w:i w:val="false"/>
          <w:caps w:val="false"/>
          <w:smallCaps w:val="false"/>
          <w:sz w:val="20"/>
          <w:bdr w:val="single" w:sz="8" w:space="10" w:color="000000"/>
        </w:rPr>
        <w:t xml:space="preserv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bdr w:val="single" w:sz="8" w:space="10" w:color="000000"/>
        </w:rPr>
        <w:t>Appraisal Rights</w:t>
      </w:r>
      <w:r>
        <w:rPr>
          <w:rFonts w:ascii="Times New Roman PS Std;serif" w:hAnsi="Times New Roman PS Std;serif"/>
          <w:b w:val="false"/>
          <w:i w:val="false"/>
          <w:caps w:val="false"/>
          <w:smallCaps w:val="false"/>
          <w:sz w:val="20"/>
          <w:bdr w:val="single" w:sz="8" w:space="10" w:color="000000"/>
        </w:rPr>
        <w:t xml:space="preserve">” beginning on page 116.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the Completion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party’s obligation to complete the Mergers is subject to the satisfaction or, to the extent permitted by applicable law, waiver, of the following mutual conditions at or prior to the First Effective Time: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LivePerson Stockholder Approval</w:t>
      </w:r>
      <w:r>
        <w:rPr>
          <w:rFonts w:ascii="Times New Roman PS Std;serif" w:hAnsi="Times New Roman PS Std;serif"/>
          <w:b w:val="false"/>
          <w:i w:val="false"/>
          <w:caps w:val="false"/>
          <w:smallCaps w:val="false"/>
          <w:sz w:val="20"/>
          <w:bdr w:val="single" w:sz="8" w:space="10" w:color="000000"/>
        </w:rPr>
        <w:t>.    The merger proposal must have been approved by the required vote of a majority of the outstanding shares of LivePerson Common Stock entitled to vote on the merger proposal;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Regulatory Approval</w:t>
      </w:r>
      <w:r>
        <w:rPr>
          <w:rFonts w:ascii="Times New Roman PS Std;serif" w:hAnsi="Times New Roman PS Std;serif"/>
          <w:b w:val="false"/>
          <w:i w:val="false"/>
          <w:caps w:val="false"/>
          <w:smallCaps w:val="false"/>
          <w:sz w:val="20"/>
          <w:bdr w:val="single" w:sz="8" w:space="10" w:color="000000"/>
        </w:rPr>
        <w:t>.    Certain required consents, authorizations, approvals, orders, filings and declarations required to be obtained prior to the consummation of the Mergers must have been filed, occurred or been obtained (or any applicable waiting period thereunder have expired or been terminated);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No Injunctions or Restraints</w:t>
      </w:r>
      <w:r>
        <w:rPr>
          <w:rFonts w:ascii="Times New Roman PS Std;serif" w:hAnsi="Times New Roman PS Std;serif"/>
          <w:b w:val="false"/>
          <w:i w:val="false"/>
          <w:caps w:val="false"/>
          <w:smallCaps w:val="false"/>
          <w:sz w:val="20"/>
          <w:bdr w:val="single" w:sz="8" w:space="10" w:color="000000"/>
        </w:rPr>
        <w:t>.    No law or order shall have been issued, entered, promulgated or enacted that restrains, enjoins, or otherwise prohibits or makes illegal the consummation of the Mergers and no injunction, order or award restraining or enjoining, or otherwise prohibiting, the consummation of the Mergers shall have issued by any governmental entity having jurisdiction over any party and remain in force (each, a “Legal Impediment”);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Effectiveness of the Registration Statement</w:t>
      </w:r>
      <w:r>
        <w:rPr>
          <w:rFonts w:ascii="Times New Roman PS Std;serif" w:hAnsi="Times New Roman PS Std;serif"/>
          <w:b w:val="false"/>
          <w:i w:val="false"/>
          <w:caps w:val="false"/>
          <w:smallCaps w:val="false"/>
          <w:sz w:val="20"/>
          <w:bdr w:val="single" w:sz="8" w:space="10" w:color="000000"/>
        </w:rPr>
        <w:t>.    The registration statement, of which this proxy statement/prospectus forms a part, must have been declared effective by the SEC under the Securities Act and must not be the subject of any stop order; and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Exchange Listing</w:t>
      </w:r>
      <w:r>
        <w:rPr>
          <w:rFonts w:ascii="Times New Roman PS Std;serif" w:hAnsi="Times New Roman PS Std;serif"/>
          <w:b w:val="false"/>
          <w:i w:val="false"/>
          <w:caps w:val="false"/>
          <w:smallCaps w:val="false"/>
          <w:sz w:val="20"/>
          <w:bdr w:val="single" w:sz="8" w:space="10" w:color="000000"/>
        </w:rPr>
        <w:t>.    The shares of SoundHound Common Stock to be issued in the First Merger must have been authorized for listing on the Nasdaq Global Market or such other Nasdaq market on which shares of SoundHound Common Stock are then listed, subject to official notice of issuance.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SoundHound, Merger Sub I and Merger Sub II to complete the Mergers are subject to the satisfaction or, to the extent permitted by applicable law, waiver of further conditions, including: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having performed and complied with in all material respects all of its obligations under the Merger Agreement required to be performed or complied with at or prior to the Closing;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April 21, 2026, no material adverse effect with respect to LivePerson, as defined in the Merger Agreement, shall have occurred;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having received a certificate of LivePerson signed by an executive officer of LivePerson, dated as of the Closing Date, confirming that the conditions set forth in the three bullets directly above have been satisfied;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consummation of the Notes Restructuring Transactions (as defined in the section entitled “</w:t>
      </w:r>
      <w:r>
        <w:rPr>
          <w:rFonts w:ascii="Times New Roman PS Std;serif" w:hAnsi="Times New Roman PS Std;serif"/>
          <w:b w:val="false"/>
          <w:i/>
          <w:caps w:val="false"/>
          <w:smallCaps w:val="false"/>
          <w:sz w:val="20"/>
          <w:bdr w:val="single" w:sz="8" w:space="10" w:color="000000"/>
        </w:rPr>
        <w:t>Certain Agreements Related to the Transactions — The Notes Restructuring Agreement</w:t>
      </w:r>
      <w:r>
        <w:rPr>
          <w:rFonts w:ascii="Times New Roman PS Std;serif" w:hAnsi="Times New Roman PS Std;serif"/>
          <w:b w:val="false"/>
          <w:i w:val="false"/>
          <w:caps w:val="false"/>
          <w:smallCaps w:val="false"/>
          <w:sz w:val="20"/>
          <w:bdr w:val="single" w:sz="8" w:space="10" w:color="000000"/>
        </w:rPr>
        <w:t>” beginning on page 97) (the “Notes Restructuring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 of LivePerson to complete the Mergers is subject to the satisfaction or, to the extent permitted by applicable law, waiver, of the following additional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of SoundHound, Merger Sub I and Merger Sub II contained in the Merger Agreement as of April 21, 2026, or July 2, 2026 (as specified in the Merger Agreement) and as of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Merger Sub I and Merger Sub II having performed and complied with in all material respects all of their respective obligations under the Merger Agreement required to be performed or complied with by them at or prior to the Closing;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having received a certificate of SoundHound signed by an executive officer of SoundHound, dated as of the Closing Date, confirming that the conditions in the two bullets directly above have been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 of Acquisition Proposals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No Solicitation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grant a waiver of or terminate any “standstill” or similar obligation of any third party with respect to LivePerson or any of its subsidiaries to allow a third party to submit an Acquisition Proposal;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Superior Proposal</w:t>
      </w:r>
      <w:r>
        <w:rPr>
          <w:rFonts w:ascii="Times New Roman PS Std;serif" w:hAnsi="Times New Roman PS Std;serif"/>
          <w:b w:val="false"/>
          <w:i w:val="false"/>
          <w:caps w:val="false"/>
          <w:smallCaps w:val="false"/>
          <w:sz w:val="20"/>
          <w:bdr w:val="single" w:sz="8" w:space="10" w:color="000000"/>
        </w:rPr>
        <w:t xml:space="preserve">” beginning on page 88), LivePerson may furnish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Change of Recommendation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Restrictions on Change of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certain exceptions described below, the LivePerson board of directors may not: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withdraw, change, amend, modify or qualify, or otherwise propose to withdraw, change, amend, modify or qualify, the LivePerson board of directors recommendation;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 to include the LivePerson board of directors recommendation in this proxy statement/prospectus;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adopt, approve, authorize, declare advisable, endorse or recommend, or propose to adopt, approve, authorize, declare advisable, endorse or recommend, or submit to LivePerson stockholders for their approval, any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LivePerson special meeting);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call or convene a meeting of LivePerson stockholders to consider a proposal that would reasonably be expected to materially impair, prevent or delay the consummation of the Mergers and the other transactions contemplated by the Merger Agreement;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of the actions described in the seven bullets directly above is referred to herein as a “recommendation change.”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Recommendation Change in Connection with a Superior Proposal or Intervening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Notwithstanding the foregoing, if at any time following April 21, 2026 and prior to the time that the merger proposal has been approved by the LivePerson stockholders (a)(i) LivePerson has received a </w:t>
      </w:r>
      <w:r>
        <w:rPr>
          <w:rFonts w:ascii="Times New Roman PS Std;serif" w:hAnsi="Times New Roman PS Std;serif"/>
          <w:b w:val="false"/>
          <w:i/>
          <w:caps w:val="false"/>
          <w:smallCaps w:val="false"/>
          <w:sz w:val="20"/>
          <w:bdr w:val="single" w:sz="8" w:space="10" w:color="000000"/>
        </w:rPr>
        <w:t>bona fide</w:t>
      </w:r>
      <w:r>
        <w:rPr>
          <w:rFonts w:ascii="Times New Roman PS Std;serif" w:hAnsi="Times New Roman PS Std;serif"/>
          <w:b w:val="false"/>
          <w:i w:val="false"/>
          <w:caps w:val="false"/>
          <w:smallCaps w:val="false"/>
          <w:sz w:val="20"/>
          <w:bdr w:val="single" w:sz="8" w:space="10" w:color="000000"/>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or (ii) the LivePerson board of directors (or any duly authorized committee thereof) determines that an Intervening Event (as such term is defined in the section entitled “</w:t>
      </w:r>
      <w:r>
        <w:rPr>
          <w:rFonts w:ascii="Times New Roman PS Std;serif" w:hAnsi="Times New Roman PS Std;serif"/>
          <w:b w:val="false"/>
          <w:i/>
          <w:caps w:val="false"/>
          <w:smallCaps w:val="false"/>
          <w:sz w:val="20"/>
          <w:bdr w:val="single" w:sz="8" w:space="10" w:color="000000"/>
        </w:rPr>
        <w:t xml:space="preserve">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Agreement — No Solicitation; Change of Recommendation — Permitted Recommendation Change in Connection with a Superior Proposal or Intervening Event — Definition of Intervening Event</w:t>
      </w:r>
      <w:r>
        <w:rPr>
          <w:rFonts w:ascii="Times New Roman PS Std;serif" w:hAnsi="Times New Roman PS Std;serif"/>
          <w:b w:val="false"/>
          <w:i w:val="false"/>
          <w:caps w:val="false"/>
          <w:smallCaps w:val="false"/>
          <w:sz w:val="20"/>
          <w:bdr w:val="single" w:sz="8" w:space="10" w:color="000000"/>
        </w:rPr>
        <w:t>” beginning on 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may terminate the Merger Agreement prior to the First Effective Time and abandon the Mergers and the other transactions contemplated thereby by mutual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by either SoundHound or LivePerson prior to the First Effective Time, and the Mergers and the other transactions contemplated by the Merger Agreement may be abandoned, in any of the following situations: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any Legal Impediment permanently restraining, enjoining or otherwise prohibiting or making illegal the Mergers (or otherwise prohibiting the consummation of the Mergers) becomes final and non-appealable, so long as the terminating party’s material breach of its obligations under the Merger Agreement is not the primary cause of, or resulted in, the issuance of such Legal Impediment (a “Legal Impediment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if the First Effective Time shall not have occurred (or if the Second Effective Time shall not have occurred within one hour following the First Effective Time) on or before October 21, 2026 (the “initial outside date”) (except that, if at such time, all conditions to Closing have been satisfied (other than conditions that by their nature can only be satisfied on the Closing Date) or waived by the parties, as applicable, other than the conditions related to Legal Impediments or regulatory approvals then such date shall be automatically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extended to December 5, 2026) (the “extended outside date”, together with the initial outside date, the “outside date”), so long as the terminating party’s material breach of its obligations under the Merger Agreement is not the primary cause of, or resulted in, the failure of the First Effective Time to occur on or before the initial outside date or the extended outside date, as the case may be (an “outside date termination event”);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LivePerson stockholders do not approve the merger proposal at the LivePerson special meeting (as such meeting may be adjourned or postponed in accordance with the Merger Agreement) (a “LivePerson stockholder approval termination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prior to the First Effective Time, and the Mergers and other transactions contemplated by the Merger Agreement may be abandoned, by SoundHound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LivePerson board of directors has effected a recommendation change or if LivePerson materially breaches its “no solicitation” obligations under the Merger Agreement as described in the section entitled “</w:t>
      </w:r>
      <w:r>
        <w:rPr>
          <w:rFonts w:ascii="Times New Roman PS Std;serif" w:hAnsi="Times New Roman PS Std;serif"/>
          <w:b w:val="false"/>
          <w:i/>
          <w:caps w:val="false"/>
          <w:smallCaps w:val="false"/>
          <w:sz w:val="20"/>
          <w:bdr w:val="single" w:sz="8" w:space="10" w:color="000000"/>
        </w:rPr>
        <w:t>The Merger Agreement — No Solicitation; Change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of Recommendation</w:t>
      </w:r>
      <w:r>
        <w:rPr>
          <w:rFonts w:ascii="Times New Roman PS Std;serif" w:hAnsi="Times New Roman PS Std;serif"/>
          <w:b w:val="false"/>
          <w:i w:val="false"/>
          <w:caps w:val="false"/>
          <w:smallCaps w:val="false"/>
          <w:sz w:val="20"/>
          <w:bdr w:val="single" w:sz="8" w:space="10" w:color="000000"/>
        </w:rPr>
        <w:t>”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 LivePerson breaches its representations, warranties or covenants contained in the Merger Agreement such that the relevant Closing conditions applicable to LivePerson are not reasonably capable of being satisfied while such breach is continuing; (ii) SoundHound delivers written notice of such breach to LivePerson and (iii) such breach is not capable of cure in a manner sufficient to allow satisfaction of the relevant Closing conditions applicable to LivePerson prior to the outside date or otherwise is not cured in a manner sufficient to allow the satisfaction of such Closing conditions by the earlier of (x) the business day prior to the outside date or (y) 30 days following the date of delivery of such written notice to LivePerson (a “LivePerson breach termination event”); provided that SoundHound is not entitled to terminate the Merger Agreement for a LivePerson breach termination event if SoundHound is then in material breach of any representation, warranty, covenant or agreement in the Merger Agreement that would result in the failure of the relevant Closing conditions applicable to SoundHound;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Notes Restructuring Agreement is terminated for any reason (a “Notes Restructuring termination event”); provided that, the termination of the Notes Restructuring Agreement does not primarily result from SoundHound’s material breach of the provisions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prior to the First Effective Time, and the Mergers and other transactions contemplated by the Merger Agreement may be abandoned, by LivePerson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the time that the merger proposal has been approved by the LivePerson stockholders, the LivePerson board of directors (or a committee thereof) determines to terminate the Merger Agreement in order to substantially concurrently with such termination enter into a definitive agreement providing for a Superior Proposal (a “Superior Proposal termination event”); provided that, LivePerson shall not be entitled to terminate the Merger Agreement for a Superior Proposal termination event unless it has complied with its no solicitation obligations with respect thereto and substantially concurrently with, or prior to (and as a condition to), such termination, LivePerson pays to SoundHound the termination fee;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 SoundHound breaches its representations, warranties or covenants contained in the Merger Agreement such that the relevant Closing conditions applicable to SoundHound are not reasonably capable of being satisfied while such breach is continuing; (ii) LivePerson delivers written notice of such breach to SoundHound and (iii) such breach is not capable of cure in a manner sufficient to allow satisfaction of the relevant Closing conditions applicable to SoundHound prior to the outside date or otherwise is not cured in a manner sufficient to allow the satisfaction of such Closing conditions by the earlier of (x) the business day prior to the outside date or (y) 30 days following the date of delivery of such written notice to SoundHound (a “SoundHound breach termination event”); provided that LivePerson is not entitled to terminate the Merger Agreement for a SoundHound breach termination event if LivePerson is then in material breach of any representation, warranty, covenant or agreement in the Merger Agreement that would result in the failure of the relevant Closing conditions applicable to LivePerson.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LivePerson to pay SoundHound a termination fee of (i) $5 million, plus (ii) an amount equal to SoundHound’s documented expenses incurred prior to (and including) the date of termination of the Merger Agreement (the “termination fee”)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terminates the Merger Agreement as a result of a Superior Proposal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 except that references to “15%” and “85%” therein shall be deemed to be references to “50%.”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prepare their respective financial statements in accordance with GAAP. The Mergers will be accounted for as a business combination using the acquisition method with SoundHound as the accounting acquirer in accordance with Accounting Standards Codification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section entitled “</w:t>
      </w:r>
      <w:r>
        <w:rPr>
          <w:rFonts w:ascii="Times New Roman PS Std;serif" w:hAnsi="Times New Roman PS Std;serif"/>
          <w:b w:val="false"/>
          <w:i/>
          <w:caps w:val="false"/>
          <w:smallCaps w:val="false"/>
          <w:sz w:val="20"/>
          <w:bdr w:val="single" w:sz="8" w:space="10" w:color="000000"/>
        </w:rPr>
        <w:t>Unaudited Pro Forma Condensed Combined Financial Statements</w:t>
      </w:r>
      <w:r>
        <w:rPr>
          <w:rFonts w:ascii="Times New Roman PS Std;serif" w:hAnsi="Times New Roman PS Std;serif"/>
          <w:b w:val="false"/>
          <w:i w:val="false"/>
          <w:caps w:val="false"/>
          <w:smallCaps w:val="false"/>
          <w:sz w:val="20"/>
          <w:bdr w:val="single" w:sz="8" w:space="10" w:color="000000"/>
        </w:rPr>
        <w:t>” beginning on page 126 and related notes included in this proxy statement/prospectus are preliminary and subject to revision based on a final determination of fair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U.S. Federal Income Tax Consequences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exchange by a Holder (as defined below under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of shares of LivePerson Common Stock for cash or shares of SoundHound Common Stock (and the receipt of cash in lieu of any fractional shares of SoundHound Common Stock), as applicable, pursuant to the Mergers is intended to be treated as a taxable sale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U.S. Holder (as defined in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generally will recognize gain or loss for U.S. federal income tax 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gain or loss will be long-term capital gain or loss if such U.S. Holder’s holding period in such shares of LivePerson Common Stock exceeds one year as of the Closing Date. The deductibility of capital losses is subject to limitations.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gain realized by a Non-U.S. Holder (as defined in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upon exchange of shares of LivePerson 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for a more detailed discussion of the material U.S. federal income tax consequences of the Mergers. Because individual circumstances may differ, each Holder of LivePerson Common Stock should consult its own tax advisor as to the particular tax consequences of the Mergers to it,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Comparison of Stockholders’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rights of LivePerson stockholders who receive shares of SoundHound Common Stock in the First Merger will be governed by the Restated Certificate of Incorporation of SoundHound (the “SoundHound charter”) and the Amended and Restated Bylaws of SoundHound (the “SoundHound bylaws”), which are governed by Delaware law, rather than by the LivePerson organizational documents, which are also governed by Delaware law. Although both SoundHound and LivePerson are Delaware corporations, LivePerson stockholders will have different rights once they become SoundHound stockholders as a result of the First Merger due to the differences in the organizational documents of LivePerson and SoundHound. The key differences are described in the section entitled “</w:t>
      </w:r>
      <w:r>
        <w:rPr>
          <w:rFonts w:ascii="Times New Roman PS Std;serif" w:hAnsi="Times New Roman PS Std;serif"/>
          <w:b w:val="false"/>
          <w:i/>
          <w:caps w:val="false"/>
          <w:smallCaps w:val="false"/>
          <w:sz w:val="20"/>
          <w:bdr w:val="single" w:sz="8" w:space="10" w:color="000000"/>
        </w:rPr>
        <w:t>Comparison of Rights of Stockholders of SoundHound and Stockholders of LivePerson</w:t>
      </w:r>
      <w:r>
        <w:rPr>
          <w:rFonts w:ascii="Times New Roman PS Std;serif" w:hAnsi="Times New Roman PS Std;serif"/>
          <w:b w:val="false"/>
          <w:i w:val="false"/>
          <w:caps w:val="false"/>
          <w:smallCaps w:val="false"/>
          <w:sz w:val="20"/>
          <w:bdr w:val="single" w:sz="8" w:space="10" w:color="000000"/>
        </w:rPr>
        <w:t>” beginning on page 107.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Closing and Effective Times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bdr w:val="single" w:sz="8" w:space="10" w:color="000000"/>
        </w:rPr>
        <w:t>The Merger Agreement — Conditions to the Completion of the Mergers</w:t>
      </w:r>
      <w:r>
        <w:rPr>
          <w:rFonts w:ascii="Times New Roman PS Std;serif" w:hAnsi="Times New Roman PS Std;serif"/>
          <w:b w:val="false"/>
          <w:i w:val="false"/>
          <w:caps w:val="false"/>
          <w:smallCaps w:val="false"/>
          <w:sz w:val="20"/>
          <w:bdr w:val="single" w:sz="8" w:space="10" w:color="00000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Closing Date, (i) SoundHound, Merger Sub I and LivePerson will cause a certificate of merger to be executed and filed with the Secretary of State of the State of Delaware in accordance with the relevant provisions of the DGCL and will make all other filings or recordings required under the DGCL and (ii) SoundHound, Merger Sub II and LivePerson will cause a certificate of merger to be executed and filed with the Secretary of State of the State of Delaware in accordance with the relevant provisions of the DGCL and will make all other filings or recordings required under the DGCL. The First Merger will become effective at the time the certificate of merger in respect of the First Merger has been duly filed with the Secretary of State of the State of Delaware, or at such other date and time as is agreed upon by the parties and specified in such certificate of merger in accordance with the DGCL (such time as the First Merger becomes effective, the “First Effective Time”). The Second Merger will become effective at the time the certificate of merger in respect of the Second Merger has been duly filed with the Secretary of State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State of Delaware, or at such other date and time as is agreed upon by the parties and specified in such certificate of merger in accordance with the DGCL, but in any event at least one minute after the First Effective Time (such time as the Second Merger becomes effective, the “Second Effective Time”, and together with the First Effective Time, the “Effective Times”).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Listing of SoundHound Shares; Delisting and Deregistration of LivePerson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the Nasdaq Global Select Market and the TASE and deregistered under the Exchange Act, and LivePerson will no longer be required to file periodic reports with the SEC pursuant to the Exchange Act. Additionally, LivePerson provided notice to the TASE of its intention to delist the TASE Shares, effective on or about September 9, 2026. If the Mergers are not consummated prior to such date, TASE Shares will be delisted from the TASE prior to closing of the Mergers.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Mergers and an investment in SoundHound Common Stock involve risks, some of which are related to the transactions contemplated by the Merger Agreement. You should carefully consider the information about these risks set forth under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20, together with the other information included or incorporated by reference in this proxy statement/prospectus, particularly the risk factors contained in SoundHound’s and LivePerson’s Annual Reports on Form 10-K, Quarterly Reports on Form 10-Q, Current Reports on Form 8-K and other filings they make with the SEC. LivePerson stockholders should carefully consider the risks set out in that section before deciding how to vote with respect to the merger proposal, the non-binding compensation advisory proposal and the adjournment proposal to be considered and voted on at the LivePerson special meeting. For additional information,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3"/>
      <w:bookmarkEnd w:id="3"/>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communication contains statements regarding SoundHound, LivePerson, the proposed transactions described herein and other matters that are forward looking statements within the meaning of Section 27A of the Securities Act of 1933, as amended, and Section 21E of the Securities Exchange Act of 1934, as amended.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 (ii) 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the transactions described herein will not be completed or will not provide the expected benefits;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failure to timely or at all obtain LivePerson stockholder approval for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inability to obtain required regulatory approvals for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timing of obtaining such approvals and the risk that such approvals may result in the imposition of conditions that could adversely affect the combined company or the expected benefits of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a condition to closing of the proposed transactions may not be satisfied on a timely basis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possible occurrence of an event, change or other circumstance that would give rise to the termination of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stockholder litigation in connection with the Mergers, including resulting expense or delay in closing of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failure of the proposed transactions to close for any other reason;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diversion of the attention of SoundHound and LivePerson management from ongoing business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unexpected costs, liabilities, charges or expenses resulting from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the integration of SoundHound and LivePerson will be more difficult, time consuming or expensive than anticipated;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customer loss or other business disruption in connection with the proposed transactions, or of the loss of key employees;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fact that unforeseen liabilities of SoundHound or LivePerson may exist;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changes in applicable laws or regulations and extensive and evolving government regulations that impact SoundHound’s or LivePerson’s operations and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investigations, claims, disputes, enforcement actions, litigation and/or other regulatory or legal proceedings, including with respect to AI technology;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that SoundHound may not be able to manage strains associated with its growth;</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dependence on key personnel;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stock price volatility;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SoundHound’s and LivePerson’s ability to protect their intellectual property and litigation risks;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LivePerson’s usage patterns, customer renewals, customer outcomes and similar metrics differ from expectations;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cybersecurity incidents or breaches impacting LivePerson’s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risks related to the use and regulation of artificial intelligence and machine learning;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general economic, financial, legal, political and business conditions;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other risks inherent in SoundHound’s and LivePerson’s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Such factors are difficult to predict and, in many cases, may be beyond the control of SoundHound and LivePerson. SoundHound’s and LivePerson’s forward-looking statements are based on assumptions that SoundHound and LivePerson, respectively, believe to be reasonable but that may not prove to be accurate. Consequently, all of the forward-looking statements SoundHound and LivePerson make in this proxy statement/prospectus are qualified by the information contained or incorporated by reference herein, including the information contained under this heading and the information detailed in SoundHound’s Annual Report on Form 10-K for the fiscal year ended December 31, 2025, Quarterly Report on Form 10-Q for the quarterly period ended March 31, 2026, Current Reports on Form 8-K and other filings SoundHound makes with the SEC, which are incorporated herein by reference, and in LivePerson’s Annual Report on Form 10-K for the fiscal year ended December 31, 2025, Quarterly Report on Form 10-Q for the quarterly period ended March 31, 2026, Current Reports on Form 8-K and other filings LivePerson makes with the SEC, which are incorporated herein by reference. For additional information, see the sections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and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pages 20 and 124,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undertake no obligation to update any forward-looking statements or to publicly release the result of any revisions to any such forward-looking statements that may be made to reflect events or circumstances that occur, or which they become aware of, except as required by applicable law or regulation. Readers are cautioned not to place undue reliance on these forward-looking statements, which speak only as of the date 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4" w:name="T9904"/>
      <w:bookmarkEnd w:id="4"/>
      <w:r>
        <w:rPr>
          <w:rFonts w:ascii="Times New Roman PS Std;serif" w:hAnsi="Times New Roman PS Std;serif"/>
          <w:b/>
          <w:i w:val="false"/>
          <w:caps/>
          <w:sz w:val="20"/>
          <w:bdr w:val="single" w:sz="8" w:space="10" w:color="000000"/>
        </w:rPr>
        <w:t xml:space="preserve">Comparison of Market Price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sets forth the closing sale price per share of SoundHound Common Stock and LivePerson Common Stock as reported on the Nasdaq Global Market and the Nasdaq Global Select Market, respectively, on Monday, April 20, 2026, the last trading day prior to the public announcement of the Original Merger Agreement, and on July 7, 2026, the last practicable trading day prior to the mailing of this proxy statement/prospectus. The table also shows the estimated implied value of the Aggregate Consideration Amount (assuming no adjustments thereto) proposed for each share of LivePerson Common Stock as of the same two dates. This implied value was calculated by dividing the Aggregate Consideration Amount by the number of shares of LivePerson Common Stock outstanding as of July 7, 2026 on a fully diluted basis.</w:t>
      </w:r>
    </w:p>
    <w:tbl>
      <w:tblPr>
        <w:tblW w:w="7400" w:type="dxa"/>
        <w:jc w:val="left"/>
        <w:tblInd w:w="0" w:type="dxa"/>
        <w:tblLayout w:type="fixed"/>
        <w:tblCellMar>
          <w:top w:w="0" w:type="dxa"/>
          <w:left w:w="0" w:type="dxa"/>
          <w:bottom w:w="0" w:type="dxa"/>
          <w:right w:w="0" w:type="dxa"/>
        </w:tblCellMar>
      </w:tblPr>
      <w:tblGrid>
        <w:gridCol w:w="1471"/>
        <w:gridCol w:w="146"/>
        <w:gridCol w:w="556"/>
        <w:gridCol w:w="1140"/>
        <w:gridCol w:w="146"/>
        <w:gridCol w:w="555"/>
        <w:gridCol w:w="1140"/>
        <w:gridCol w:w="146"/>
        <w:gridCol w:w="654"/>
        <w:gridCol w:w="1446"/>
      </w:tblGrid>
      <w:tr>
        <w:trPr/>
        <w:tc>
          <w:tcPr>
            <w:tcW w:w="14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Common Stock</w:t>
            </w:r>
          </w:p>
        </w:tc>
        <w:tc>
          <w:tcPr>
            <w:tcW w:w="146" w:type="dxa"/>
            <w:tcBorders/>
            <w:vAlign w:val="bottom"/>
          </w:tcPr>
          <w:p>
            <w:pPr>
              <w:pStyle w:val="TableContents"/>
              <w:bidi w:val="0"/>
              <w:spacing w:before="0" w:after="283"/>
              <w:jc w:val="left"/>
              <w:rPr/>
            </w:pPr>
            <w:r>
              <w:rPr/>
              <w:t> </w:t>
            </w:r>
          </w:p>
        </w:tc>
        <w:tc>
          <w:tcPr>
            <w:tcW w:w="21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Per Share </w:t>
              <w:br/>
              <w:t xml:space="preserve">Value of Merger </w:t>
              <w:br/>
              <w:t>Consideration(1)</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 2026</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r>
      <w:tr>
        <w:trPr/>
        <w:tc>
          <w:tcPr>
            <w:tcW w:w="1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2026</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xml:space="preserve">(1)      The implied per share value of merger consideration is calculated by multiplying the SoundHound Closing VWAP Stock Price and the Per Share Merger Consideration.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SoundHound and LivePerson Common Stock are encouraged to obtain current market quotations for SoundHound Common Stock and LivePerson Common Stock and to review carefully the other information contained in this proxy statement/prospectus or incorporated by reference herein. No assurance can be given concerning the market price of SoundHound Common Stock before or after the effective date of the Mergers. For additional information,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9905"/>
      <w:bookmarkEnd w:id="5"/>
      <w:r>
        <w:rPr>
          <w:rFonts w:ascii="Times New Roman PS Std;serif" w:hAnsi="Times New Roman PS Std;serif"/>
          <w:b/>
          <w:i w:val="false"/>
          <w:caps w:val="false"/>
          <w:smallCaps w:val="false"/>
          <w:sz w:val="20"/>
          <w:bdr w:val="single" w:sz="8" w:space="10" w:color="000000"/>
        </w:rPr>
        <w:t xml:space="preserve">SELECTED UNAUDITED PRO FORMA CONDENSED COMBINED FINANCIAL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selected unaudited pro forma condensed combined balance sheet as of March 31, 2026 combines the historical consolidated balance sheets of SoundHound and LivePerson, giving effect to the Mergers as if they had occurred on March 31, 2026. The unaudited pro forma condensed combined statement of operations for the year ended December 31, 2025 and the three months ended March 31, 2026 gives effect to the Mergers as if they had occurred on January 1, 2025. The unaudited pro forma condensed combined statement of operations for the year ended December 31, 2025 gives effect to the Mergers and the acquisition of Interactions Corporation (“Interactions”), which occurred on September 3, 2025, as if each had occurred on January 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selected unaudited pro forma condensed combined financial information should be read in conjunction with the section entitled “</w:t>
      </w:r>
      <w:r>
        <w:rPr>
          <w:rFonts w:ascii="Times New Roman PS Std;serif" w:hAnsi="Times New Roman PS Std;serif"/>
          <w:b w:val="false"/>
          <w:i/>
          <w:caps w:val="false"/>
          <w:smallCaps w:val="false"/>
          <w:sz w:val="20"/>
          <w:bdr w:val="single" w:sz="8" w:space="10" w:color="000000"/>
        </w:rPr>
        <w:t>Unaudited Pro Forma Condensed Combined Financial Statements</w:t>
      </w:r>
      <w:r>
        <w:rPr>
          <w:rFonts w:ascii="Times New Roman PS Std;serif" w:hAnsi="Times New Roman PS Std;serif"/>
          <w:b w:val="false"/>
          <w:i w:val="false"/>
          <w:caps w:val="false"/>
          <w:smallCaps w:val="false"/>
          <w:sz w:val="20"/>
          <w:bdr w:val="single" w:sz="8" w:space="10" w:color="000000"/>
        </w:rPr>
        <w:t>” beginning on page 126 and related notes included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unaudited pro forma financial statements have been prepared in accordance with Article 11 of the SEC’s Regulation S-X, with SoundHound treated as the accounting acquirer. Under the acquisition method of accounting, SoundHound will record all assets acquired and liabilities assumed at their respective acquisition date fair values upon the closing dates of the Mergers and the Interactions acquisition. The acquisition method of accounting is dependent upon certain valuations and other studies that have yet to commence or progress to a stage where there is sufficient information for a definitive measure. The sources and amounts of transaction expenses may also differ from those assumed in the following pro forma adjustments. Accordingly, the pro forma adjustments are preliminary, they have been made solely for the purpose of providing pro forma financial statements, and they are subject to revision based on a final determination of fair value as of the respective closing dates. Differences between these preliminary estimates and the final acquisition accounting may have a material impact on the accompanying pro forma financial statements and the combined company’s future results of operations and financial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unaudited pro forma condensed combined financial statements are presented for illustrative purposes only and do not necessarily indicate the financial results of the combined companies had the companies actually been combined as of the dates presented herein. In addition, the unaudited pro forma condensed combined financial statements should not be taken as representative of the future results of operations or financial position of the combined company. The unaudited pro forma condensed combined financial statements do not reflect the impacts of any potential operational efficiencies, revenue enhancements, cost savings or economies of scale that the combined company may achieve as a result of the Mergers.</w:t>
      </w:r>
    </w:p>
    <w:tbl>
      <w:tblPr>
        <w:tblW w:w="10205" w:type="dxa"/>
        <w:jc w:val="left"/>
        <w:tblInd w:w="0" w:type="dxa"/>
        <w:tblLayout w:type="fixed"/>
        <w:tblCellMar>
          <w:top w:w="0" w:type="dxa"/>
          <w:left w:w="0" w:type="dxa"/>
          <w:bottom w:w="0" w:type="dxa"/>
          <w:right w:w="0" w:type="dxa"/>
        </w:tblCellMar>
      </w:tblPr>
      <w:tblGrid>
        <w:gridCol w:w="6627"/>
        <w:gridCol w:w="146"/>
        <w:gridCol w:w="313"/>
        <w:gridCol w:w="1040"/>
        <w:gridCol w:w="265"/>
        <w:gridCol w:w="146"/>
        <w:gridCol w:w="1278"/>
        <w:gridCol w:w="390"/>
      </w:tblGrid>
      <w:tr>
        <w:trPr/>
        <w:tc>
          <w:tcPr>
            <w:tcW w:w="66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 share data)</w:t>
            </w:r>
          </w:p>
        </w:tc>
        <w:tc>
          <w:tcPr>
            <w:tcW w:w="146" w:type="dxa"/>
            <w:tcBorders/>
            <w:vAlign w:val="bottom"/>
          </w:tcPr>
          <w:p>
            <w:pPr>
              <w:pStyle w:val="TableContents"/>
              <w:bidi w:val="0"/>
              <w:spacing w:before="0" w:after="283"/>
              <w:jc w:val="left"/>
              <w:rPr/>
            </w:pPr>
            <w:r>
              <w:rPr/>
              <w:t> </w:t>
            </w:r>
          </w:p>
        </w:tc>
        <w:tc>
          <w:tcPr>
            <w:tcW w:w="16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 Data</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101,151</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455,443</w:t>
            </w:r>
          </w:p>
        </w:tc>
        <w:tc>
          <w:tcPr>
            <w:tcW w:w="3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48,952</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195,178</w:t>
            </w:r>
          </w:p>
        </w:tc>
        <w:tc>
          <w:tcPr>
            <w:tcW w:w="3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basic</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diluted</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8789" w:type="dxa"/>
        <w:jc w:val="left"/>
        <w:tblInd w:w="0" w:type="dxa"/>
        <w:tblLayout w:type="fixed"/>
        <w:tblCellMar>
          <w:top w:w="0" w:type="dxa"/>
          <w:left w:w="0" w:type="dxa"/>
          <w:bottom w:w="0" w:type="dxa"/>
          <w:right w:w="0" w:type="dxa"/>
        </w:tblCellMar>
      </w:tblPr>
      <w:tblGrid>
        <w:gridCol w:w="7186"/>
        <w:gridCol w:w="146"/>
        <w:gridCol w:w="286"/>
        <w:gridCol w:w="1171"/>
      </w:tblGrid>
      <w:tr>
        <w:trPr/>
        <w:tc>
          <w:tcPr>
            <w:tcW w:w="7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262,390</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1,015,644</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297,431</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718,213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6"/>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 addition to the other information contained in or incorporated by reference into this proxy statement/prospectus, including the matters addressed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beginning on page 16, LivePerson stockholders should carefully consider the following risks before deciding how to vote with respect to the merger proposal,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 and the adjournment proposal to be considered and voted on at the LivePerson special meeting. In addition, LivePerson stockholders should also read and consider the risks associated with each of the businesses of SoundHound and LivePerson because these risks will also affect the combined company. These risks can be found in SoundHound’s and LivePerson’s Annual Reports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their subsequent reports on Form 10-Q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other documents they file with the SEC, in each case incorporated by reference into this proxy statement/prospectus. LivePerson stockholders should also read and consider the other information in this proxy statement/prospectus and the other documents incorporated by reference into this proxy statement/prospectus. For additional information, see the section entitled “Where You Can Find More Information” beginning on page 124.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 Relating to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 value ascribed to the SoundHound Common Stock, the Aggregate Consideration Amount and the Closing TASE Cash Merger Consideration will be subject to adjustment and because the market price of SoundHound Common Stock will fluctuate, LivePerson stockholders cannot be certain of the precise value of the Per Share Merger Consideration they may receive in the First Merger or the Per Share Cash Merger Consideration they may receive in the Second Merger, as applicable.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First Merger is completed, at the First Effective Time, each issued and outstanding eligible share of LivePerson Common Stock (other than Cancelled LivePerson Shares and TASE Shares) will be converted into the right to receive the Per Share Merger Consideration. The Per Share Merger Consideration is calculated by dividing the Closing Merger Consideration by the total number of shares of LivePerson Common Stock that are issued and outstanding, or that are issuable upon the conversion, exercise or settlement in full of other rights to acquire LivePerson Common Stock, immediately prior to the First Effective Time (other than Cancelled LivePerson Shares and the TASE Shares). The Closing Merger Consideration, being the aggregate amount of consideration payable by SoundHound to holders of LivePerson Common Stock (other than Cancelled LivePerson Shares and TASE Shares) in connection with the First Merger, will be a number of shares of SoundHound Common Stock equal to the quotient of (a) the Aggregate Consideration Amount, divided by (b) the SoundHound Closing Stock Price. The Aggregate Consideration Amount refers to an amount equal to (I) $42,784,532.64, minus (II) the LivePerson Shortfall Cash, plus (III) the aggregate dollar amount of the exercise prices of all In-the-Money Options (other than Assumed Options). LivePerson Shortfall Cash refers to an amount equal to (x) $74,000,000 (or, solely for purposes of the Merger Agreement, $71,000,000 if the closing occurs in July), minus (y) the aggregate principal amount of the 2026 Convertible Notes repurchased by LivePerson between April 1, 2026 and the closing date, minus (z) the cash and cash equivalents on LivePerson’s balance sheet as of 12:01 a.m. Pacific Time on the closing date (net of certain LivePerson transaction expenses) (as estimated in accordance with the Merger Agreement); provided that, if a negative number results from such calculation, LivePerson Shortfall Cash will be $0. The SoundHound Closing Stock Price is subject to a collar and will be the volume-weighted average sales price per share of SoundHound Common Stock on the Nasdaq for each of the ten consecutive trading days ending on (and including) the trading day that is three (3) trading days prior to the Closing Date; provided that it will be no greater than $12.00 and no less than $7.00.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Second Merger is completed, at the Second Effective Time, each issued and outstanding eligible TASE Share (other than any Dissenting Shares) will be converted into the right to receive the Per Share Cash Merger Consideration. The Per Share Cash Merger Consideration is calculated by dividing the Closing TASE Cash Merger Consideration by the Fully Diluted TASE Common Number. The Closing TASE Cash Merger Consideration will be equal to the Closing Merger Consideration, multiplied by the SoundHound Closing VWAP Stock Price, multiplied further by the Closing TASE Merger Consideration Percentage, which will be a figure equal to the total number of TASE Shares issued and outstanding immediately prior to the Second Effective Time, divided by the Fully Diluted Common Number. If the Closing TASE Cash Merger Consideration is greater than $7.5 million, then the Closing TASE Cash Merger Consideration will be deemed to equal $7.5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completed, there will be a time lapse between each of the date of this proxy statement/prospectus, the date on which LivePerson stockholders vote to approve the merger proposal and the date on which LivePerson stockholders entitled to receive the Per Share Merger Consideration or the Per Share Cash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Consideration, as applicable, actually receive the Per Share Merger Consideration or the Per Share Cash Merger Consideration, as applicable. The market value of shares of SoundHound Common Stock will fluctuate, possibly materially, during and after these periods as a result of a variety of factors, including general market and economic conditions, changes in SoundHound’s businesses, operations and prospects, and regulatory considerations. Such factors are difficult to predict and, in many cases, may be beyond the control of SoundHound and LivePerson. Furthermore, LivePerson’s cash balance will fluctuate over the interim period. The actual value of any Per Share Merger Consideration or Per Share Cash Merger Consideration, as applicable, received by LivePerson stockholders at the completion of the Mergers will depend in part on the market value of the shares of SoundHound Common Stock and the cash and cash equivalents on LivePerson’s balance sheet at that time and, in the case of the Per Share Cash Merger Consideration, the total number of TASE Shares issued and outstanding at that time. Additionally, if the market value of the SoundHound shares exceeds $12.00 or is less than $7.00 at the relevant measurement time before Closing, the SoundHound Closing Stock Price used to determine the number of shares of SoundHound Common Stock the LivePerson stockholders will be entitled to receive in the First Merger will be adjusted. Consequently, at the time LivePerson stockholders decide whether to approve the merger proposal, they will not know the actual market value of the Per Share Merger Consideration or the Per Share Cash Merger Consideration, as applicable, they will receive when the Mergers are completed. For additional information about the merger consideration,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Mergers may not be completed, and the Merger Agreement may be terminated in accordance with its terms. Failure to complete the Mergers could negatively impact the price of shares of SoundHound Common Stock and the price of shares of LivePerson Common Stock, as well as SoundHound’s and LivePerson’s respective future businesses and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 are subject to a number of conditions that must be satisfied, including the approval by LivePerson stockholders of the merger proposal, or, to the extent permitted by applicable law, waived, in each case prior to the completion of the Mergers. These conditions are described in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 These conditions to the completion of the Mergers, some of which are beyond the control of SoundHound and LivePerson, may not be satisfied or waived in a timely manner or at all, and, accordingly, the Mergers may be delayed or may not be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First Merger is not completed by October 21, 2026, or, in certain instances, on or before December 5, 2026, either SoundHound or LivePerson may choose not to proceed with the Mergers by terminating the Merger Agreement, and the parties can mutually decide to terminate the Merger Agreement at any time, before or after LivePerson stockholder approval. Further, either SoundHound or LivePerson may elect to terminate the Merger Agreement in certain other circumstances as further detailed in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transactions contemplated by the Merger Agreement are not completed for any reason, SoundHound’s and LivePerson’s respective ongoing businesses, financial condition and financial results may be adversely affected. Without realizing any of the benefits of having completed the transactions, SoundHound and LivePerson will be subject to a number of risks, including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be required to pay their respective costs relating to the transactions, which are substantial, such as legal, accounting, financial advisory and printing fees, whether or not the transactions are completed;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may owe a termination fee of $5 million, plus SoundHound transaction expenses, as further described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and resources committed by SoundHound’s and LivePerson’s management to matters relating to the transactions could otherwise have been devoted to pursuing other beneficial opportunities;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experience negative reactions from financial markets, including negative impacts on the prices of their common stock, including to the extent that the current market price reflects a market assumption that the transactions will be completed;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experience negative reactions from employees, customers or vendors;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Merger Agreement restricts the conduct of LivePerson’s and SoundHound’s businesses prior to completion of the Mergers, LivePerson or SoundHound may not have been able to take certain actions during the pendency of the Mergers that would have benefited it as an independent company and the opportunity to take such actions may no longer be available. For a description of the restrictive covenants to which SoundHound and LivePerson are subject, see the section entitled “</w:t>
      </w:r>
      <w:r>
        <w:rPr>
          <w:rFonts w:ascii="Times New Roman PS Std;serif" w:hAnsi="Times New Roman PS Std;serif"/>
          <w:b w:val="false"/>
          <w:i/>
          <w:caps w:val="false"/>
          <w:smallCaps w:val="false"/>
          <w:sz w:val="20"/>
        </w:rPr>
        <w:t>The Merger Agreement — Interim Operations of LivePerson and SoundHound Pending the Mergers</w:t>
      </w:r>
      <w:r>
        <w:rPr>
          <w:rFonts w:ascii="Times New Roman PS Std;serif" w:hAnsi="Times New Roman PS Std;serif"/>
          <w:b w:val="false"/>
          <w:i w:val="false"/>
          <w:caps w:val="false"/>
          <w:smallCaps w:val="false"/>
          <w:sz w:val="20"/>
        </w:rPr>
        <w:t>” beginning on page 81.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and the LivePerson board of directors seeks another merger or business combination, LivePerson may not be able to find a party willing to offer equivalent or more attractive consideration than the consideration SoundHound has agreed to provide in the Mergers, or that such other merger or business combination is completed. If the Merger Agreement is terminated under specified circumstances, LivePerson may be required to pay SoundHound a termination fee of $5 million, plus an additional amount equal to SoundHound’s documented expenses incurred prior to and including the date of the termination of the Merger Agreement. For a description of these circumstances, see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who receive the Per Share Merger Consideration will have a reduced ownership and voting interest in the combined company after the First Merger compared to their current ownership in LivePerson and will exercise less influence over the combined company’s management, and LivePerson stockholders who receive the Per Share Cash Merger Consideration as a result of the Second Merger will not have any ownership or voting interest in the combined company after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LivePerson stockholders have the right to vote in the election of the LivePerson board of directors and the power to approve or reject any matters requiring stockholder approval under Delaware law and the LivePerson organizational documents. Upon completion of the Merger, each LivePerson stockholder who receives shares of SoundHound Common Stock in the First Merger will become a stockholder of SoundHound with a percentage ownership of SoundHound that is smaller than such LivePerson stockholder’s current percentage ownership of LivePerson. Based on the number of issued and outstanding shares of SoundHound Common Stock and LivePerson Common Stock and LivePerson Options as of July 6, 2026, and assuming there is no cash adjustment to the Aggregate Consideration Amount and the Closing Merger Consideration is approximately 3.0 million to 5.1 million shares of SoundHound Common Stock, after the First Merger LivePerson stockholders who receive the Per Share Merger Consideration are expected to become owners of approximately 1.5% to 0.9% of the outstanding shares of SoundHound Common Stock. Even if all former LivePerson stockholders voted together on all matters presented to SoundHound stockholders from time to time, the former LivePerson stockholders would exercise significantly less influence over the management and policies of SoundHound after the Mergers than they now have on the management and policies of LivePerson.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Required regulatory approvals may not be received, may take longer than expected to be received or may impose conditions that are not presently anticipated or cannot be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Mergers is conditioned upon clearance or approval by foreign investment authorities in Bulgaria, Canada, Italy, Germany and the United Kingdom. In deciding whether to grant foreign investment approval, consent or clearance, foreign investment authorities generally will consider the effect of the transactions on national security or national interest within their jurisdictions, in particular with respect to sensitive sectors, critical infrastructure, critical technology, and access to personal identifiable information or sensitive personal data. Many jurisdictions have recently adopted, expanded, and/or are continuing to expand their foreign investment review regimes, and foreign investment authorities can have significant discretion in the interpretation and enforcement of such regimes. If new or existing regimes are enacted or updated prior to closing, or a foreign investment authority determines that the parties have failed to make a mandatory notification, the parties may be required to make additional foreign investment filings and/or be subject to fines, penalties, divestiture, or other regulatory actions. While Bulgaria is the remaining open jurisdiction as of the date of this proxy statement/prospectus, and the parties expect that Bulgarian regulatory clearances and approvals will be obtained, there is no assurance that SoundHound and LivePerson will obtain all required clearances or approvals on a timely basis, if at all. In addition, the governmental authorities from which the regulatory approvals are required may impose conditions on the completion of the Mergers or require changes to the terms of the Merger Agreement or other agreements to be entered into in connection with the Merger Agreement. Other state or foreign antitrust, competition and foreign investment authorities may take action under the laws of their jurisdictions, even where SoundHound and LivePerson do not believe they meet the thresholds for filing, which could require additional filings or review processes, and which could include seeking to enjoin the completion of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SoundHound and LivePerson have each agreed to take any and all action necessary to obtain these governmental approvals; however, SoundHound is not obligated to and, without the prior written consent of SoundHound, LivePerson, its subsidiaries and their respective affiliates will not, take any actions or agree to take any actions that limit SoundHound’s, the combined company’s or any of their respective affiliates’ freedom of action with respect to its ability to retain assets, properties, licenses, rights, product lines, operations or businesses of SoundHound, LivePerson or any of their respective affiliates. For a more complete summary of the parties’ obligations with respect to regulatory approvals related to the Mergers, see the section entitled “</w:t>
      </w:r>
      <w:r>
        <w:rPr>
          <w:rFonts w:ascii="Times New Roman PS Std;serif" w:hAnsi="Times New Roman PS Std;serif"/>
          <w:b w:val="false"/>
          <w:i/>
          <w:caps w:val="false"/>
          <w:smallCaps w:val="false"/>
          <w:sz w:val="20"/>
        </w:rPr>
        <w:t>The Merger Agreement — Regulatory Approvals</w:t>
      </w:r>
      <w:r>
        <w:rPr>
          <w:rFonts w:ascii="Times New Roman PS Std;serif" w:hAnsi="Times New Roman PS Std;serif"/>
          <w:b w:val="false"/>
          <w:i w:val="false"/>
          <w:caps w:val="false"/>
          <w:smallCaps w:val="false"/>
          <w:sz w:val="20"/>
        </w:rPr>
        <w:t>” beginning on page 89. Failure to obtain the necessary clearance in the specified jurisdictions or any other jurisdiction could substantially delay or prevent the completion of the Mergers, which could negatively impact both SoundHound and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Mergers is also conditioned upon the authorization for listing of SoundHound Common Stock to be issued in connection with the First Merger on the Nasdaq Global Market, or such other Nasdaq market on which shares of SoundHound Common Stock are then listed. Although SoundHound has agreed to use its reasonable best efforts to take all action reasonably necessary to obtain the requisite stock exchange approval, there can be no assurance that such approval will be obtained and that the other conditions to completing the Mergers will be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conditions or changes and the process of obtaining regulatory approvals could have the effect of delaying or impeding consummation of the Mergers or of imposing additional costs or limitations on SoundHound or LivePerson following completion of the Mergers, any of which might have an adverse effect on SoundHound or LivePerson following completion of the Mergers and may diminish the anticipated benefits of the Mergers. For additional information about the regulatory approvals process, see the section entitled “</w:t>
      </w:r>
      <w:r>
        <w:rPr>
          <w:rFonts w:ascii="Times New Roman PS Std;serif" w:hAnsi="Times New Roman PS Std;serif"/>
          <w:b w:val="false"/>
          <w:i/>
          <w:caps w:val="false"/>
          <w:smallCaps w:val="false"/>
          <w:sz w:val="20"/>
        </w:rPr>
        <w:t xml:space="preserve">The Mergers — Regulatory Approvals” </w:t>
      </w:r>
      <w:r>
        <w:rPr>
          <w:rFonts w:ascii="Times New Roman PS Std;serif" w:hAnsi="Times New Roman PS Std;serif"/>
          <w:b w:val="false"/>
          <w:i w:val="false"/>
          <w:caps w:val="false"/>
          <w:smallCaps w:val="false"/>
          <w:sz w:val="20"/>
        </w:rPr>
        <w:t>beginning on page 70 and the section entitled “</w:t>
      </w:r>
      <w:r>
        <w:rPr>
          <w:rFonts w:ascii="Times New Roman PS Std;serif" w:hAnsi="Times New Roman PS Std;serif"/>
          <w:b w:val="false"/>
          <w:i/>
          <w:caps w:val="false"/>
          <w:smallCaps w:val="false"/>
          <w:sz w:val="20"/>
        </w:rPr>
        <w:t xml:space="preserve">The Merger Agreement — Regulatory Approvals” </w:t>
      </w:r>
      <w:r>
        <w:rPr>
          <w:rFonts w:ascii="Times New Roman PS Std;serif" w:hAnsi="Times New Roman PS Std;serif"/>
          <w:b w:val="false"/>
          <w:i w:val="false"/>
          <w:caps w:val="false"/>
          <w:smallCaps w:val="false"/>
          <w:sz w:val="20"/>
        </w:rPr>
        <w:t>beginning on page 89.</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that receive SoundHound Common Stock in the First Merger will not receive cash consideration (other than cash in lieu of fractional shares of SoundHound Common Stock) with which to pay any tax liability resulting from the First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receipt of SoundHound Common Stock and any cash in lieu of fractional shares of SoundHound Common Stock by LivePerson stockholders entitled to receive the Per Share Merger Consideration in exchange for LivePerson Common Stock in the First Merger is intended to be treated as a taxable transaction for U.S. federal income tax purposes. The amount of gain or loss, if any, recognized by such LivePerson stockholders will vary depending on such LivePerson stockholders’ particular situation, including the fair market value of the SoundHound Common Stock and the amount of any cash in lieu of fractional shares of SoundHound Common Stock received by such LivePerson stockholder in the First Merger, and the adjusted tax basis of the LivePerson Common Stock exchanged by such LivePerson stockholder in the First Merger. LivePerson stockholders that receive SoundHound Common Stock in the First Merger will not receive any cash consideration (other than any cash received in lieu of fractional shares of SoundHound Common Stock) with which to pay any tax liability resulting from the First Merger. Please refer to the section of this proxy statement/prospectus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for a description of the material U.S. federal income tax consequences of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and LivePerson will be subject to business uncertainties while the Mergers are pending, which could adversely affect their respective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Mergers on employees, industry contacts and business partners may have an adverse effect on SoundHound or LivePerson. These uncertainties may impair SoundHound’s or LivePerson’s ability to attract, retain and motivate key personnel until the Mergers are completed and for a period of time thereafter and could cause industry contacts, business partners and others that deal with SoundHound or LivePerson to seek to change their existing business relationships with SoundHound or LivePerson, respectively. Employee retention at LivePerson may be particularly challenging during the pendency of the Mergers, as employees may experience uncertainty about their roles with SoundHound following the Mergers. In addition, the Merger Agreement restricts LivePerson from entering into certain corporate transactions and taking other specified actions without the consent of SoundHound. These restrictions may prevent LivePerson from pursuing attractive business opportunities that may arise prior to the completion of the Mergers. For a description of the restrictive covenants to which LivePerson is subject, see the section entitled “</w:t>
      </w:r>
      <w:r>
        <w:rPr>
          <w:rFonts w:ascii="Times New Roman PS Std;serif" w:hAnsi="Times New Roman PS Std;serif"/>
          <w:b w:val="false"/>
          <w:i/>
          <w:caps w:val="false"/>
          <w:smallCaps w:val="false"/>
          <w:sz w:val="20"/>
        </w:rPr>
        <w:t xml:space="preserve">The Merger Agreement — Interim Operations of LivePerson Pending the Mergers” </w:t>
      </w:r>
      <w:r>
        <w:rPr>
          <w:rFonts w:ascii="Times New Roman PS Std;serif" w:hAnsi="Times New Roman PS Std;serif"/>
          <w:b w:val="false"/>
          <w:i w:val="false"/>
          <w:caps w:val="false"/>
          <w:smallCaps w:val="false"/>
          <w:sz w:val="20"/>
        </w:rPr>
        <w:t>beginning on page 81.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limits LivePerson’s ability to pursue alternatives to the Mergers, which may discourage certain other companies from making favorable alternative transaction proposals and, in specified circumstances, could require LivePerson to pay SoundHound a 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provisions that may discourage a third party from submitting a competing proposal to LivePerson that might result in greater value to LivePerson stockholders than the Mergers or, in the event that a third party competing proposal is made, a third party may propose to pay a lower per share price to acquire LivePerson than it might otherwise have proposed to pay. These provisions include a general prohibition on LivePerson soliciting or, subject to certain exceptions relating to the exercise of fiduciary duties by the LivePerson board of directors, entering into discussions with any third party regarding any Acquisition Proposal. Furthermore, there are only limited exceptions to the requirement under the Merger Agreement that the LivePerson board of directors not withdraw or modify the LivePerson board of directors recommendation. Although the LivePerson board of directors is permitted to effect a recommendation change, after complying with certain procedures set forth in the Merger Agreement, in response to certain Superior Proposals or certain Intervening Events (if the LivePerson board of directors determines in good faith, after having taken into account the advice of outside legal counsel, that a failure to do so would be inconsistent with its fiduciary duties under applicable law), such recommendation change would entitle SoundHound to terminate the Merger Agreement and receive a cash termination fee in the amount of $5 million, plus an additional amount equal to SoundHound’s documented transaction expenses incurred prior to and including the date of the termination of the Merger Agreement. For additional information, see the sections entitled “</w:t>
      </w:r>
      <w:r>
        <w:rPr>
          <w:rFonts w:ascii="Times New Roman PS Std;serif" w:hAnsi="Times New Roman PS Std;serif"/>
          <w:b w:val="false"/>
          <w:i/>
          <w:caps w:val="false"/>
          <w:smallCaps w:val="false"/>
          <w:sz w:val="20"/>
        </w:rPr>
        <w:t>The Merger Agreement — No Solicitation; Change of Recommendation</w:t>
      </w:r>
      <w:r>
        <w:rPr>
          <w:rFonts w:ascii="Times New Roman PS Std;serif" w:hAnsi="Times New Roman PS Std;serif"/>
          <w:b w:val="false"/>
          <w:i w:val="false"/>
          <w:caps w:val="false"/>
          <w:smallCaps w:val="false"/>
          <w:sz w:val="20"/>
        </w:rPr>
        <w:t>” beginning on page 84 and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Uncertainties associated with the Mergers may cause a loss of management personnel and other key employees, which could adversely affect the future business and operations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dependent on the experience and industry knowledge of their officers and other key employees to execute their business plans. Each company’s success until the Mergers and the combined company’s success after the Mergers will depend in part upon the ability of SoundHound and LivePerson to retain key management personnel and other key employees. Current and prospective employees of SoundHound and LivePerson may experience uncertainty about their roles within the combined company following the Mergers, which may have an adverse effect on the ability of each of SoundHound and LivePerson to attract or retain key management and other key personnel. Accordingly, no assurance can be given that the combined company will achieve the same success attracting or retaining key management personnel and other key employees as each of SoundHound and LivePerson have independently achieved prior to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executive officers of LivePerson may have interests in the Mergers that are different from, or in addition to, the interests of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executive officers of LivePerson may have interests in the Mergers that are different from, or in addition to, the interests of LivePerson stockholders generally. These interests include, among others, the treatment of outstanding equity and equity-based awards pursuant to the Merger Agreement, potential severance and other benefits upon a qualifying termination in connection with the Mergers, and rights to ongoing indemnification and insurance coverage. These interests are described in more detail in the section entitled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The LivePerson board of directors was aware of and carefully considered these interests of its directors and officers, among other matters, during its deliberations on the merits, terms, and structure of the Mergers, overseeing the negotiation of the Mergers, approving the Merger Agreement and the transactions contemplated thereby, including the Mergers, and in making its recommendation that LivePerson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approval of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approval of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SoundHound and LivePerson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will incur significant transaction and merger-related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costs in connection with the Mergers, which may be in excess of those anticipated by SoundHound or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incurred and expects to continue to incur a number of non-recurring costs associated with negotiating and completing the Mergers and combining the operations of the two companies. These fees and costs have been, and will continue to be, substantial. The substantial majority of non-recurring expenses will consist of transaction costs related to the Mergers and include, among others, employee retention costs, fees paid to financial, legal and accounting advisors, severance and benefit costs, and filing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will also incur transaction fees and costs related to the integration of the companies, which may be substantial. Moreover, each company may incur additional unanticipated expenses in connection with the Mergers and the integration, including costs associated with any stockholder litigation related to the Mergers. Although SoundHound and LivePerson each expect that the elimination of duplicative costs, as well as the realization of other efficiencies related to the integration of the businesses, should allow SoundHound and LivePerson to offset integration-related costs over time, this net benefit may not be achieved in the near term, or at all. For additional information, see the risk factor entitled “</w:t>
      </w:r>
      <w:r>
        <w:rPr>
          <w:rFonts w:ascii="Times New Roman PS Std;serif" w:hAnsi="Times New Roman PS Std;serif"/>
          <w:b w:val="false"/>
          <w:i/>
          <w:caps w:val="false"/>
          <w:smallCaps w:val="false"/>
          <w:sz w:val="20"/>
        </w:rPr>
        <w:t xml:space="preserve">The integration of LivePerson and SoundHound may not be as successful as anticipated, and SoundHound may not achieve the intended benefits or do so within the intended timeframe” </w:t>
      </w:r>
      <w:r>
        <w:rPr>
          <w:rFonts w:ascii="Times New Roman PS Std;serif" w:hAnsi="Times New Roman PS Std;serif"/>
          <w:b w:val="false"/>
          <w:i w:val="false"/>
          <w:caps w:val="false"/>
          <w:smallCaps w:val="false"/>
          <w:sz w:val="20"/>
        </w:rPr>
        <w:t>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described above, as well as other unanticipated costs and expenses, could have a material adverse effect on the financial condition and operating results of the combined company following the completion of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Mergers may trigger change in control or other provisions in certain agreements to which LivePerson or its subsidiaries is a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Mergers may trigger change in control or other provisions in certain agreements to which LivePerson or its subsidiaries is a party. If SoundHound and LivePerson are unable to negotiate waivers of those provisions, the counterparties may exercise their rights and remedies under such agreements, potentially terminating the agreement or seeking monetary damages. Additionally, even if SoundHound and LivePerson are able to negotiate waivers, the counterparties may require a fee for such waivers or seek to renegotiate the agreements on terms less favorable to the combined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and LivePerson may be targets of securities class action and derivative lawsuits that could result in substantial costs and may delay or prevent the Mergers from being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SoundHound’s and LivePerson’s respective liquidity and financial condition. Any such lawsuit could also seek, among other things, injunctive relief or other equitable relief, including a request to rescind parts of the Merger Agreement already implemented or to otherwise enjoin the parties from consummating the Mergers. If a plaintiff is successful in obtaining an injunction prohibiting completion of the Mergers, then that injunction may delay or prevent the Mergers from being completed, which may adversely affect SoundHound’s and LivePerson’s respective business, financial position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conditions to the closing of the Mergers is that no injunction, order or award by any court or governmental entity having jurisdiction over any party has been entered and continues to be in effect and no law has been adopted or is effective, in either case, that prohibits or makes illegal the consummation of the Mergers. Consequently, if a lawsuit is filed and a plaintiff is successful in obtaining an injunction prohibiting consummation of the Mergers, then that injunction may delay or prevent the Mergers from being completed within the expected timeframe or at all, which may adversely affect SoundHound’s and LivePerson’s respective business, financial position,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Shares of SoundHound Common Stock received by LivePerson stockholders entitled to receive the Per Share Merger Consideration as a result of the First Merger will have different rights from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LivePerson stockholders entitled to receive the Per Share Merger Consideration will no longer be stockholders of LivePerson, and those LivePerson stockholders who receive the Per Share Merger Consideration will become SoundHound stockholders, and their rights as SoundHound stockholders will be governed by the terms of SoundHound’s charter and bylaws. There will be important differences between the current rights of LivePerson stockholders and the rights to which such stockholders will be entitled as SoundHound stockholders. For a discussion of the different rights associated with shares of SoundHound Common Stock as compared to LivePerson Common Stock, see the section entitled “</w:t>
      </w:r>
      <w:r>
        <w:rPr>
          <w:rFonts w:ascii="Times New Roman PS Std;serif" w:hAnsi="Times New Roman PS Std;serif"/>
          <w:b w:val="false"/>
          <w:i/>
          <w:caps w:val="false"/>
          <w:smallCaps w:val="false"/>
          <w:sz w:val="20"/>
        </w:rPr>
        <w:t>Comparison of Rights of Stockholders of SoundHound and Stockholders of LivePerson</w:t>
      </w:r>
      <w:r>
        <w:rPr>
          <w:rFonts w:ascii="Times New Roman PS Std;serif" w:hAnsi="Times New Roman PS Std;serif"/>
          <w:b w:val="false"/>
          <w:i w:val="false"/>
          <w:caps w:val="false"/>
          <w:smallCaps w:val="false"/>
          <w:sz w:val="20"/>
        </w:rPr>
        <w:t>” beginning on page 107.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or LivePerson may waive one or more of the closing conditions without re-soliciting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or LivePerson may determine to waive, in whole or part, one or more of the conditions to closing the Mergers prior to SoundHound or LivePerson, as the case may be, being obligated to consummate the Mergers. Each of SoundHound and LivePerson currently expects to evaluate the materiality of any waiver and its effect on its respective stockholders, in light of the facts and circumstances at the time, to determine whether any amendment of this proxy statement/prospectus or any re-solicitation of proxies by LivePerson is required in light of such waiver. Any determination whether to waive any condition to the Mergers, re-solicit LivePerson stockholder approval or amend or supplement this proxy statement/prospectus as a result of a waiver will be made by SoundHound or LivePerson at the time of such waiver based on the facts and circumstances as they exist at that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who do not hold TASE Shares are not entitled to appraisal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 for additional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 Relating to the Combined Company Following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integration of LivePerson into SoundHound may not be as successful as anticipated, and SoundHound may not achieve the intended benefits or do so within the intended timeframe.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 involve numerous operational, strategic, financial, accounting, legal, tax and other risks, potential liabilities associated with the acquired businesses, and uncertainties related to design, operation and integration of LivePerson’s internal control over financial reporting. Difficulties in integrating LivePerson into SoundHound may result in LivePerson performing differently than expected, operational challenges, or the failure to realize anticipated expense-related efficiencies. Potential difficulties that may be encountered in the integration process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successfully integrate the businesses of LivePerson into SoundHound in a manner that permits SoundHound to achieve the full revenue and cost savings anticipated from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complexities associated with managing the larger, more complex, integrated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personnel from the two companies and the loss of key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unknown liabilities and unforeseen expenses, delays or regulatory conditions associated with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relationships with industry contacts and business partners;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shortfalls as a result of the diversion of management’s attention caused by completing the Mergers and integrating LivePerson’s operations into SoundHound;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disruption of, or the loss of momentum in, ongoing business or inconsistencies in standards, controls, procedures and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success of the Mergers will depend, in part, on SoundHound’s ability to realize the anticipated benefits from combining SoundHound’s and LivePerson’s businesses, discussed in more detail under the heading “</w:t>
      </w:r>
      <w:r>
        <w:rPr>
          <w:rFonts w:ascii="Times New Roman PS Std;serif" w:hAnsi="Times New Roman PS Std;serif"/>
          <w:b w:val="false"/>
          <w:i/>
          <w:caps w:val="false"/>
          <w:smallCaps w:val="false"/>
          <w:sz w:val="20"/>
        </w:rPr>
        <w:t>The Mergers — SoundHound’s Reasons for the Mergers</w:t>
      </w:r>
      <w:r>
        <w:rPr>
          <w:rFonts w:ascii="Times New Roman PS Std;serif" w:hAnsi="Times New Roman PS Std;serif"/>
          <w:b w:val="false"/>
          <w:i w:val="false"/>
          <w:caps w:val="false"/>
          <w:smallCaps w:val="false"/>
          <w:sz w:val="20"/>
        </w:rPr>
        <w:t>” beginning on page 56. The anticipated benefits of the Mergers may not be realized fully or at all, may take longer to realize than expected, or could have other adverse effects that SoundHound does not currently foresee.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SoundHound’s results may suffer if it does not effectively manage its expanded operations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Mergers will depend, in part, on SoundHound’s ability to realize the anticipated benefits from combining SoundHound’s and LivePerson’s businesses, including the need to integrate the operations and business of LivePerson into its existing business in an efficient and timely manner, to combine systems and management controls and to integrate relationships with customers, vendors, industry contacts and business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anticipated benefits of the Mergers may not be realized fully or at all, may take longer to realize than expected or could have other adverse effects that SoundHound does not currently foresee. Some of the assumptions that SoundHound has made may not be realized. There could also be unknown liabilities and unforeseen expenses associated with the Mergers that were not discovered in the due diligence review conducted by each company prior to entering into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issues currently faced by one company may be imputed to the operations of the other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either SoundHound or LivePerson currently has or is perceived by customers to have operational challenges, such as on-time performance, technology and service limitations, intellectual property issues or workforce issues, those challenges may raise concerns by existing customers of the other company following the Mergers which may limit or impede the combined company’s future ability to obtain additional work from those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information and LivePerson’s unaudited forecasted financial information included in this proxy statement/prospectus are presented for illustrative purposes only and do not represent the actual financial position or results of operations of the combined company following the completion of the Mergers. Future results of SoundHound or LivePerson may differ, possibly materially, from the unaudited pro forma condensed combined financial information and LivePerson’s unaudited forecasted financial information presented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statements and LivePerson’s unaudited forecasted financial information contained in this proxy statement/prospectus are presented for illustrative purposes only, contains a variety of adjustments, assumptions and preliminary estimates and do not represent the actual financial position or results of operations of SoundHound and LivePerson prior to the Mergers or that of the combined company following the Mergers. Specifically, the unaudited pro forma condensed combined financial statements do not reflect the effect of any potential acquisitions or divestitures that may occur prior to or subsequent to the completion of the Mergers, integration costs or any changes in SoundHound’s debt to capitalization ratio following the completion of the Mergers. For additional information, see the section entitled “</w:t>
      </w:r>
      <w:r>
        <w:rPr>
          <w:rFonts w:ascii="Times New Roman PS Std;serif" w:hAnsi="Times New Roman PS Std;serif"/>
          <w:b w:val="false"/>
          <w:i/>
          <w:caps w:val="false"/>
          <w:smallCaps w:val="false"/>
          <w:sz w:val="20"/>
        </w:rPr>
        <w:t xml:space="preserve">Unaudited Pro Forma Condensed Combined Financial Statements” </w:t>
      </w:r>
      <w:r>
        <w:rPr>
          <w:rFonts w:ascii="Times New Roman PS Std;serif" w:hAnsi="Times New Roman PS Std;serif"/>
          <w:b w:val="false"/>
          <w:i w:val="false"/>
          <w:caps w:val="false"/>
          <w:smallCaps w:val="false"/>
          <w:sz w:val="20"/>
        </w:rPr>
        <w:t>beginning on page 126. In addition, the Mergers and post-Mergers integration process may give rise to unexpected liabilities and costs, including costs associated with the defense and resolution of transaction-related litigation or other claims. Unexpected delays in completing the Mergers or in connection with the post-Mergers integration process may significantly increase the related costs and expenses incurred by SoundHound. The actual financial positions and results of operations of SoundHound and LivePerson prior to the Mergers and that of the combined company following the Mergers may be different, possibly materially, from the unaudited pro forma condensed combined financial statements or LivePerson’s unaudited forecasted financial information included in this proxy statement/prospectus. In addition, the assumptions used in preparing the unaudited pro forma condensed combined financial statements and LivePerson’s unaudited forecasted financial information included in this proxy statement/prospectus may not prove to be accurate and may be affected by other factors. Any significant changes in the market price of SoundHound Common Stock may cause a significant change in the purchase price used for SoundHound’s accounting purposes and the unaudited pro forma condensed combined financial statements contained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Mergers may not be accretive, and may be dilutive, to SoundHound’s earnings per share, which may negatively affect the market price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shares of SoundHound Common Stock will be issued in the First Merger, it is possible that, although SoundHound currently expects the Mergers to be accretive to earnings per share, the Mergers may be dilutive to SoundHound’s earnings per share, which could negatively affect the market price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completion of the First Merger, based on the number of issued and outstanding shares of LivePerson Common Stock as of July 6, 2026 and the number of outstanding LivePerson equity awards currently estimated to be payable in SoundHound Common Stock following the First Merger, assuming no adjustments to the Aggregate Consideration Amount, SoundHound will issue between approximately 3.0 million and 5.1 million shares of SoundHound Common Stock to holders of LivePerson Common Stock and between approximately 21.8 million and 37.3 million shares of SoundHound Common Stock to Secured Holders (as defined below). The issuance of these new shares of SoundHound Common Stock could have the effect of depressing the market price of SoundHound Common Stock, through dilution of earnings per share or otherwise. Any dilution of, or delay of any accretion to, SoundHound’s earnings per share could cause the price of shares of SoundHound Common Stock to decline or increase at a reduced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former LivePerson stockholders and current SoundHound stockholders may not wish to continue to invest in the additional operations of the combined company, or for other reasons may wish to dispose of some or all of their interests in the combined company, and as a result may seek to sell their shares of SoundHound Common Stock following, or in anticipation of, completion of the Mergers. The Merger Agreement does not restrict the ability of former LivePerson stockholders to sell such shares of SoundHound Common Stock following completion of the Mergers. Therefore, these sales (or the perception that these sales may occur), coupled with the increase in the outstanding number of shares of SoundHound Common Stock, may affect the market for, and the market price of, SoundHound Common Stock in an adverse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and stockholders of SoundHound, including former LivePerson stockholders, sell substantial amounts of SoundHound Common Stock in the public market following the consummation of the Mergers, the market price of SoundHound Common Stock may decrease. These sales might also make it more difficult for SoundHound to raise capital by selling equity or equity-related securities at a time and price that it otherwise would deem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SoundHound Common Stock will continue to fluctuate after the Mergers and may decline if the benefits of the Mergers do not meet the expectations of financial analysts.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holders of LivePerson Common Stock who receive the Per Share Merger Consideration will become holders of shares of SoundHound Common Stock. The market price of SoundHound Common Stock may fluctuate significantly following completion of the First Merger and holders of LivePerson Common Stock could lose some or all of the value of their investment in SoundHound Common Stock. In addition, the stock market has recently experienced significant price and volume fluctuations which could, if such fluctuations continue to occur, have a material adverse effect on the market for, or liquidity of, the SoundHound Common Stock, regardless of SoundHound’s actual operating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SoundHound Common Stock may be affected by factors different from those that historically have affected LivePerson Common Stock or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holders of LivePerson Common Stock who receive the Per Share Merger Consideration will become holders of SoundHound Common Stock. The businesses of SoundHound differ from those of LivePerson in certain respects, and, accordingly, the financial position or results of operations and/or cash flows of SoundHound after the Mergers, as well as the market price of SoundHound Common Stock, may be affected by factors different from those currently affecting the financial position or results of operations and/or cash flows of LivePerson and SoundHound as independent standalone companies. In particular, following the completion of the Mergers, LivePerson will be part of a larger company, which means that decisions affecting LivePerson may be made in respect of the larger combined business as a whole rather than the LivePerson businesses individually. For a discussion of the businesses of SoundHound and LivePerson and of some important factors to consider in connection with those businesses, see the documents incorporated by reference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including, in particular,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each of SoundHound’s and LivePerson’s Annual Report on Form 10-K for the year ended December 31, 2025 and Quarterly Reports on Form 10-Q for the quarters ended March 31,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may not be able to retain customers or suppliers, and customers or suppliers may seek to modify contractual obligations with the combined company, either of which could have an adverse effect on the combined company’s business and operations. Third parties may terminate or alter existing contracts or relationships with SoundHound or LivePerson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Mergers, the combined company may experience impacts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or services from other suppliers in a timely and efficient manner and on acceptable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also has contracts with customers, vendors, licensors and other business partners which may require LivePerson to obtain consent from these other parties in connection with the Mergers. If these consents cannot be obtained, the combined company may suffer a loss of potential future revenue, incur costs and/or lose rights that may be material to the business of the combined company. In addition, third parties with whom SoundHound or LivePerson currently have relationships may terminate or otherwise reduce the scope of their relationship with either party in anticipation of the Mergers. Any such disruptions could limit the combined company’s ability to achieve the anticipated benefits of the Mergers. The adverse effect of any such disruptions could also be exacerbated by a delay in the completion of the Mergers or by a termination of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financial forecasts relating to LivePerson prepared in connection with the Mergers may not be realized, which may adversely affect the market price of SoundHound Common Stock following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includes certain financial forecasts considered by LivePerson in connection with its business. These forecasts are inherently based on various estimates and assumptions that are subject to the judgment of those preparing them and, in the view of LivePerson’s management, were prepared on a reasonable basis, reflecting the best available estimates and judgments as of the date they were prepared. These forecasts are also subject to significant economic, competitive, industry and other uncertainties and contingencies, all of which are difficult or impossible to predict and many of which are beyond the control of LivePerson. The financial forecasts are not fact and should not be relied upon as being necessarily indicative of future results and readers are cautioned not to place undue reliance on the information provided. Important factors that may affect the actual results of LivePerson and cause the internal financial forecasts to not be achieved include risks and uncertainties relating to LivePerson’s business, industry performance, the regulatory environment, general business and economic conditions and other factors described under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financial forecasts also reflect assumptions that are subject to change and do not reflect revised prospects for LivePerson’s business, changes in general business or economic conditions or any other transaction or event that has occurred or that may occur and that was not anticipated at the time the financial forecasts were prepared. In addition, since such financial forecasts cover multiple years, the information by its nature becomes less predictive with each successive year. There can be no assurance that LivePerson’s financial condition or results of operations will be consistent with those set forth in such forecasts.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SoundHound’s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and consider risk factors specific to SoundHound’s businesses that will also affect the combined company after the completion of the Mergers. These risks are described in Part I, Item 1A of SoundHound’s Annual Report on Form 10-K for the fiscal year ended December 31, 2025, in Part II, Item 1A of SoundHound’s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LivePerson’s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and consider risk factors specific to LivePerson’s businesses that will also affect the combined company after the completion of the Mergers. These risks are described in Part I, Item 1A of LivePerson’s Annual Report on Form 10-K for the fiscal year ended December 31, 2025, in Part II, Item 1A of LivePerson’s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7"/>
      <w:bookmarkEnd w:id="7"/>
      <w:r>
        <w:rPr>
          <w:rFonts w:ascii="Times New Roman PS Std;serif" w:hAnsi="Times New Roman PS Std;serif"/>
          <w:b/>
          <w:i w:val="false"/>
          <w:caps w:val="false"/>
          <w:smallCaps w:val="false"/>
          <w:sz w:val="20"/>
        </w:rPr>
        <w:t xml:space="preserve">PARTIES TO THE MERGER </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 7th Avenue, Floor M1</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(212) 609-4200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Lightspeed Merger Sub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Lightspeed Merger Sub II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8"/>
      <w:bookmarkEnd w:id="8"/>
      <w:r>
        <w:rPr>
          <w:rFonts w:ascii="Times New Roman PS Std;serif" w:hAnsi="Times New Roman PS Std;serif"/>
          <w:b/>
          <w:i w:val="false"/>
          <w:caps w:val="false"/>
          <w:smallCaps w:val="false"/>
          <w:sz w:val="20"/>
        </w:rPr>
        <w:t xml:space="preserve">SPECIAL MEETING OF LIVEPERSON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proxy statement/prospectus is being provided to the LivePerson stockholders as part of a solicitation of proxies by the LivePerson board of directors for use at the LivePerson special meeting to be held at the time and place specified below and at any properly convened meeting following an adjournment or postponement thereof. This proxy statement/prospectus provides LivePerson stockholders with information they need to know to be able to vote or instruct their vote to be cast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LivePerson special meeting will be held on August 20, 2026 at 10:00 a.m., Eastern Time via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the LivePerson Special Meeting Website. To attend the LivePerson special meeting please follow the instructions provided on the enclosed proxy card and on the LivePerson Special Meeting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LivePerson special meeting is to consider and vote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transact no other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LivePerson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that LivePerson stockholders vote: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the recommendations of the LivePerson board, see the section entitled “</w:t>
      </w:r>
      <w:r>
        <w:rPr>
          <w:rFonts w:ascii="Times New Roman PS Std;serif" w:hAnsi="Times New Roman PS Std;serif"/>
          <w:b w:val="false"/>
          <w:i/>
          <w:caps w:val="false"/>
          <w:smallCaps w:val="false"/>
          <w:sz w:val="20"/>
        </w:rPr>
        <w:t xml:space="preserve">LivePerson Stockholder Proposals”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caps w:val="false"/>
          <w:smallCaps w:val="false"/>
          <w:sz w:val="20"/>
        </w:rPr>
        <w:t xml:space="preserve">The Mergers — Recommendation of the LivePerson Board of Directors; LivePerson’s Reasons for the Mergers” </w:t>
      </w:r>
      <w:r>
        <w:rPr>
          <w:rFonts w:ascii="Times New Roman PS Std;serif" w:hAnsi="Times New Roman PS Std;serif"/>
          <w:b w:val="false"/>
          <w:i w:val="false"/>
          <w:caps w:val="false"/>
          <w:smallCaps w:val="false"/>
          <w:sz w:val="20"/>
        </w:rPr>
        <w:t>beginning on page 38 and 56,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and Outstanding Shares of LivePerson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of issued and outstanding shares of LivePerson Common Stock as of the close of business on July 6, the Record Date, are entitled to notice of, and to vote at, the LivePerson special meeting or any adjournment or postponement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there were 12,332,427 shares of LivePerson Common Stock issued and outstanding and entitled to vote at the LivePerson special meeting. You may cast one vote for each share of LivePerson Common Stock that you held as of the close of business on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make available a list of stockholders of record as of the Record Date for inspection by stockholders for any purpose germane to the LivePerson special meeting from August 10, 2026 through August 19, 2026. Please email ir-lp@liveperson.com for instructions as to how to access the stockholder list online prior to the LivePerson special meeting. The list will also be available electronically on the meeting website during the live webcast of the LivePerson special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Abstentions and Broker Non-Votes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 of business at the LivePerson special meeting. If you submit a properly executed proxy card, even if you do not vote for any of the proposals or vote to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in respect of each proposal, your shares of LivePerson Common Stock will be counted for purposes of determining whether a quorum is present for the transaction of business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Common Stock held in “street name” with respect to which the beneficial owner fails to give voting instructions to the broker, bank or other nominee, and LivePerson Common Stock with respect to which the beneficial owner otherwise fails to vote, will not be considered present and entitled to vote at the LivePerson special meeting for the purpose of determining the presence of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will result if your broker, bank or other nominee returns a proxy but does not provide instruction as to how shares should be voted on a particular matter. Under the applicable stock exchange rules, brokers, banks or other nominees do not have discretionary authority to vote on any of the proposals to be considered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 shares will not be considered present and entitled to vote at the LivePerson special meeting for the purpose of determining the presence of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but unvoted proxies will be voted in accordance with the recommendations of the LivePerson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Failure to vote on the merger proposal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proposal, the non-binding compensation advisory proposal and the adjournment proposal are described in the section entitled “</w:t>
      </w:r>
      <w:r>
        <w:rPr>
          <w:rFonts w:ascii="Times New Roman PS Std;serif" w:hAnsi="Times New Roman PS Std;serif"/>
          <w:b w:val="false"/>
          <w:i/>
          <w:caps w:val="false"/>
          <w:smallCaps w:val="false"/>
          <w:sz w:val="20"/>
        </w:rPr>
        <w:t>LivePerson Stockholder Proposals</w:t>
      </w:r>
      <w:r>
        <w:rPr>
          <w:rFonts w:ascii="Times New Roman PS Std;serif" w:hAnsi="Times New Roman PS Std;serif"/>
          <w:b w:val="false"/>
          <w:i w:val="false"/>
          <w:caps w:val="false"/>
          <w:smallCaps w:val="false"/>
          <w:sz w:val="20"/>
        </w:rPr>
        <w:t>” beginning on page 38.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Methods of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with respect to LivePerson stockholders who hold TASE Shares and intend to vote their shares, there are four ways a LivePerson stockholder of record can vote their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You may vote over the Internet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Telephone:    You may vote by telephone by following the instructions specified on the enclosed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Mail:    You may sign, date and return the enclosed proxy card in the prepaid postage envelope provided.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LivePerson special meeting:    You may vote your shares electronically at the LivePerson special meeting. Please follow the instructions for attending the LivePerson special meeting and voting during the meeting posted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All votes must be received before the polls close during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7:00 p.m. (Israel time) on August 19, 2026. The form of proxy card for stockholders who hold TASE Shares is available on the websites: </w:t>
      </w:r>
      <w:r>
        <w:rPr>
          <w:rFonts w:ascii="Times New Roman PS Std;serif" w:hAnsi="Times New Roman PS Std;serif"/>
          <w:b w:val="false"/>
          <w:i/>
          <w:caps w:val="false"/>
          <w:smallCaps w:val="false"/>
          <w:sz w:val="20"/>
        </w:rPr>
        <w:t>https://www.magna.isa.gov.il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caps w:val="false"/>
          <w:smallCaps w:val="false"/>
          <w:sz w:val="20"/>
        </w:rPr>
        <w:t>https://maya.tase.co.il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who hold their shares in “street name” by a broker, bank or other nominee should refer to the proxy card, voting instruction form or other information forwarded by their broker, bank or other nominee for instructions on how to vote their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Virtually on the LivePerson Special Meeting Website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held directly in your name as stockholder of record may be voted virtually on the LivePerson Special Meeting Website at the LivePerson special meeting. Even if you plan to attend the LivePerson special meeting, the LivePerson board of directors recommends that you vote your shares in advance as described below so that your vote will be counted if you later decide not to attend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holder, you will receive separate voting instructions from your broker, bank or other nominee explaining how to vote your shares. Please note that if your shares are held in “street name” by a broker, bank or other nominee and you wish to vote at the LivePerson special meeting to be held virtually on the LivePerson Special Meeting Website, you will not be permitted to vote at the LivePerson special meeting unless you first obtain a legal proxy issued in your name from the record owner. You are encouraged to request a legal proxy from your broker, bank or other nominee promptly as the process can be lengthy.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you hold your shares of LivePerson Common Stock directly as the stockholder of record or beneficially in “street name,” you may direct your vote by proxy without attending the LivePerson special meeting. You can vote by proxy by phone, the Internet or mail by following the instructions provided in the enclosed proxy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About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about how to vote or direct a vote in respect of your shares of LivePerson Common Stock, you may contact MacKenzie Partners, Inc., LivePerson’s proxy solicitor, at 800-322-2885 (toll-free in North America) or via email at proxy</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of LivePerson, whether you vote by phone, the Internet or mail, you can change or revoke your proxy before it is voted at the meeting in one of the following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 a new proxy card bearing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vote again by phone or the Internet at a later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give written notice before the meeting to LivePerson’s corporate secretary at 530 7th Avenue, Floor M1, New York, New York 10018 stating that you are revoking your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 the LivePerson special meeting and vote your shares virtually on the LivePerson Special Meeting Website. Please note that your virtual attendance at the meeting on the LivePerson Special Meeting Website alone will not serve to revoke your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TASE Shares and wish to revoke or change your proxy card, you must file a notice of revocation or another signed proxy card with LivePerson’s Israeli counsel no later than 7:00 p.m. (Israel time) on August 19,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Solicitation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enclosed proxy card is being solicited on behalf of the LivePerson board of directors. In addition to solicitation by mail, LivePerson’s directors, officers and employees may solicit proxies in person, by phone or by electronic means. These persons will not be specifically compensated for conducting such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retained MacKenzie Partners, Inc. to assist in the solicitation process. LivePerson estimates it will pay MacKenzie Partners, Inc. a base fee of approximately $40,000, in addition to the reimbursement of certain costs and expenses, for these services. LivePerson also has agreed to indemnify MacKenzie Partners, Inc. against various liabilities and expenses that relate to or arise out of its solicitation of proxies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ask brokers, banks and other nominees to forward the proxy solicitation materials to the beneficial owners of shares of LivePerson Common Stock held of record by such nominee holders. LivePerson will reimburse these nominee holders for their customary clerical and mailing expenses incurred in forwarding the proxy solicitation materials to the beneficial owners.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a quorum is present, the holders of a majority of the outstanding shares of LivePerson Common Stock who are present in person or by proxy and entitled to vote at the special meeting may adjourn the meeting from time to time, without notice other than by announcement at the meeting, to another date, place, if any, and time until a quorum is present. Even if a quorum is present, the special meeting may also be adjourned in order to provide more time to solicit additional proxies in favor of the merger proposal if sufficient votes are cast in favor of the adjournment proposal. If the adjournment is for more than 30 days or if after the adjournment, a new record date is fixed for the adjourned meeting, LivePerson will provide a notice of the adjourned meeting to each stockholder of record entitled to vote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bylaws also provide that the Chairman of the board of directors of LivePerson (the “Chairman”) shall have the right and authority to convene and (for any or no reason) to recess and/or adjourn the meeting from time to time, without notice other than announcement at the meeting, to prescribe such rules, regulations and procedures and to do all such acts as, in the judgment of the Chairman, are appropriate for the proper conduct of the meeting. The Chairman at any meeting of stockholders, in addition to making any other determinations that may be appropriate to the conduct of the meeting, shall, if the facts warrant, determine and declare to the meeting that a matter or business was not properly brought before the meeting and if the Chairman should so determine, the Chairman shall so declare to the meeting and any such matter or business not properly brought before the meeting shall not be transacted or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Merger Agreement provides that LivePerson may (i) after good faith consultation with LivePerson’s outside legal counsel and SoundHound, adjourn or postpone the LivePerson special meeting to the extent necessary to ensure that any legally required supplement or amendment to this proxy statement/prospectus is provided to the LivePerson stockholders within a reasonable amount of time in advance of the LivePerson special meeting or (ii) adjourn or postpone the LivePerson special meeting, if, as of the time for which the LivePerson special meeting is scheduled, there are not sufficient affirmative votes in person or by proxy of LivePerson Common Stock to constitute a quorum necessary to conduct business at the LivePerson special meeting or to obtain the approval of the merger proposal. However, unless SoundHound and LivePerson otherwise agree, the LivePerson special meeting will not be adjourned or postponed to a date that is more than thirty five days after the date for which the LivePerson special meeting was previously scheduled (though the LivePerson special meeting may only be adjourned or postponed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SoundHound’s written consent once in the event that the circumstances described in (ii) exists) or if such adjournment or postponement in the event of the circumstances described in (ii) would require the setting of a new record date for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sufficient number of shares of LivePerson Common Stock are present in person or represented by proxy and vote in favor of the merger proposal at the LivePerson special meeting such that the merger proposal is approved, LivePerson does not anticipate that it will adjourn or postpone the special meeting. Virtual attendance at the special meeting will constitute presence in person for the purpose of determining the presence of a quorum for the transaction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in respect of their TASE Shares (such holders, “Dissenting Stockholders” and such shares, “Dissenting Shares”) will be entitled to seek appraisal of their Dissenting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matters to be considered at the LivePerson special meeting are of great importance to the LivePerson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need assistance in completing your proxy card or have questions regarding the LivePerson special meeting, contact: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MacKenzie Partners,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Penn Plaza</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Call Toll-Free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(North America</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800-322-2885.</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Email: proxy@mackenziepartners.com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of LivePerson’s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LivePerson directors and executive officers, and their affiliates, as a group, owned and were entitled to vote 208,075 shares of LivePerson Common Stock, or approximately 1.7% of the total outstanding shares of LivePerson Common Stock outstanding on that date. For more information regarding the security ownership of LivePerson directors and executive officers, please see “</w:t>
      </w:r>
      <w:r>
        <w:rPr>
          <w:rFonts w:ascii="Times New Roman PS Std;serif" w:hAnsi="Times New Roman PS Std;serif"/>
          <w:b w:val="false"/>
          <w:i/>
          <w:caps w:val="false"/>
          <w:smallCaps w:val="false"/>
          <w:sz w:val="20"/>
        </w:rPr>
        <w:t>Security Ownership of Certain Beneficial Owners of LivePerson Common Stock</w:t>
      </w:r>
      <w:r>
        <w:rPr>
          <w:rFonts w:ascii="Times New Roman PS Std;serif" w:hAnsi="Times New Roman PS Std;serif"/>
          <w:b w:val="false"/>
          <w:i w:val="false"/>
          <w:caps w:val="false"/>
          <w:smallCaps w:val="false"/>
          <w:sz w:val="20"/>
        </w:rPr>
        <w:t>” beginning on page 114.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currently expects that all of its directors and executive officers will vote their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Attending the LivePerson Special Meeting Virtually on the LivePerson Special Meeting Website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entitled to attend the LivePerson special meeting only if you were a stockholder of record of LivePerson at the close of business on the Record Date or you held your shares of LivePerson beneficially in the name of a broker, bank or other nominee as of the Record Date, or you hold a valid proxy for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a stockholder of record of LivePerson at the close of business on the Record Date and wish to attend the LivePerson special meeting virtually on the LivePerson Special Meeting Website, you will be required to enter the control number found on their proxy card or voting instruction form. Beneficial owners that wish to vote at the LivePerson special meeting must obtain a legal proxy from their bank, broker or other nominee prior to the meeting. You will need to upload an electronic image (such as a pdf file or scan) of the legal proxy in order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four business days following the LivePerson special meeting, LivePerson intends to file the final voting results with the SEC on a Current Report on Form 8-K. If the final voting results have not been certified within that four business day period, LivePerson will report the preliminary voting results on a Current Report on Form 8-K at that time and will file an amendment to the Current Report on Form 8-K to report the final voting results within four days of the date that the final results are certified.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SHOULD CAREFULLY READ THIS PROXY STATEMENT/PROSPECTUS IN ITS ENTIRETY FOR MORE DETAILED INFORMATION CONCERNING THE MERGER PROPOSAL AND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STOCKHOLDER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 w:name="T9909"/>
      <w:bookmarkEnd w:id="9"/>
      <w:r>
        <w:rPr>
          <w:rFonts w:ascii="Times New Roman PS Std;serif" w:hAnsi="Times New Roman PS Std;serif"/>
          <w:b/>
          <w:i w:val="false"/>
          <w:caps w:val="false"/>
          <w:smallCaps w:val="false"/>
          <w:sz w:val="20"/>
        </w:rPr>
        <w:t xml:space="preserve">Merger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proposal, LivePerson is asking its stockholders to adopt the Amended and Restated Merger Agreement by and among LivePerson, SoundHound, Merger Sub I and Merger Sub II, dated as of July 2, 2026, pursuant to which (i) Merger Sub I will be merged with and into LivePerson pursuant to the First Merger and (ii) Merger Sub II will be merged with and into LivePerson pursuant to the Second Merger, with LivePerson surviving the Mergers as an indirect, wholly owned subsidiary of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 condition to completion of the Mergers that LivePerson stockholders approve the merger proposal. In particular, you should read in its entirety the Merger Agreement, which is attached as Annex A to this proxy statement/prospectus. In addition, see the section entitled “</w:t>
      </w:r>
      <w:r>
        <w:rPr>
          <w:rFonts w:ascii="Times New Roman PS Std;serif" w:hAnsi="Times New Roman PS Std;serif"/>
          <w:b w:val="false"/>
          <w:i/>
          <w:caps w:val="false"/>
          <w:smallCaps w:val="false"/>
          <w:sz w:val="20"/>
        </w:rPr>
        <w:t>The Mergers”</w:t>
      </w:r>
      <w:r>
        <w:rPr>
          <w:rFonts w:ascii="Times New Roman PS Std;serif" w:hAnsi="Times New Roman PS Std;serif"/>
          <w:b w:val="false"/>
          <w:i w:val="false"/>
          <w:caps w:val="false"/>
          <w:smallCaps w:val="false"/>
          <w:sz w:val="20"/>
        </w:rPr>
        <w:t xml:space="preserve"> beginning on page 40, and the section entitled “</w:t>
      </w:r>
      <w:r>
        <w:rPr>
          <w:rFonts w:ascii="Times New Roman PS Std;serif" w:hAnsi="Times New Roman PS Std;serif"/>
          <w:b w:val="false"/>
          <w:i/>
          <w:caps w:val="false"/>
          <w:smallCaps w:val="false"/>
          <w:sz w:val="20"/>
        </w:rPr>
        <w:t>The Merger Agreement</w:t>
      </w:r>
      <w:r>
        <w:rPr>
          <w:rFonts w:ascii="Times New Roman PS Std;serif" w:hAnsi="Times New Roman PS Std;serif"/>
          <w:b w:val="false"/>
          <w:i w:val="false"/>
          <w:caps w:val="false"/>
          <w:smallCaps w:val="false"/>
          <w:sz w:val="20"/>
        </w:rPr>
        <w:t>,” beginning on page 73.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by the LivePerson stockholders of this proposal is required by the DGCL and is a condition to the consummation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Failure to vote on the merger proposal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0" w:name="T9910"/>
      <w:bookmarkEnd w:id="10"/>
      <w:r>
        <w:rPr>
          <w:rFonts w:ascii="Times New Roman PS Std;serif" w:hAnsi="Times New Roman PS Std;serif"/>
          <w:b/>
          <w:i w:val="false"/>
          <w:caps w:val="false"/>
          <w:smallCaps w:val="false"/>
          <w:sz w:val="20"/>
        </w:rPr>
        <w:t xml:space="preserve">Non-Binding Compensation Advisory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is also asking its stockholders to approve the non-binding compensation advisory proposal. As required by Section 14A of the Exchange Act and the applicable SEC rules issued thereunder, which were enacted pursuant to the Dodd-Frank Wall Street Reform and Consumer Protection Act, LivePerson is required to provide its stockholders the opportunity to vote to approve, on a non-binding, advisory basis, certain compensation that may be paid or become payable to LivePerson’s named executive officers that is based on or otherwise relates to the Mergers, as described in the section entitled “</w:t>
      </w:r>
      <w:r>
        <w:rPr>
          <w:rFonts w:ascii="Times New Roman PS Std;serif" w:hAnsi="Times New Roman PS Std;serif"/>
          <w:b w:val="false"/>
          <w:i/>
          <w:caps w:val="false"/>
          <w:smallCaps w:val="false"/>
          <w:sz w:val="20"/>
        </w:rPr>
        <w:t>Interests of LivePerson</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beginning on page 102. Accordingly, LivePerson stockholders are being provided the opportunity to cast an advisory vote on such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this proposal is not binding upon LivePerson or the LivePerson board of directors or SoundHound or the SoundHound board of directors, and approval of this proposal is not a condition to completion of the Mergers and is a vote separate and apart from the merger proposal. Accordingly, you may vote to approve the merger proposal and vote not to approve the non-binding compensation advisory proposal and vice versa. Because the executive compensation to be paid in connection with the Mergers is based on the terms of the Merger Agreement as well as the contractual arrangements with LivePerson’s named executive officers, such compensation will be payable, regardless of the outcome of this advisory vote, only if the merger proposal is approved (subject only to the contractual conditions applicable thereto). However, LivePerson seeks the support of its stockholders and believes that stockholder support is appropriate because LivePerson has a comprehensive executive compensation program designed to link the compensation of its executives with LivePerson’s performance and the interests of LivePerson stockholders. Accordingly, holders of shares of LivePerson Common Stock are being asked to vote on the following resolution: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RESOLVED, that the stockholders of LivePerson, Inc. approve, on an advisory, non-binding basis, certain compensation that may be paid or become payable to the named executive officers of LivePerson, Inc. that is based on or otherwise relates to the mergers, as disclosed pursuant to Item 402(t) of Regulation S-K under the heading “</w:t>
      </w:r>
      <w:r>
        <w:rPr>
          <w:rFonts w:ascii="Times New Roman PS Std;serif" w:hAnsi="Times New Roman PS Std;serif"/>
          <w:b w:val="false"/>
          <w:i/>
          <w:caps w:val="false"/>
          <w:smallCaps w:val="false"/>
          <w:sz w:val="20"/>
        </w:rPr>
        <w:t>Interests of LivePerson’s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in the proxy statement/prospectus LivePerson, Inc. with respect to the special meeting of stockholders to be held on August 20,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1" w:name="T9911"/>
      <w:bookmarkEnd w:id="11"/>
      <w:r>
        <w:rPr>
          <w:rFonts w:ascii="Times New Roman PS Std;serif" w:hAnsi="Times New Roman PS Std;serif"/>
          <w:b/>
          <w:i w:val="false"/>
          <w:caps w:val="false"/>
          <w:smallCaps w:val="false"/>
          <w:sz w:val="20"/>
        </w:rPr>
        <w:t xml:space="preserve">The Adjournment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LivePerson is asking its stockholders to approve the adjournment of the special meeting, if necessary or appropriate, to solicit additional proxies if there are not sufficient votes to approve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LivePerson stockholders approve the adjournment proposal, subject to the terms of the Merger Agreement, LivePerson could adjourn the special meeting and use the additional time to solicit additional proxies, including soliciting proxies from LivePerson stockholders who have previously voted. LivePerson does not intend to call a vote on the adjournment proposal if the merger proposal is approved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affirmative vote of a majority of the shares of LivePerson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2"/>
      <w:bookmarkEnd w:id="12"/>
      <w:r>
        <w:rPr>
          <w:rFonts w:ascii="Times New Roman PS Std;serif" w:hAnsi="Times New Roman PS Std;serif"/>
          <w:b/>
          <w:i w:val="false"/>
          <w:caps w:val="false"/>
          <w:smallCaps w:val="false"/>
          <w:sz w:val="20"/>
        </w:rPr>
        <w:t xml:space="preserve">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of the Mergers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Merger Sub I will merge with and into LivePerson, the separate corporate existence of Merger Sub I will cease, and LivePerson will continue as the surviving corporation in the First Merger as an indirect, wholly owned subsidiary of SoundHound. At the Second Effective Time, Merger Sub II will merge with and into LivePerson, the separate corporate existence of Merger Sub II will cease, and LivePerson will continue as the surviving corporation in the Second Merger as an indirect, wholly owned subsidiary of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Consideration to LivePerson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First Merger, each share of LivePerson Common Stock (other than any Cancelled LivePerson Shares and TASE Shares) issued and outstanding immediately prior to the First Effective Time will be converted into the right to receive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the Second Merger, each TASE Share (other than Dissenting Shares) issued and outstanding immediately prior to the Second Effective Time will be converted into the right to receive the Per Share Cash Merger Consideration. At least two business days prior to the date of the LivePerson special meeting, LivePerson shall notify holders of LivePerson Common Stock of the aggregate number of TASE Shares outstanding as of the most recent practicable determination date (which date shall be specified in such notice).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events, meetings, negotiations, and other actions that led to the execution and public announcement of the Merger Agreement and the transactions contemplated thereby, including the Notes Restructuring Agreement entered into with the holders of LivePerson’s secured debt securities. This summary does not purport to describe every interaction among LivePerson, the LivePerson board of directors, LivePerson’s management team (referred to herein as “LivePerson management”) or its advisors, or any other parties or their respective advisors, representatives, or principals. Rather, it is intended to provide a summary of the material developments over the course of the events and discussions described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together with LivePerson management, reviews LivePerson’s strategic direction, financial performance, and business plans on an ongoing basis with a view towards strengthening LivePerson’s business and identifying opportunities to increase stockholder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beginning of 2024, LivePerson announced financial results for the 2023 fiscal year that reflected a 22% decline in revenue year-over-year, primarily as a result of cancellations, downsells and competitive challenges in expanding and retaining customer relationships. At that time, LivePerson had outstanding $517.5 million in aggregate principal amount 2026 Convertible Notes, which matured in December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appointed John Sabino as LivePerson’s Chief Executive Officer in January 2024 as part of a board-initiated turnaround strategy to strengthen LivePerson’s business and financial position, with the ultimate goal of maximizing stockholder value. Key features of the turnaround strategy involved leadership refreshment, strengthening LivePerson’s capital structure by addressing its significant outstanding debt and right-sizing expenses, strengthening go-to-market operations, execution and customer retention, and pursuing product innovation and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quarter of 2024, although execution of several elements of the turnaround strategy were progressing, enterprise customer concerns regarding LivePerson’s financial profile, specifically its ability to refinance the 2026 Convertible Notes at maturity, became a pronounced and recurring theme in LivePerson’s commercial discussions. Both existing and prospective customers were increasingly expressing reluctance to renew or enter into new contracts with LivePerson due to LivePerson’s significant debt and its upcoming maturity. In an effort to address this critical commercial impediment, the LivePerson board of directors, following discussions with LivePerson management, determined to accelerate efforts with respect to a comprehensive review of LivePerson’s capital structure and refinancing options for the 2026 Convertible Notes. In March 2024, LivePerson engaged Lazard Frères &amp; Co. LLC (“Lazard”) as a financial advisor to assist with this capital structure review. LivePerson selected Lazard because Lazard is a nationally recognized investment banking firm with substantial experience in recapitalization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Keyvan Mohajer, SoundHound’s Chief Executive Officer, contacted Mr. Sabino regarding SoundHound’s interest in exploring strategic opportunities with LivePerson. Mr. Sabino acknowledged the outreach but conversations did not progress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after extensive negotiations and following a review of alternatives by the LivePerson board of directors and LivePerson management, upon consultation with Lazard and LivePerson’s outside legal counsel, Fried, Frank, Harris, Shriver &amp; Jacobson LLP (“Fried Frank”), the LivePerson board of directors approved, and LivePerson entered into, a refinancing agreement with Lynrock Lake Master Fund LP (“Lynrock”), an existing investor in the 2026 Convertible Notes, pursuant to which LivePerson retired approximately $146 million in aggregate principal amount of 2026 Convertible Notes held by Lynrock and received a $100 million cash investment from Lynrock in exchange for $200 million in aggregate principal amount of newly issued first lien secured notes maturing in 2029 (the “First Lien Secured Notes”) and warrants for approximately 11% of LivePerson’s outstanding common stock with an exercise price of $0.75 per share (such transaction, the “First Lien Notes Exchange”). Although the First Lien Secured Notes were scheduled to mature on June 15, 2029, they provided for a springing maturity approximately three months prior to the December 2026 maturity of the 2026 Convertible Notes if more than $60 million in aggregate principal amount of 2026 Convertible Notes then remained outstanding. After giving effect to the First Lien Notes Exchange, there were then approximately $360 million in aggregate principal amount of 2026 Convertible Notes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2024, members of LivePerson management engaged in introductory discussions with representatives from SoundHound regarding SoundHound’s interest in exploring a potential acquisition of LivePerson. On July 24, 2024, representatives of SoundHound sent to representatives of LivePerson a non-binding indication of interest relating to a potential acquisition of LivePerson by SoundHound (the “July 2024 IOI”). The July 2024 IOI did not contain a proposed price, valuation or economic terms, but indicated the consideration would be in the form of SoundHound Common Stock at exchange ratios to be determined during the course of negotiations of definitive agreements with respect to the proposed transaction. At a meeting of the LivePerson board of directors held on July 26, 2024, at which members of LivePerson management and representatives of Lazard were in attendance, the LivePerson board of directors discussed the July 2024 IOI, including that the acquisition of LivePerson by SoundHound would give the holder of the First Lien Secured Notes (the “First Lien Noteholder”) the right to require LivePerson to repurchase the First Lien Secured Notes at a “make-whole” premium under the terms of the First Lien Secured Notes, and that in order for a transaction to be viable, SoundHound would need to raise cash in order to pay off the First Lien Secured Notes. Following that LivePerson board meeting, members of LivePerson management highlighted to members of SoundHound management that the transaction proposed by the July 2024 IOI would trigger this repayment obligation under the First Lien Secured Notes. Members of SoundHound management indicated to members of LivePerson management that SoundHound would need time to assess how to address the repayment of the First Lien Secured Notes. Accordingly, the parties agreed to suspend further discussion regarding the July 2024 IOI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Entering LivePerson’s 2025 fiscal year, although the First Lien Notes Exchange in 2024 had provided reassurance to some LivePerson customers that LivePerson had the ability to refinance the remaining 2026 Convertible Notes, LivePerson continued to face customer concerns regarding its financial viability on a long-term basis due to the 2026 Convertible Notes maturity. Reluctance among new and existing enterprise customers to contract with LivePerson due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its remaining 2026 Convertible Notes remained a significant barrier to strengthening LivePerson’s business and financial position. In addition, the springing maturity feature of the First Lien Notes required LivePerson to address the 2026 Convertible Notes well in advance of their ultimate maturity date. In light of the foregoing issues, after continued discussions with LivePerson’s advisors, Lazard and Fried Frank, regarding potential refinancing options, in the first quarter of 2025 the LivePerson board of directors authorized LivePerson management to pursue discussions with holders of approximately 95% of the outstanding 2026 Convertible Notes (the “Ad Hoc Group”) to explore a potential restructuring of the remaining 2026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LivePerson management and representatives of each of Lazard and Fried Frank engaged in preliminary discussions with representatives of the Ad Hoc Group and its advisors from February 2025 through April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LivePerson entered into confidentiality agreements with members and representatives of the Ad Hoc Group and commenced negotiations regarding a potential transaction involving the exchange of the Ad Hoc Group’s 2026 Convertible Notes to reduce the debt overhang that was then impeding LivePerson’s commercial strategy. Extensive negotiations with the Ad Hoc Group continued for several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June 2025, members of LivePerson management engaged with members of SoundHound management as a follow up to SoundHound’s previous expression of interest in a potential strategic transaction between SoundHound and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John Collins, LivePerson’s Chief Financial Officer and Chief Operating Officer, provided an email update to the LivePerson board of directors regarding the June 2025 conversation between LivePerson management and the management of SoundHound, as well as discussions with two other counterparties with whom LivePerson management had previously engaged with in some preliminary, exploratory conversations in the ordinary course during the first and second quarters of 2025 that did not involve any formal proposal or offer and did not advance any further.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2025, at SoundHound’s request, representatives of each of LivePerson management, Lazard and Fried Frank held a discussion with members of SoundHound management, representatives of Barclays Capital, Inc. (“Barclays”), SoundHound’s financial advisor, and representatives of Latham &amp; Watkins LLP (“Latham”), SoundHound’s legal counsel, to discuss potential approaches to LivePerson’s outstanding debt in the interest of enabling further exploration of an acquisition of LivePerson by SoundHound. At a LivePerson board of directors meeting on that same day, Mr. Collins updated the LivePerson board of directors regarding the continued interest from, and dialogue with, members of SoundHound management. Later that same day, a member of SoundHound management discussed with Mr. Collins a potential letter of intent contemplated by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21, 2025, SoundHound sent a non-binding letter of intent to the LivePerson board of directors (the “July 2025 LOI”). The July 2025 LOI contemplated that, subject to due diligence, LivePerson stockholders would receive shares of SoundHound Common Stock reflecting a 20% premium to LivePerson’s closing price on July 16, 2025 of $14.40 per share (adjusted for LivePerson’s subsequent 15-1 reverse stock split) and holders of the 2026 Convertible Notes then outstanding would be paid in cash 40% of the par value of the 2026 Convertible Notes in exchange for the retirement of the approximately $360 million in aggregate principal amount of the 2026 Convertible Notes then outstanding and the First Lien Noteholder would receive either (i) a to-be-determined combination of cash and SoundHound Common Stock or (ii) newly issued SoundHound debt, in an amount equal to 100% of the par value of the First Lien Secured Notes. The July 2025 LOI contemplated that the First Lien Noteholder would not receive any consideration in respect of the make-whole payments to which it was contractually entitled under the terms of the agreements governing the First Lien Secured Notes. The July 2025 LOI also indicated that SoundHound was open to discussion on reallocating the consideration among the LivePerson stockholders and noteholders. The July 2025 LOI provided for a 45-day exclusivity period. In response to the July 2025 LOI, members of LivePerson management connected representatives of Lazard with members of SoundHound management and representatives of Barclays to discuss SoundHound’s and Barclays’ review of LivePerson’s public filings that they had undertaken prior to submission of the July 2025 LOI.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submission of the July 2025 LOI, the LivePerson board of directors reviewed and discussed the July 2025 LOI with advice and input from representatives of each of Lazard and Fried Frank. Several concerns were noted, including that the July 2025 LOI was preliminary and the proposed consideration was subject to further diligence, and that significant concessions would be required of LivePerson’s noteholders in order for SoundHound’s proposal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contemplated by the July 2025 LOI to be viable. In addition, the 45-day exclusivity period required by the July 2025 LOI would require termination of LivePerson’s discussions with the Ad Hoc Group at a time when the parties were nearing final terms for a viable debt restructuring deal after months of protracted negotiations. Following deliberation in consultation with its advisors and management, in light of the preliminary nature of SoundHound’s proposal, the fact that such proposal was conditioned on further due diligence, the uncertain viability of such proposal given the concessions that would be required of LivePerson’s noteholders, the critical need to address ongoing commercial pressure by refinancing the 2026 Convertible Notes, the nearly final status of protracted negotiations with the Ad Hoc Group, and concern that the Ad Hoc Group discussions to refinance the 2026 Convertible Notes would be extremely difficult to resurrect if paused or disrupted, the LivePerson board of directors determined it was in the best interest of LivePerson’s stockholders to focus on the completion of the debt exchange transaction with the Ad Hoc Group to relieve the commercial impediments caused by the 2026 Convertible Notes maturity and strengthen LivePerson’s capital structure in support of commercial execution and longer term viability.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2025, LivePerson management and representatives of Lazard held a discussion with SoundHound management and representatives of Barclays, during which LivePerson management and representatives of Lazard conveyed that LivePerson was not intending to engage further with SoundHound regarding the July 2025 LOI until following LivePerson’s August 2025 earnings announcement for the quarter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11, 2025, LivePerson entered into an exchange agreement with the Ad Hoc Group, pursuant to which the Ad Hoc Group agreed to exchange 2026 Convertible Notes with an aggregate principal amount of $341.1 million for (i) an aggregate payment of $45.0 million in cash, (ii) $115.0 million in aggregate principal amount of 10.0% Second Lien Senior Subordinated Secured Notes due 2029 (the “Second Lien Secured Notes,” and together with the First Lien Secured Notes, the “Secured Notes”), (iii) shares of LivePerson Common Stock (such shares, the “Common Equity Shares”) and (iv) shares of Series B Fixed Rate Convertible Perpetual Preferred Stock (“Series B Preferred Stock”). The aggregate number of Common Equity Shares and shares of LivePerson Common Stock into which the Series B Preferred Stock were convertible equaled 39.0% of LivePerson’s fully diluted common stock as of the closing date of the exchange (such transaction, the “Second Lien Notes Exchange”). On September 12, 2025, the Second Lien Notes Exchange was consummated, and in October 2025, the Series B Preferred Stock converted into shares of LivePerson Common Stock in accordance with its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and concurrently with the First Lien Notes Exchange and Second Lien Notes Exchange transactions, LivePerson continued to execute on other elements of its turnaround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following the completion of the Second Lien Notes Exchange and after evaluating LivePerson’s position at that time, including continued material headwinds notwithstanding the progress that had been made during 2024 and 2025 in executing the turnaround strategy, the LivePerson board of directors determined to formalize exploration of available strategic alternatives for LivePerson. In connection therewith, the LivePerson board of directors, after considering Lazard’s familiarity with LivePerson and its significant M&amp;A experience, approved the engagement of Lazard as LivePerson’s financial advisor in connection with its evaluation of strategic alternatives, including a potential sale of LivePerson. On September 8, 2025, LivePerson amended and restated its engagement letter with Lazard to provide for Lazard’s services in connection with LivePerson’s evaluation of strategic alternatives.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9, 2025, the LivePerson board of directors held a meeting, with members of LivePerson management and representatives of each of Lazard and Fried Frank in attendance. At the meeting, representatives of Lazard discussed with the LivePerson board of directors an overview of strategic alternatives and a list of potential strategic and financial acquirors for LivePerson, including SoundHound. After discussion, the LivePerson board of directors authorized Lazard to reach out to potential strategic and financial acquirors to ascertain their potential interest in an acquisition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representatives of Lazard contacted potential acquirors, including both strategic and financial sponsors. Between September 2025 through the end of January 2026, representatives of Lazard contacted 66 potential counterparties in total as part of its overall outreach and LivePerson entered into non-disclosure agreements with 17 potential acquirors in connection with this outreach, including SoundHound. Each such non-disclosure agreement contained a customary “standstill” provision; however, each also provided that upon the public announcement of a sale of LivePerson, either the standstill restrictions would expire and terminate entirely or, in certain cases, the counterparty would be permitted to make a confidential proposal to the LivePerson board of directors for an acquisition of LivePerson. As part of the outreach process, potential acquirors that executed non-disclosure agreements were provided with confidential business and financial data regarding LivePerson and asked to submit first round indications of interest by November 20,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12, 2025, at LivePerson’s direction, representatives of Lazard contacted members of SoundHound management and representatives of Barclays and informed them that the LivePerson board of directors authorized Lazard to commence a sales process for LivePerson and to begin outreach to potential acquirers, including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2025, Nitesh Sharan, the Chief Financial Officer of SoundHound at the time, and Mr. Collins met to discuss the potential path for an acquisition of LivePerson and the involvement of the First Lien Noteholder and the holders of the Second Lien Secured Notes (the “Second Lien Noteholders”, together with the First Lien Noteholder, the “Secured Holders”) in any such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2025, at LivePerson’s direction, representatives of Lazard followed up with members of Barclays to discuss whether SoundHound had genuine interest in an acquisition of LivePerson. Barclays confirmed SoundHound’s continued interest in a strategic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2025, the LivePerson board of directors held a meeting, with members of LivePerson management and representatives of each of Lazard and Fried Frank in attendance. At the meeting, representatives of Lazard provided the LivePerson board of directors with an update on Lazard’s outreach to potential counterparties, along with Lazard’s initial impressions regarding such outreach. It was determined that there were no opportunities that were actionable at that time, and the LivePerson board of directors instructed Lazard to continue with its outreach.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28, 2025, representatives of Lazard, at the direction of LivePerson management, reached out to Barclays requesting an update on SoundHound’s interest in a potential acquisition of LivePerson. Representatives of Barclays noted that their discussions with SoundHound were ongoing and that an update would soon be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at LivePerson’s direction, representatives of each of Lazard and Barclays held further discussions regarding SoundHound’s interest in re-engaging in the process. On behalf of LivePerson, representatives of Lazard provided Barclays with an update on process timing.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members of LivePerson management, together with representatives of Lazard, held a management meeting with members of SoundHound management to discuss certain preliminary diligence matters and the potential of a transaction between LivePerson and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2025, the deadline date established for written indications of interest as part of the Lazard-managed outreach effort, the LivePerson board of directors held a meeting, with members of LivePerson management and representatives of each of Lazard and Fried Frank in attendance, at which representatives of Lazard provided an update with respect to their discussions with potential counterparties. Representatives of Lazard reported to the LivePerson board of directors that no written indications of interest had yet been received, and based on discussions and feedback to date, none were expected. Lazard noted that one counterparty had provided an informal, verbal indication of interest subject to further diligence that contemplated an enterprise value significantly below the face value of LivePerson’s outstanding debt and three counterparties who had been contacted as part of the process did contact Lazard to advise Lazard specifically that they did not intend to submit a formal offer, but requested to be made aware if another credible offer was received by LivePerson. The LivePerson board of directors authorized continued outreach to potential acquirers by Lazard on behalf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24, 2025, at LivePerson’s direction, representatives of each of Lazard and Barclays connected to discuss the initial feedback from the management presentation held on November 18, 2025. During these discussions, representatives of Barclays noted that representatives of SoundHound had diligence requests related to the status of LivePerson’s top customers and wanted to schedule conversations with members of LivePerson management to cover this topic.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18, 2025, LivePerson and SoundHound executed a new non-disclosure agreement based on a form that contemplated a potential strategic transaction (which superseded a non-disclosure agreement previously entered into by LivePerson and SoundHound in the context of commercial discussions which covered prior conversations between the parties), which included a customary mutual “standstill” provision containing a customary fallaway provision and which did not restrict SoundHound from making confidential proposals to the LivePerson board of directors to explore a potential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23, 2025, members of LivePerson management held follow-up conversations with members of SoundHound management and representatives of Barclays regarding the status of LivePerson’s commercial relationships with its top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2026, at LivePerson’s direction, representatives of each of Lazard and Barclays held further discussions, during which Barclays noted SoundHound’s continued interest in a potential transaction with LivePerson. In accordance with LivePerson’s direction, representatives of Lazard encouraged Barclays and SoundHound to submit an updated letter of intent proposing the terms on which SoundHound would be willing to transact.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at LivePerson’s direction, representatives of Barclays met with representatives of Lazard and noted that representatives of Barclays had spoken with Mr. Mohajer and that Mr. Mohajer explained that SoundHound was contemplating a framework for a transaction involving LivePerson including the treatment of LivePerson’s Secured Notes. Representatives of Barclays noted during these discussions that LivePerson’s capital structure would make any potential offer complex. At LivePerson’s continued direction, representatives of Lazard had further discussions with representatives of Barclays related to exploring potential transaction structures on January 14,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LivePerson received a new, non-binding letter of intent from SoundHound (the “January 2026 LOI”) which contemplated an acquisition of LivePerson in a transaction in which LivePerson stockholders, the Secured Holders and holders of the remaining 2026 Convertible Notes would receive consideration consisting of shares of SoundHound Common Stock, and, in the case of holders of the remaining 2026 Convertible Notes, cash. The January 2026 LOI proposed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LivePerson Common Stock would receive, for each share of LivePerson Common Stock, shares of SoundHound Common Stock at a fixed exchange ratio reflecting a value of $3.75 (which represented a 25% premium to the closing price of LivePerson Common Stock on January 20, 2026) based on a volume-weighted average price of SoundHound Common Stock over a to-be-agreed period prior to the execution of a definitive merger agreement (the “SoundHound Pre-Signing VWAP”); based on the $3.75 per share value, the LivePerson’s equityholders would receive, in the aggregate, consideration valued at approximately $48 million based on a fully diluted share count of 12.8 million LivePerson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the remaining 2026 Convertible Notes would receive $20.1 million in cash upon closing (or such lesser amount as would then be owed to holders of 2026 Convertible Notes at the time of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First Lien Noteholder would receive a number of shares of SoundHound Common Stock equal to $200 million divided by the SoundHound Pre-Signing VWAP;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Second Lien Noteholders would receive a number of shares of SoundHound Common Stock equal to $90 million divided by the SoundHound Pre-Signing VWAP.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January 2026 LOI reflected an implied enterprise value of LivePerson of $284 million, which was significantly below LivePerson’s approximately $357 million in aggregate principal amount of notes outstanding. However, crucially, the January 2026 LOI contemplated that LivePerson’s stockholders would receive value in the transaction, despite the Secured Holders receiving consideration with a value substantially below the aggregate par value, accrued interest, and applicable make-whole and redemption premia that they would otherwise be contractually entitled to receive under the terms of the Secured Notes. The January 2026 LOI indicated that SoundHound was open to discussion on reallocating the consideration among stockholders and noteholders. The January 2026 LOI also provided that SoundHound’s proposal was premised on LivePerson having at least $74 million of unrestricted cash at closing, and LivePerson agreeing to negotiate exclusively with SoundHound for a 45-day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22, 2026, the LivePerson board of directors held a meeting, with members of LivePerson management and representatives of each of Fried Frank and Lazard in attendance, at which the LivePerson board of directors and the other attendees discussed SoundHound’s acquisition proposal contained in the January 2026 LOI, potential approaches for engaging in discussions with LivePerson’s noteholders regarding the SoundHound acquisition proposal, and potential outreach to other potential acquirors. The LivePerson board of directors and the other attendees at the meeting also discussed the competitive landscape faced by LivePerson, including threats posed to LivePerson by well-capitalized competitors, ongoing business headwinds and longer than originally anticipated timeframes required to complete the turnaround. During this meeting, representatives of Lazard noted to the LivePerson board of directors that, despite expanding the outreach to additional potential counterparties, no incremental interest regarding an acquisition of LivePerson was identified. The LivePerson board of directors authorized LivePerson management and Lazard to engage in further discussions with SoundHound regarding SoundHound’s proposal and to engage in discussions with the Secured Holders regarding such holders accepting a discount to the amounts to which they were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contractually entitled under the terms of the Secured Notes in order to facilitate a potential transaction. Additionally, participants discussed that a working group of the LivePerson board of directors, consisting of the Chairman and certain other directors with relevant strategic transaction experience, would work closely with LivePerson management with respect to such discussions with the Secured Noteholders and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January 23, 2026 through January 29, 2026, members of LivePerson management solicited feedback from representatives of the Secured Holders regarding a potential transaction with SoundHound. In late January 2026, representatives of Lazard assisted LivePerson management with preparing a proposed response to the January 2026 LOI that reflected feedback received from representatives of the Secured Holders regarding their current positions as to the key economic terms. Such feedback included, among other things, that the First Lien Noteholder and Second Lien Noteholders were requesting approximately $238 million and $115 million in value, respectively. This proposed response was shared with the LivePerson board of directors on January 30, 2026, and the LivePerson board of directors subsequently expressed support for LivePerson management to move forward with progressing conversations with SoundHound by conveying the Secured Holders’ response to SoundHound’s representatives. On February 2, 2026, representatives of Lazard, at the direction of LivePerson management, shared that response with Barclays. The Secured Holders’ February 2 counterproposal, which contemplated an increase in the overall consideration being paid by SoundHound, was rejected by SoundHound; however, discussions between SoundHound and LivePerson and their respective advisors nonetheless continued into February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in late January 2026 and early February 2026, at the direction of the LivePerson board of directors, representatives of Lazard reached back out to the four potential counterparties referenced during the LivePerson board of directors meeting on November 20, 2025. Representatives of Lazard informed such parties of LivePerson’s receipt of an offer and inquired whether such parties intended to submit a formal bid. In response, each of the four parties declined to re-engage in further discussions or negotiations regarding a potential transaction with LivePerson. However, three of the four parties orally indicated to Lazard that, if they had elected to re-engage in discussions and negotiations at that time, their estimated offers would have been limited to amounts between approximately $150 million and $200 million, which was materially lower than both the face amount of LivePerson’s outstanding debt and the approximately $284 million enterprise value implied by SoundHound’s proposal in the January 2026 LOI.</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February 2026, members of LivePerson management and representatives of each of Lazard, with input and direction from the LivePerson board of directors and representatives of the Secured Holders, continued to engage in discussions and negotiations with members of SoundHound management and representatives of Barclays regarding the economic and other key terms of the proposed transaction, including the proposed utilization of a pricing collar to address recent market volatility and the potentially dilutive impacts to SoundHound of a stock-for-stock merger transaction. Members of the working group of the LivePerson board of directors were updated by LivePerson management throughout the course of these discussions.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LivePerson management, with input from members of the LivePerson board of directors, reached a tentative framework with representatives of the Secured Holders regarding the allocation of the transaction consideration under the terms of the January 2026 LOI that would be paid to LivePerson’s stockholders and the Secured Holders (the “February 2026 Terms”). The February 2026 Terms were based on a total enterprise value of LivePerson of $284 million (consistent with the January 2026 LOI) and included approximately (i) $200 million in SoundHound Common Stock payable to the First Lien Noteholder (consistent with the January 2026 LOI), (ii) $95 million in SoundHound Common Stock payable to the Second Lien Noteholders (versus $90 million under the January 2026 LOI) and (iii) value in the form of SoundHound Common Stock being issued to LivePerson stockholders that would reflect a premium of no more than 20% to the market price of LivePerson Common Stock immediately prior to the announcement of the potential transaction, which at the time was approximately $43 million (versus approximately $48 million of value implied by the terms of the January 2026 LOI).</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Mr. Sabino and Mr. Collins had a discussion with members of SoundHound management, during which SoundHound management acknowledged that they were committed to working on a counter proposal that included a collar mechanism.</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 2026, Mr. Kelley proposed to Mr. Collins revisions to the January 2026 LOI that would provide that (i) the number of shares of SoundHound Common Stock issued to LivePerson stockholders and the Secured Holders as consideration in the transactions would be calculated based on a volume-weighted average price of the SoundHound Common Stock over a ten trading day period ending three calendar days prior to closing, subject to a fixed price collar to be mutually agreed at signing of the definitive documentation and (ii) that SoundHound would have the option to substitute cash for all or any portion of the SoundHound Common Stock otherwise issuable to the Secured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the LivePerson board of directors held a meeting, with members of LivePerson management as well as representatives of each of Fried Frank and Lazard in attendance, to discuss and review the status of the negotiations with SoundHound and seek approval from the LivePerson board of directors to execute a letter of intent with SoundHound on the terms and conditions then proposed. The LivePerson board of directors and its advisors discussed and considered, among other things, the substantial outreach process that had been conducted to date and the failure of other potential counterparties to provide a proposal superior to the January 2026 LOI or the currently proposed terms. Following such discussion, the LivePerson board of directors authorized LivePerson management to finalize the terms of, and execute, a letter of intent with SoundHound on terms discussed with the LivePerson board of directors at the meeting. Following this meeting, on March 4, 2026, representatives of Lazard, at the direction of the LivePerson board of directors, sent a revised draft of the January 2026 LOI (the “March 4th LOI”) to SoundHound. The March 4th LOI reflected an implied enterprise value of LivePerson of $284 million (consistent with the January 2026 LOI) and provided that LivePerson stockholders would receive SoundHound Common Stock with an aggregate value of $43 million based on a volume-weighted average price of the SoundHound Common Stock over a to-be-agreed period prior to closing, subject to a 25% symmetrical pricing collar with respect to the shares of SoundHound Common Stock (but also provided SoundHound the ability to pay cash to LivePerson stockholders in lieu of issuing shares of SoundHound Common Stock, based on communications between representatives of SoundHound and LivePerson management in early March 2026), the holders of the remaining 2026 Convertible Notes would receive $20.1 million in cash upon closing (or such lesser amount as would then be owed to holders of 2026 Convertible Notes at the time of closing) (consistent with the January 2026 LOI), the Second Lien Noteholders would receive consideration based on a fixed value of $95 million (consistent with the February 2026 Terms), and the First Lien Noteholder would receive $200 million of consideration (consistent with the January 2026 LOI and February 2026 Terms). The March 4th LOI proposed that any cash consideration payable to the LivePerson stockholders and the Secured Holders would be allocated proportionately among such security holders, as well as a shortened exclusivity period of 30 days. The March 4th LOI further provided that the economic terms therein were premised on LivePerson having at least $74 million of unrestricted cash at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2026, Mr. Sabino held a meeting with members of the aforementioned working group of the LivePerson board of directors, at which representatives of each of Lazard and Fried Frank were in attendance. At the meeting, Mr. Sabino reported that, in late February 2026, Mr. Sabino was contacted by a representative of a financial sponsor, who indicated that one of the financial sponsor’s portfolio companies could be interested in exploring the possibility of a business combination transaction with LivePerson. Representatives of Lazard discussed with the working group that, in light of the relative sizes of the portfolio company and LivePerson, it would be unlikely that the portfolio company would be a viable acquiror of LivePerson. No written indication of interest was ever received from either the financial sponsor or the portfolio company prior to, or following, such meeting. The members of the working group, members of LivePerson management and representatives of Lazard and Fried Frank also discussed the significant work that had been done by members of LivePerson management to negotiate a transaction with terms acceptable to the Secured Holders that would allow LivePerson stockholders to receive consideration in a sale of LivePerson to SoundHound based on the Secured Holders taking a significant discount to the amounts to which they were contractually entitled under the terms of the Secured Notes, SoundHound’s position that it would not proceed toward a transaction absent LivePerson agreeing to negotiate exclusively with SoundHound, the fact that the sponsor and portfolio company had done no diligence on LivePerson, and the low likelihood that the portfolio company would be able to negotiate a transaction on terms that would be more favorable to LivePerson stockholders than the proposed transaction with SoundHound and that would otherwise be acceptable to the Secured Holders. After discussions with LivePerson management and representatives of each of Lazard and Fried Frank, the working group determined that it was in the best interest of LivePerson and its stockholders to continue to pursue a transaction with SoundHound and not engage in further discussions with the financial sponsor or its portfolio company. Following this discussion, Mr. Sabino sent an update to the full LivePerson board of directors summarizing the matters discussed with the working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March 6, 2026, representatives of Barclays sent to Lazard a revised draft of the March 4th LOI (the “March 6th LOI”) with terms revised to reflect, among other things, that the measurement period for purposes of determining the volume-weighted average price of SoundHound Common Stock would be ten trading days ending on the third trading day prior to closing, subject to the above referenced 25% symmetrical collar; additional flexibility for SoundHound to substitute cash in lieu of equity as payment for the consideration to LivePerson stockholders and the Secured Holders; automatic extensions of the exclusivity period, subject to continued negotiation of the definitive agreements by the parties at the time of extension and neither party having notified the other in advance of its intent to terminate exclusivity; and specifying that SoundHound retained the right, prior to signing of definitive agreements, to reduce the consideration on a dollar-for-dollar basis if, following SoundHound’s comprehensive due diligence review, SoundHound determined that the amount of expected cash on LivePerson’s balance sheet at closing would be below $74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8, 2026, at the direction of LivePerson management and with the approval of LivePerson’s board of directors, representatives of Lazard sent Barclays a revised draft of the March 6th LOI (the “March 8th LOI”). The March 8th LOI, contemplated, among other things, (i) that the $74 million minimum cash threshold would be reduced by the amount of cash used by LivePerson to repurchase any 2026 Convertible Notes prior to closing; (ii) that any discount to par captured by any repurchase of the 2026 Convertible Notes, as well as the amount of cash, if any, in excess of such minimum cash threshold, would increase the consideration payable to the Second Lien Noteholders; (iii) that the First Lien Noteholder would be paid the accrued and unpaid interest in cash at the closing; and (iv) that the price of SoundHound Common Stock for purposes of determining the equity consideration would be subject to a collar mechanism.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9, 2026, representatives of Barclays sent to Lazard a revised draft of the March 8th LOI (the “March 9th LOI”), which, among other things, proposed that SoundHound could only elect to pay up to 50% of the aggregate consideration contemplated by the March 9th LOI in cash, rather than equity, in the event SoundHound’s stock price exceeded the high end of the pricing collar and a 30-day exclusivity period with automatic extensions of the exclusivity period so long as LivePerson and SoundHound were in continued discussion on the terms of the definitive agreements and neither party had notified the other in advance of its intent to terminate exclusivity. Members of LivePerson management provided an update to, and solicited feedback from, the LivePerson board of directors regarding the March 9th LOI. Following discussions with representatives of each of Fried Frank and Lazard, LivePerson management concluded that seeking to further negotiate the letter of intent with SoundHound risked jeopardizing SoundHound’s interest in the transaction, and, with the support and approval of the LivePerson board of directors, later that day, SoundHound and LivePerson executed the March 9th LOI. Over the course of the negotiations concerning the March 9th LOI, members of LivePerson’s management and its advisors provided periodic updates to the representatives of the Secured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16, 2026, LivePerson granted SoundHound and its advisors access to an electronic data room that was prepared by LivePerson and its advisors. From March 16, 2026, through April 20, 2026, SoundHound and its advisors conducted extensive financial, business and legal due diligence of LivePerson, with specific focus in financial diligence on turnover in LivePerson’s customer base and LivePerson management’s monthly cash projections. SoundHound and its outside advisors held a series of due diligence discussions with various members of the LivePerson management team and LivePerson’s outside advisors in 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17, 2026, representatives of Latham sent an initial draft of the Original Merger Agreement (the “March 17 Original Merger Agreement”) to Fried Frank. The March 17 Original Merger Agreement contained terms consistent with the March 9th LOI and contemplated, among other things, (i) LivePerson stockholders would receive SoundHound Common Stock with an aggregate value of $43 million based on a volume-weighted average price of the SoundHound Common Stock for the ten trading days ending on the third trading day prior to closing, subject to a 25% symmetrical pricing collar with respect to the shares of SoundHound Common Stock, (ii) a closing condition and covenant that would require the full redemption of all outstanding 2026 Convertible Notes prior to closing and (iii) a termination fee equal to 4% of LivePerson’s enterprise value based on the transaction payable under certain circumstances, including in the event the Notes Restructuring Agreement was terminated for any reason other than primarily due to SoundHound’s material breach thereof or in the event the Notes Restructuring Transactions failed to be consummated by the outside date (such termination fee triggers related to the Notes Restructuring Agreement, the “Notes Restructuring Termination Fee Triggers”). The March 17 Original Merger Agreement reserved SoundHound’s right to revisit the economic terms contemplated therein subject to the completion of SoundHound’s financial 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representatives of Latham sent an initial draft of the Notes Restructuring Agreement (the “March 20 Notes Restructuring Agreement”) to Fried Frank, and Fried Frank subsequently distributed such draft to Akin Gump Strauss Hauer &amp; Feld LLP (“Akin Gump”), counsel to the First Lien Noteholder, and Gibson, Dunn &amp; Crutcher LLP (“Gibson Dunn”), counsel to the Second Lien Noteholders. The March 20 Notes Restructuring Agreement contemplated, among other things (i) that the Notes Restructuring Agreement would automatically terminate upon any termination of the Original Merger Agreement, (ii) a release of pre-closing claims against LivePerson and SoundHound by the Secured Holders, (iii) a standstill provision applicable to the Secured Holder’s ownership of SoundHound shares, (iv) an obligation on the part of the Secured Holders to vote any LivePerson shares they hold in favor of the transaction contemplated by the Original Merger Agreement and against any actions that may impede or delay the Merger and (v) a restriction on the Secured Holders transferring Secured Notes, or obtaining a short position in SoundHound, prior to closing of the transactions contemplated by the Original Merger Agreement and the Notes Restructuring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23, 2026, representatives of Fried Frank reviewed and discussed with members of LivePerson management certain key provisions mentioned above in the March 17 Original Merger Agreement, including, among other things, (i) SoundHound’s ongoing reservations regarding key economic terms until the completion of SoundHound’s financial due diligence and (ii) the termination fee and the circumstances under which such termination fee would be payable, including upon the occurrence of any Notes Restructuring Termination Fee Trigger. Members of LivePerson management provided an update to, and solicited feedback from, members of the LivePerson board of directors regarding the March 17 Original Merger Agreement. The LivePerson board of directors then instructed LivePerson management to work with Fried Frank to prepare a revised draft of the Original Merger Agreement. Following such discussion, LivePerson management directed Fried Frank to prepare and send a revised draft of the Original Merger Agreement back to Latham, which included, among other revisions, a termination fee equal to 4% of LivePerson’s equity value based on the transaction and the removal of the closing condition and covenant requiring pre-closing redemption of the 2026 Convertible Notes. On March 27, 2026, representatives of Fried Frank sent to Latham a revised draft of the Original Merger Agreement containing, among other things, such revised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March 2026, representatives of Lazard communicated to LivePerson management and members of the LivePerson board of directors that it is not Lazard’s practice to provide to a board an opinion with respect to the fairness to a company’s stockholders of the consideration such stockholders would receive in a transaction in which secured debtholders receive less than full repayment of their secured debt. Representatives of Lazard communicated to the LivePerson board of directors and LivePerson management that this was not a lack of endorsement for the potential transaction with SoundHound. Following discussions among LivePerson management, members of the LivePerson board of directors and Fried Frank, the LivePerson board of directors directed LivePerson management to contact other potential financial advisors, including Houlihan Lokey, who acted as financial advisor to the Ad Hoc Group in connection with the Second Lien Notes Exchange. Following discussions between members of LivePerson management and representatives of Houlihan Lokey, the LivePerson board of directors determined that Houlihan Lokey was no longer actively engaged by the Ad Hoc Group or other debtholders and that Houlihan Lokey’s potential engagement to provide a fairness opinion would not create a conflict of interest. The LivePerson board of directors then determined to engage Houlihan Lokey as an additional financial advisor to LivePerson in light of its familiarity with LivePerson’s business and capital structure as a result of Houlihan Lokey’s prior representation of the Ad Hoc Group in connection with the Second Lien Notes Exchange and Houlihan Lokey’s reputation as a financial advisor. The LivePerson board of directors believed that, given Houlihan Lokey’s extensive experience with LivePerson’s capital structure, such arrangement could be completed quickly. On April 15, 2026, LivePerson and Houlihan Lokey entered into a formal engagement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March 20, 2026 to April 1, 2026, representatives of Fried Frank held discussions with representatives of each of Akin Gump and Gibson Dunn regarding the March 20 Notes Restructuring Agreement, and Fried Frank consolidated comments on the draft to reflect the comments communicated by Akin Gump and Gibson Dunn on behalf of the Secured Holders. On April 1, 2026, Fried Frank sent to Latham a revised draft of the Notes Restructuring Agreement, which reflected the Secured Holders’ comments, including, among other things, the deletion of the standstill provision and the addition of a termination right on the part of the First Lien Noteholder in the event of a failure by LivePerson to pay any required principal or interest on the First Lien Secured Notes in accordance with the applicable indenture during the pre-closing period (“First Lien Holder Termination Right”).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members of LivePerson management informed members of SoundHound management that a large LivePerson customer had recently sent in a notice of non-renewal of its contract with LivePerson and discussed the impact of the non-renewal to LivePerson’s business. Members of SoundHound management indicated they would have additional due diligence requests as a result of the non-renewal.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 2026, representatives of Latham sent Fried Frank a revised draft of the Original Merger Agreement (the “April 2 Original Merger Agreement”), which reflected, among other revisions, (i) a proposed termination fee equal to 4% of LivePerson’s enterprise value based on the transaction payable under certain circumstances, including in the Notes Restructuring Termination Fee Triggers and (ii) a proposed covenant (and not a closing condition) that would require LivePerson to repurchase all of the outstanding 2026 Convertible Notes prior to closing for an amount not to exceed the par value of those notes. The April 2 Original Merger Agreement continued to reserve SoundHound’s right to revisit the economic terms contemplated therein subject to the completion of SoundHound’s financial due diligence.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4, 2026 and April 6, 2026, representatives from Fried Frank reviewed and discussed with LivePerson management the key changes and open points in the April 2 Original Merger Agreement, including, among other things, the termination fee and the Notes Restructuring Termination Fee Triggers and SoundHound’s ongoing reservations regarding key economic terms until it completed its financial due diligence. Members of LivePerson management provided an update to, and solicited feedback from, members of the LivePerson board of directors regarding the April 2 Original Merger Agreement and the Notes Restructuring Agreement. The LivePerson board of directors instructed LivePerson management to continue negotiating the Original Merger Agreement and the Notes Restructuring Agreement on terms and conditions consistent with LivePerson management’s recommendations and those of LivePerson’s advisors.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5, 2026, representatives of Latham sent a revised draft of the Notes Restructuring Agreement to Fried Frank, Akin Gump and Gibson Dunn, which included, among other things, (i) the reinsertion of a standstill provision, (ii) the deletion of the First Lien Holder Termination Right and (iii) a note to discuss the First Lien Noteholder’s entry into a voting and support agreement in light of its large post-closing equity ownership in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6, 2026, representatives of Fried Frank sent a revised draft of the Original Merger Agreement to representatives of Latham, which included, among other things, the deletion of the Notes Restructuring Termination Fee Triggers and revisions to the covenant regarding pre-closing redemption of the 2026 Convertible Notes providing that LivePerson’s obligation would be to use reasonable best efforts to repurchase the 2026 Convertible Notes prior to closing for an amount not to exceed the par value of those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and April 8, 2026, representatives of Fried Frank, Akin Gump, Gibson Dunn and Latham attended calls to discuss outstanding issues raised in the most recent draft of the Notes Restructuring Agreement, including (i) the reinsertion of a standstill provision and (ii) the deletion of the First Lien Holder Termination Right.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9, 2026, representatives of Latham sent to Fried Frank a revised draft of the Original Merger Agreement (the “April 9 Original Merger Agreement”), which reflected, among other revisions, a proposed termination fee equal to 3.5% of LivePerson’s enterprise value based on the transaction payable under certain circumstances, including the Notes Restructuring Termination Fee Triggers. The April 9 Original Merger Agreement continued to reserve SoundHound’s right to revisit the economic terms contemplated therein subject to the completion of SoundHound’s financial 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10, 2026, representatives of Fried Frank sent the April 9 Original Merger Agreement to Akin Gump and to Gibson Dunn and would circulate subsequent drafts periodically to the Secured Holders’ counsel. Following receipt of the April 9 Original Merger Agreement, representatives of Fried Frank and members of LivePerson management discussed the key terms and open issues in the draft, including the termination fee and the Notes Restructuring Termination Fee Triggers. Members of LivePerson management provided an update to, and solicited feedback from, members of the LivePerson board of directors regarding the April 9 Original Merger Agreement and the Notes Restructuring Agreement. The LivePerson board of directors then instructed LivePerson management to continue negotiating the Original Merger Agreement and the Notes Restructuring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11, 2026, representatives of Fried Frank sent a revised draft of the Notes Restructuring Agreement to Latham, reflecting comments of the Secured Holders that had been communicated to Fried Frank by Akin Gump and Gibson Dunn, including, among other revisions, the deletion of the requirement that the First Lien Noteholder enter a voting and support agreement and the standstill, and the reinsertion of the First Lien Termination Right. The April 11, 2026 draft of the Notes Restructuring Agreement further included an additional termination right in favor of the First Lien Noteholder whereby it would be entitled to terminate the Notes Restructuring Agreement if LivePerson breached a covenant in the indenture governing the First Lien Secured Notes requiring LivePerson to maintain at least $60 million of qualified cash at all times, subject to SoundHound being entitled to cure any such breach.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14, 2026, following further discussions between representatives of Fried Frank and LivePerson management regarding the April 9 Original Merger Agreement, Fried Frank sent to Latham a revised draft of the Original Merger Agreement, which included a termination fee equal to 2% of LivePerson’s enterprise value based on the transaction and the deletion of the Notes Restructuring Termination Fee Triggers.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on April 14, 2026, LivePerson uploaded materials to the electronic data room reflecting LivePerson customer attrition in the first fiscal quarter of 2026 at levels higher than were forecasted in the diligence materials previously provided to SoundHound. Following SoundHound’s review of such diligence materials and the earlier notification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non-renewal by a large LivePerson customer, on April 14, 2026, representatives of Barclays communicated to representatives of Lazard proposed changes to key economic terms of the transactions as compared to the terms in the March 9th LOI (the “Revised Offer Terms”). The Revised Offer Terms included: (i) a proposed reduction to LivePerson’s enterprise value for the transaction, from $284 million to $250 million; (ii) a collar with a range of $7.00 per share to $12.00 per share, rather than the symmetrical 25% collar, and (iii) a dollar-for-dollar reduction in the overall consideration payable by SoundHound in the transactions if LivePerson had less than $74 million of cash and cash equivalents on its balance sheet at closing (less the amount of cash used by LivePerson to repurchase and retire its remaining 2026 Convertible Notes and after giving effect to certain transaction expenses of LivePerson). Between April 15 and April 16, 2026, members of LivePerson management provided an update to, and solicited feedback from, members of the LivePerson board of directors regarding the Revised Offer Terms. Following the receipt of feedback from the LivePerson board of directors and input from LivePerson’s legal and financial advisors regarding the Revised Offer Terms, Mr. Sabino and Mr. Collins contacted Mr. Mohajer to confirm receipt of the Revised Offer Terms and notify him that LivePerson would need to discuss the terms with the Secured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extensive discussions between members of LivePerson management and representatives of the Secured Holders regarding the Revised Offer Terms between April 15, 2026 and April 18, 2026, representatives of the Secured Holders communicated that, as a condition to accepting the Revised Offer Terms and further reductions to the amounts payable to the Secured Holders, the Secured Holders would require both (i) that the baseline value of the consideration payable to LivePerson stockholders not exceed the market capitalization of LivePerson based on the market price of LivePerson Common Stock immediately prior to announcement of the potential transaction, and any positive difference between $43 million and such baseline value would be reallocated to the Secured Holders and (ii) that any further downward adjustment to transaction consideration as a result of LivePerson’s closing cash falling below the specified target would result in a reduction only to consideration payable to LivePerson stockholders, such that the Secured Holders would not bear any risk of a downward adjustment as a result of such cash shortfall. Following multiple discussions between members of LivePerson management and representatives of the Secured Holders, LivePerson and the Secured Holders reached an agreement to allocate the $34 million reduction in LivePerson’s enterprise value to the Secured Holders, subject to the limitation and potential adjustment to the value of the consideration to LivePerson’s stockholders described in (i) and (ii) of the preceding sentence.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2026, representatives of Latham sent a revised draft of the Original Merger Agreement (the “April 17 Original Merger Agreement”) to representatives of Fried Frank. The April 17 Original Merger Agreement reflected, among other things, (i) a collar applicable to the SoundHound Closing Stock Price with a range of $7.00 per share to $12.00 per share consistent with the Revised Offer Terms and (ii) a termination fee equal to $5,000,000, plus SoundHound’s out-of-pocket expenses incurred in connection with the transaction. The April 17 Original Merger Agreement also contemplated that SoundHound’s willingness to accept the deletion of the Notes Restructuring Termination Fee Triggers was subject to the Secured Holders agreeing to pay the termination fee in the event of a Notes Restructuring Termination Fee Trigger.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17, 2026, representatives of Latham sent to representatives of each of Fried Frank, Akin Gump and Gibson Dunn a revised draft of the Notes Restructuring Agreement (the “April 17 Notes Restructuring Agreement”). The April 17 Notes Restructuring Agreement included, among other things, (i) a downward adjustment to the transaction consideration payable to the Secured Holders based on any shortfall in achieving the $74 million cash target as contemplated by the Revised Offer Terms, (ii) a requirement for the First Lien Holder to deliver a post-closing voting and support agreement, (iii) the deletion of the First Lien Holder’s ability to terminate the Notes Restructuring Agreement in the event of LivePerson’s failure to maintain at least $60 million of qualified cash at all times, and (iv) the addition of a provision requiring the Secured Holders to pay SoundHound the termination fee in the event the Merger Agreement is terminated due to any of the Notes Restructuring Termination Fee Triggers.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on April 17, 2026, the LivePerson board of directors held a meeting, with members of LivePerson’s management and representatives of each of Fried Frank, Lazard, and Houlihan Lokey in attendance, to receive an update on the status of the transactions and recent discussions among SoundHound, LivePerson and the Secured Holders. During the meeting, Mr. Sabino provided an update on the process relating to the potential transaction with SoundHound and the Secured Holders. A representative of Lazard discussed and reviewed with the LivePerson board of directors the Revised Offer Terms proposed by SoundHound. Mr. Collins then reported on his discussions with the Secured Holders and key open issues with respect to the Secured Holders, including the Secured 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positions regarding the baseline value of the consideration to be received by the LivePerson stockholders and the application of any downward cash adjustment, as described above. Representatives of Fried Frank also discussed the key open items in the April 17 Original Merger Agreement and the April 17 Notes Restructuring Agreement, including, among other things, with respect to the Original Merger Agreement, the amount of the termination fee, the triggers for such termination fee, required regulatory filings and interim operating covenants, and with respect to the Notes Restructuring Agreement, the allocation of excess equity premium to the Secured Holders and the inclusion of a standstill provision.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representatives of Akin Gump sent a revised draft of the Original Merger Agreement to Fried Frank and Gibson Dunn, which included, among other things, the deletion of the concept that the termination fee would be payable by LivePerson under certain circumstances in connection with LivePerson’s entry into a definitive agreement for an alternative transaction within 12 months following termination of the Original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April 19, 2026, the LivePerson board of directors held a meeting, with members of LivePerson’s management as well as representatives of each of Fried Frank, Lazard and Houlihan Lokey in attendance. At this meeting, representatives of LivePerson management and representatives of Fried Frank, Lazard and Houlihan Lokey provided an update regarding certain key terms of the transactions and the definitive agreements that were still in the process of being negotiated with SoundHound and the Secured Holders. Representatives of Lazard discussed with the LivePerson board of directors certain financial aspects of the transaction, including the Revised Offer Terms. Representatives of Fried Frank reviewed with the LivePerson board of directors the key terms of the April 17 Original Merger Agreement and the April 17 Notes Restructuring Agreement, including identifying key open terms, such as required regulatory filings, the outside date, and the concept of a cap on the proposed expense reimbursement aspect of the proposed termination fee construct in the April 17 Original Merger Agreement, as well as feedback from the representatives of the Secured Holders that the Secured Holders would not agree to pay a termination fee to SoundHound under any circumstances. Representatives of Fried Frank also reviewed with the LivePerson board of directors their fiduciary duties in connection with the proposed transactions. Representatives of Houlihan Lokey reviewed Houlihan Lokey’s preliminary financial analysis with respect to LivePerson and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representatives of Fried Frank, Latham, Akin Gump and Gibson Dunn attended a call to discuss the remaining open points in the Original Merger Agreement and the Notes Restructuring Agreement. Among other things, the parties discussed the fact that the Secured Holders would be unwilling to pay a termination fee to SoundHound in the event of any termination of the Original Merger Agreement or the Notes Restructuring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 in the evening of April 19, 2026, representatives of Fried Frank sent a revised draft of the Original Merger Agreement to representatives of Latham, Akin Gump and Gibson Dunn, which included, among other things, (i) a proposed “outside date” of nine months from the date of the Original Merger Agreement, (ii) the re-insertion of the Notes Restructuring Termination Fee Triggers, subject to a to-be-determined cap on LivePerson’s obligation to reimburse SoundHound for its transaction expenses in the event of such termination and (iii) the re-insertion of the concept that the termination fee would be payable by LivePerson under certain circumstances in connection with LivePerson’s entry into a definitive agreement for an alternative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late in the evening on April 19, 2026, representatives of Akin Gump sent representatives of Fried Frank and Latham a revised draft of the Notes Restructuring Agreement, which included feedback from Gibson Dunn. The draft of the Notes Restructuring Agreement included, among other things, (i) the deletion of the requirement for the First Lien Holder to deliver a post-closing voting and support agreement, (ii) the reinsertion of the First Lien Holder’s ability to terminate the Notes Restructuring Agreement in the event of a LivePerson’s failure to maintain at least $60 million of qualified cash, subject to SoundHound’s and LivePerson’s ability to cure, and (iii) the deletion of any obligation of the Secured Holders to pay a 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representatives of Latham sent to Fried Frank, Akin Gump and Gibson Dunn a revised draft of the Original Merger Agreement (the “April 20 Original Merger Agreement”), which included (i) a downward adjustment to the merger consideration payable to LivePerson’s stockholders in the event that the cash and cash equivalents estimated to be on LivePerson’s balance sheet at closing is less than the Closing Cash Target, (ii) footnotes indicating the expectation that regulatory filings would be required in certain jurisdictions, (iii) an outside date of six months plus a three month automatic extension if certain approvals were not received by the initial outside date, and (iv) a reimbursement cap for SoundHound’s expenses of $4.0 million with such cap only being applicable in the event the Merger Agreement is terminated due to the termination of the Notes Restructuring Agreement due to a breach by a Secured Holder.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20, 2026, Latham circulated a revised draft of the Notes Restructuring Agreement (the “April 20 Notes Restructuring Agreement”) to Fried Frank, Akin Gump and Gibson Dunn. The April 20 Notes Restructuring Agreement included, among other things, the reinsertion of the requirement for the First Lien Holder to deliver a post-closing voting and support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evening of April 20, 2026, representatives of Fried Frank, Latham, Akin Gump, Gibson Dunn, members of SoundHound management and LivePerson management, as well as representatives of the First Lien Noteholder and certain of the Second Lien Noteholders held a teleconference to discuss open points in the Notes Restructuring Agreement and certain comments from the Secured Holders to the Original Merger Agreement, including, among other things, (i) a downward adjustment mechanic in the event LivePerson did not have $74 million in cash at closing, (ii) required regulatory filings and potential closing conditions in connection therewith and (iii) an expense reimbursement cap in the event the Merger Agreement was terminated due to a breach of the Notes Restructuring Agreement by a Secured 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representatives of Fried Frank sent to Latham, Akin Gump and Gibson Dunn a revised draft of the Original Merger Agreement, which included, among other things, (i) a modification to the specified cash target at Closing providing that, if the Closing occurs in July, such target will be $71 million rather than $74 million, and (ii) a reduction to the expense reimbursement cap from $4 million to $3.75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21, 2026, representatives of Latham sent to representatives of Fried Frank, Akin Gump and Gibson Dunn, a revised draft of the Notes Restructuring Agreement, reflecting input from further discussions with representatives of Fried Frank, Akin Gump and Gibson Dunn.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early morning of April 21, 2026, each of the parties worked to finalize the Original Merger Agreement and Notes Restructuring Agreement and exchanged additional drafts. Once the drafts were substantially finalized, the Original Merger Agreement was revised to reflect aggregate consideration payable by SoundHound to the LivePerson stockholders of $42,784,532.64 based on the closing price of a share of LivePerson Common Stock as of April 20, 2026, consistent with the requirement of the Secured Holders that the stated value of the consideration to LivePerson stockholders not reflect a premium to the pre-signing market price of LivePerson Common Stock. The $215,467.36 difference was reallocated to the Secured Holders, and the Original Merger Agreement and the Notes Restructuring Agreement were finalized on the terms and conditions described throughout this proxy statement/prospectus.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morning of April 21, 2026, the LivePerson board of directors held a meeting with members of LivePerson’s management as well as representatives of each of Fried Frank, Lazard and Houlihan Lokey in attendance. The LivePerson board of directors was informed that the deal terms and the transaction documents had, subject to LivePerson board of directors’ approval, been finalized among LivePerson, SoundHound, and the Secured Holders. Representatives of Fried Frank reviewed and discussed the LivePerson board of directors’ fiduciary duties under Delaware law, and an overview of the key terms of the Original Merger Agreement and the Notes Restructuring Agreement. A representative of Houlihan Lokey reviewed Houlihan Lokey’s financial analysis with respect to LivePerson and the proposed transaction and then, at the request of the LivePerson board of directors, delivered Houlihan Lokey’s oral opinion to the LivePerson board of directors (which was subsequently confirmed in writing) to the effect that, as of April 21, 2026, and based upon and subject to the assumptions, qualifications, limitations and other matters considered in connection with the preparation of such opinion, the consideration to be received by the holders of LivePerson Common Stock in the merger for their shares of LivePerson Common Stock was fair, from a financial point of view, to such holders (solely in their capacity as holders of LivePerson Common Stock). The LivePerson board of directors discussed the reasons for the merger, including those reasons discussed in “— </w:t>
      </w:r>
      <w:r>
        <w:rPr>
          <w:rFonts w:ascii="Times New Roman PS Std;serif" w:hAnsi="Times New Roman PS Std;serif"/>
          <w:b w:val="false"/>
          <w:i/>
          <w:caps w:val="false"/>
          <w:smallCaps w:val="false"/>
          <w:sz w:val="20"/>
        </w:rPr>
        <w:t>Recommendation of the LivePerson Board of Directors; LivePerson’s Reasons for the 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discussion, the LivePerson board of directors unanimously (i) approved and declared advisable the Original Merger Agreement and the Notes Restructuring Agreement and the transactions contemplated thereby, including the merger contemplated by the Original Merger Agreement,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contemplated by the Original Merger Agreement, be submitted to the LivePerson stockholders for their consideration, adoption, and approval, and (iv) resolved to recommend that the LivePerson stockholders vote to adopt the Original Merger Agreement. The Original Merger Agreement and the Notes Restructuring Agreement were executed on April 21, 2026, and LivePerson and SoundHound issued a joint press release announcing the transactions prior to the opening of trading on Nasdaq on April 21,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execution of the Original Merger Agreement, over the course of May 2026 and the first week of June 2026, LivePerson and SoundHound each instructed their respective legal advisors, including Fried Frank and Arnon, Tadmor-Levy (“Arnon”), LivePerson’s local counsel in Israel, and Latham and Herzog, Fox &amp; Ne’eman (“HFN”), SoundHound’s local counsel in Israel, to coordinate in seeking to determine whether the parties would be able to obtain a no-action letter from the Israeli Securities Authority (the “ISA”) stipulating that SoundHound would not be required to file an Israeli securities law-compliant prospectus in connection with the proposed offering and issuance of SoundHound Common Stock to holders of TASE Shares as contemplated by the Original Merger Agreement as a result of the fact that LivePerson Common Stock is dual-listed on the TASE and SoundHound Common Stock is not dual-listed on the TASE (such requirement, the “Israeli prospectus requirement”).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several such discussions among HFN and Arnon, it was determined that, in light of the volume of shares of LivePerson common stock traded on the TASE, the parties would not be able to obtain a no-action letter from the ISA such that the Israeli prospectus requirement would apply. Additionally, following the consideration of various other alternative means of potentially obtaining an exemption to the Israeli prospectus requirement, it was determined that SoundHound would not be eligible for an exemption. The parties also determined that, if the TASE Shares were delisted from the TASE (the “LivePerson delisting option”), the likelihood of obtaining a no-action letter from the ISA regarding the Israeli prospectus requirement would be significantly improved but the LivePerson delisting option entailed a ninety (90) day statutory waiting period before the delisting would be effective, and the LivePerson special meeting could not be called until after the effectiveness of such delisting and obtaining such no-action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2026, representatives of Latham and Fried Frank held a teleconference and discussed potentially modifying the terms of the transaction to provide that holders of TASE Shares receive cash consideration instead of shares of SoundHound Common Stock (the “TASE Share cashout option”) as a means of avoiding the substantial delays that would have resulted from either complying with the Israeli prospectus requirement or delaying calling the LivePerson special meeting until the end of the 90-day statutory waiting period in connection with the LivePerson delisting option. Representatives of Latham indicated that they would consider and discuss the TASE Share cashout option with SoundHound, but that it was SoundHound’s preference that LivePerson nonetheless commence the delisting process to start the statutory waiting period required in connection therewith.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next day, representatives of Latham communicated to representatives of Fried Frank that SoundHound was open to considering the TASE Share cashout option as a means to ensuring the parties could close the transaction on their desired timeline; however, representatives of Latham noted that because SoundHound had originally agreed to pay all-stock consideration to LivePerson stockholders, SoundHound was concerned with the cash outlay that may be required in connection with the TASE Share cashout option, including that it could potentially entitle all LivePerson stockholders to appraisal rights under Delaware law to which they were not entitled to under the terms of the Original Merger Agreement, which could result in further cash outlay that could not be quantified.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4, 2026, representatives of Latham and Fried Frank held a telephone conference to further discuss the LivePerson delisting option and the TASE Share cashout option. Representatives of Fried Frank suggested that the transaction structure be revised to contemplate two mergers so that only the holders of TASE Shares would be entitled to appraisal rights as a means to assuage SoundHound’s concerns. Representatives of Latham indicated that they would consider and discuss with SoundHound, and again requested that LivePerson proceed with the TASE delisting process in order to commence the 90-day waiting period.</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5, 2026, members of management of SoundHound and LivePerson as well as representatives of Latham, Fried Frank, HFN, Arnon, Richards, Layton &amp; Finger, P.A., SoundHound’s Delaware counsel, and Morris, Nichols, Arsht &amp; Tunnell LLP, LivePerson’s Delaware counsel, held a telephone conference to discuss the TASE Share cashout option (the “June 5 All-Hands Call”). Representatives of LivePerson management confirmed that LivePerson was proceeding with the process for delisting from the TASE and that the necessary filings for the delisting would be completed in the next few days. The parties then discussed the TASE Share cashout option, including how the TASE Share cashout option would allow the parties to avoid the risk of significant delays and uncertainty that would result from complying with or seeking exemptions under Israeli securities laws, as well as the potential risks associated with the TASE Share cashout option. Representatives of SoundHound noted that while SoundHound was aligned with LivePerson in pursuing alternatives that would allow the transaction to proceed on the parties’ desired timeline, the Original Merger Agreement contemplated that LivePerson stockholders would only receive stock consideration and cash in lieu of fractional shares and reiterated that SoundHound was concerned with the cash outlay in connection with the TASE Share cashout option, particularly if the number of TASE Shares outstanding and SoundHound’s stock price fluctuated during the interim period. The parties discussed the possibility of placing a reasonable upper limit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cash that SoundHound would be required to pay to holders of TASE Shares. The parties discussed the TASE Share cashout option further and agreed to continue considering alternatives for limiting the cash outlay required by SoundHound to complete the transaction. At the conclusion of the call, representatives agreed to prepare a draft amendment to the Original Merger Agreement reflecting the construct discussed on the June 5 All-Hands Call.</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7, 2026, LivePerson provided notice to the TASE of its intention to delist LivePerson Common Stock from the TASE, with such delisting to be effective on or about September 9, 2026.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8, 2026, representatives of Latham, Fried Frank, HFN and Arnon and members of LivePerson management held a teleconference, during which representatives of Latham indicated that the TASE Share cashout option, including a specific cap on the total amount of cash payable by SoundHound to holders of TASE Shares, would likely be acceptable to SoundHound. Later that same day, representatives of Latham emailed representatives of Fried Frank to propose a cap on the aggregate cash merger consideration to be paid to the holders of TASE Shares in an amount equal to $7.5 million. This cap represented approximately 17.5% of the $42,784,532.64 Aggregate Consideration Amount, which at the time was the percentage of LivePerson’s issued and outstanding shares on a fully diluted basis that constituted TASE Shares.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9, 2026, representatives of Fried Frank sent to representatives of Latham a draft amendment to the Original Merger Agreement (the “June 9 Merger Agreement Amendment”) reflecting a construct consistent with the parties’ prior communications. The June 9 Merger Agreement Amendment reflected, among other things, the TASE Share cashout option, a dual-merger structure, an appraisal rights provision for the holders of TASE Shares, and a provision that provided for a restriction on transfers of shares of LivePerson Common Stock to the TASECH. The June 9 Merger Agreement Amendment continued to reflect the same terms for the holders of LivePerson Common Stock who held their shares on the Nasdaq in that such holders would continue to receive the Per Share Merger Consideration for their shares of LivePerson Common Stock and not be entitled to appraisal rights.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11, 2026, representatives of Latham sent to representatives of Fried Frank a revised draft of the June 9 Merger Agreement Amendment (the “June 11 Merger Agreement Amendment”). The June 11 Merger Agreement Amendment reflected, among other things, a notice requirement for LivePerson to inform LivePerson stockholders of the aggregate number of TASE Shares outstanding as of the most recent practicable determination date at least two business days prior to the LivePerson special meeting and a requirement for LivePerson to use reasonable best efforts to take all actions under Israeli securities laws to facilitate the delisting of the shares of LivePerson Common Stock from the TASE.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June 13, 2026, and June 16, 2026, representatives of Fried Frank and Latham exchanged further drafts of the amendment to the Original Merger Agreement, including drafts that reflected a full amendment and restatement of the Original Merger Agreement (the “A&amp;R Merger Agreement”) reflecting, among other things, minor modifications to certain representations and warranties and covenants therein and a new provision requiring that LivePerson obtain a final report on the number of TASE Shares to be delivered to SoundHound prior to the consummation of the transactions.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22, 2026, the LivePerson board of directors held a meeting with members of LivePerson’s management as well as representatives of Fried Frank in attendance. The LivePerson board of directors was informed of the deal terms reflected in the A&amp;R Merger Agreement and that the A&amp;R Merger Agreement had, subject to LivePerson board of directors’ approval, been substantially finalized among LivePerson and SoundHound. Representatives of Fried Frank reviewed the key terms of the A&amp;R Merger Agreement.</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2, 2026, representatives of Fried Frank and Latham exchanged a finalized version of the A&amp;R Merger Agreement. On July 2, 2026, the LivePerson board of directors reviewed the final A&amp;R Merger Agreement and unanimously (i) approved and declared advisable the A&amp;R Merger Agreement and the transactions contemplated thereby, including the Mergers, (ii) determined that it is in the best interests of LivePerson and its stockholders for LivePerson to enter into the A&amp;R Merger Agreement and, (iii) directed that the A&amp;R Merger Agreement and the transactions contemplated by the A&amp;R Merger Agreement, including the Mergers, be submitted to the LivePerson stockholders for their consideration, adoption, and approval, and (iv) resolved to recommend that the LivePerson stockholders vote to adopt the A&amp;R Merger Agreement. The A&amp;R Merger Agreement was executed on July 2,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drive upsell and cross-sell opportunities by offering SoundHound’s voice AI to LivePerson’s digital customers, a capability frequently requested by LivePerson’s customer base;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create additional growth opportunities by leveraging the strengths of each business, which is expected to create long-term stockholder value;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cultural synergies between the two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places limitations on LivePerson’s ability to seek an Acquisition Proposal and requires LivePerson to pay the termination fee if SoundHound or LivePerson terminates the Merger Agreement under certain circumstances, including if LivePerson enters into an agreement or consummates an Acquisition Proposal within a certain time period;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conditions to the consummation of the Mergers will be satisfied on a timely basis;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form of consideration to be paid in the transaction;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current financial market conditions and the current and historical market prices and volatility of, and trading information with respect to, SoundHound Common Stock and LivePerson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management’s endorsement of the Mergers and LivePerson board of directors’ unanimous recommendation in favor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LivePerson Board of Directors; LivePerson’s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a meeting held on April 21, 2026, the LivePerson board unanimously (i) approved and declared advisable the Original Merger Agreement and the Notes Restructuring Agreement and the transactions contemplated thereby, including the Merger,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be submitted to the LivePerson stockholders for their consideration, adoption, and approval, and (iv) resolved to recommend that the LivePerson stockholders vote to adopt the Original Merger Agreement. On July 2, 2026, the LivePerson board unanimously (i) approved and declared advisable the Merger Agreement and the transactions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contemplated thereby, including the Mergers, (ii) determined that it is in the best interests of LivePerson and its stockholders for LivePerson to enter into the Merger Agreement and to amend and restate the Original Merger Agreement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 </w:t>
      </w:r>
      <w:r>
        <w:rPr>
          <w:rFonts w:ascii="Times New Roman PS Std;serif" w:hAnsi="Times New Roman PS Std;serif"/>
          <w:b/>
          <w:i w:val="false"/>
          <w:caps w:val="false"/>
          <w:smallCaps w:val="false"/>
          <w:sz w:val="20"/>
        </w:rPr>
        <w:t>The LivePerson board unanimously recommends that LivePerson stockholders vote “FOR” the merger proposal,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“FOR” the adjournment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Merger Agreement (and the Original Merger Agreement), the Notes Restructuring Agreement, and the transactions contemplated by those agreements, the LivePerson board of directors consulted with LivePerson’s senior management, financial advisors, and outside counsel. The LivePerson board of directors determined that entering into the Original Merger Agreement and the Notes Restructuring Agreement, and the subsequent entry into the Merger Agreement, provided the best alternative for maximizing stockholder value reasonably available to LivePerson, including when compared to continuing to operate LivePerson on a standalone basis.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recommending that LivePerson stockholders vote their shares of LivePerson Common Stock to approve and adopt the Merger Agreement, the LivePerson board of directors also considered a number of factors, including the following factors (not necessarily in order of relative importance) that the LivePerson board of directors viewed as generally positive or favorable to its determination, approval and related recommendation: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Attractive Value to LivePerson Stockholders.    </w:t>
      </w:r>
      <w:r>
        <w:rPr>
          <w:rFonts w:ascii="Times New Roman PS Std;serif" w:hAnsi="Times New Roman PS Std;serif"/>
          <w:b w:val="false"/>
          <w:i w:val="false"/>
          <w:caps w:val="false"/>
          <w:smallCaps w:val="false"/>
          <w:sz w:val="20"/>
        </w:rPr>
        <w:t>The LivePerson board of directors considered that, under the circumstances, the LivePerson stockholders would be receiving attractive value in the Mergers, supported by the fact that: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LivePerson stockholders would be receiving consideration in the Mergers notwithstanding that the aggregate consideration payable by SoundHound in the transaction is substantially less than the approximately $350 million of estimated net debt of LivePerson at closing (assuming the Mergers close during the third quarter of 2026 and after taking into account the aggregate par value, accrued interest, and applicable make-whole and redemption premia that would otherwise be contractually payable at closing under the terms of LivePerson’s outstanding debt, and LivePerson’s expected cash at closing) - meaning that, absent the Secured Holders’ agreement to accept a substantial discount to their contractual entitlements pursuant to the Notes Restructuring Agreement, there would be no value available to distribute to LivePerson stockholders whatsoever;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 the Notes Restructuring Agreement, the Secured Holders will be receiving consideration with a value substantially below the aggregate par value, accrued interest, and applicable make-whole and redemption premia which they would otherwise be contractually entitled to receive at closing under the terms of their notes;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consideration payable to LivePerson equityholders of approximately $43 million, or approximately $3.33 per share of LivePerson Common Stock (assuming LivePerson’s achievement of the target closing cash level specified in the Merger Agreement) represented a premium of approximately 22% to volume-weighted average price of the shares LivePerson Common Stock over the 30 days ending on the date of the LivePerson board of directors’ approval of the Original Merger Agreement and is identical to the consideration that would have been received by such holders pursuant to the Original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stock consideration offers LivePerson stockholders (other than holders of TASE Shares) the opportunity to participate in any potential value accretion of the SoundHound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shares of SoundHound Common Stock to be issued in the First Merger to LivePerson stockholders (other than holders of TASE Shares) will be registered and freely tradeable when issued, allowing LivePerson stockholders to attain substantially immediate liquidity should any LivePerson stockholder choose not to retain its shares of SoundHound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 Share Cash Merger Consideration payable to holders of TASE Shares would be substantially equivalent to the value of the Per Share Merger Consideration (unless LivePerson stockholders elect to transfer shares to the TASECH between the date of the Merger Agreement and the Second Effective Time and/or the SoundHound Closing VWAP Stock Price is significantly higher than $12.00 per share);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other alternatives were reasonably likely in the near term to create greater value for LivePerson stockholders than the Merger, taking into account business, competitive, industry and market risks.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LivePerson’s Business, Financial Condition and Prospects.    </w:t>
      </w:r>
      <w:r>
        <w:rPr>
          <w:rFonts w:ascii="Times New Roman PS Std;serif" w:hAnsi="Times New Roman PS Std;serif"/>
          <w:b w:val="false"/>
          <w:i w:val="false"/>
          <w:caps w:val="false"/>
          <w:smallCaps w:val="false"/>
          <w:sz w:val="20"/>
        </w:rPr>
        <w:t>The LivePerson board of directors also considered the risks of continuing to operate as a standalone business in light of LivePerson’s current and historical financial condition, results of operations, business, competitive position, and future prospects,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debt burden to which LivePerson is subject, including that, if the proposed transactions are not completed, LivePerson may not have sufficient capital to satisfy its debt obligations;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increasing competition in the AI-powered customer engagement and conversational AI markets, including from competitors with substantial competitive advantages, including significantly larger financial, marketing, resource and development budgets, access to larger customer bases, larger and more established marketing and distribution relationships, and more diverse product and service offerings;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customer attrition experienced by LivePerson in recent years and reductions in net revenue retention, leading to significant year-over-year revenue declines in 2023, 2024, and 2025;</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LivePerson’s ongoing strategic business plans and the execution risks associated therewith, and uncertainty of future revenue growth and return-to-profitability timelines;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LivePerson’s stock price may continue to decline in the foreseeable future if LivePerson continues to operate on a standalone basis;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a further degradation of LivePerson’s business and financial results may result in the delisting of LivePerson Common Stock from the Nasdaq Global Select Market, which would force LivePerson to offer to repurchase all of LivePerson’s outstanding debt securities, and, given its substantial indebtedness — which already exceeds the total enterprise value implied by the Merger Agreement — may eventually lead to a voluntary or involuntary filing for protection under the Bankruptcy Code, in which case LivePerson stockholders would in all likelihood receive no recovery on account of their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Benefits of a Combined Company.    </w:t>
      </w:r>
      <w:r>
        <w:rPr>
          <w:rFonts w:ascii="Times New Roman PS Std;serif" w:hAnsi="Times New Roman PS Std;serif"/>
          <w:b w:val="false"/>
          <w:i w:val="false"/>
          <w:caps w:val="false"/>
          <w:smallCaps w:val="false"/>
          <w:sz w:val="20"/>
        </w:rPr>
        <w:t>The belief of the LivePerson board of directors that the combined company resulting from a merger of SoundHound and LivePerson would be well positioned to achieve future free cash flow growth and generate superior returns for LivePerson’s former stockholders and benefits to customers and partners, as a result of the benefits of (1) integrating SoundHound’s voice and agentic AI platform with LivePerson’s digital engagement capabilities to expand product offerings and offer customers a combined platform with a single, end-to-end integrated solution for managing the full lifecycle of customer conversations across both voice and digital channels; and (2) leveraging the combined capabilities of SoundHound and LivePerson to strengthen model performance, orchestration, and enterprise-grade automation outcomes.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Interactions with Other Potentially Interested Counterparties.    </w:t>
      </w:r>
      <w:r>
        <w:rPr>
          <w:rFonts w:ascii="Times New Roman PS Std;serif" w:hAnsi="Times New Roman PS Std;serif"/>
          <w:b w:val="false"/>
          <w:i w:val="false"/>
          <w:caps w:val="false"/>
          <w:smallCaps w:val="false"/>
          <w:sz w:val="20"/>
        </w:rPr>
        <w:t>The LivePerson board of directors also considered that, from September 2025 to January 2026, the LivePerson board of directors conducted a comprehensive review of strategic alternatives to maximize shareholder value. As part of that process, LivePerson engaged in discussions with a variety of parties that initially expressed interest in a potential transaction and, in consultation with Lazard, subsequently contacted representatives of 66 potential counterparties and executed confidentiality agreements with 17 of those counterparties, and no potentially interested party other than SoundHound submitted an offer or indication of interest. The LivePerson board of directors believed that, given the outcome of its broad outreach and public and private strategic review process, it was unlikely that an alternative bidder would consummate a transaction on superior terms and provide LivePerson stockholders with more valuable consideration than provided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Negotiation Process.    </w:t>
      </w:r>
      <w:r>
        <w:rPr>
          <w:rFonts w:ascii="Times New Roman PS Std;serif" w:hAnsi="Times New Roman PS Std;serif"/>
          <w:b w:val="false"/>
          <w:i w:val="false"/>
          <w:caps w:val="false"/>
          <w:smallCaps w:val="false"/>
          <w:sz w:val="20"/>
        </w:rPr>
        <w:t xml:space="preserve">The LivePerson board of directors considered the fact that the terms of the Mergers, including the merger consideration, were the result of robust, arm’s length negotiations conducted by LivePerson at the direction of the LivePerson board of directors, and with the assistance of independent financial advisors and outside legal counsel. The LivePerson board of directors believed that the merger consideration represented the best value that LivePerson could reasonably obtain from SoundHound for the shares of LivePerson Common Stock, taking into account (i) SoundHound’s statements, including that the value of the merger consideration payable under the final terms of the Original Merger Agreement and the Notes Restructuring Agreement was SoundHound’s final offer following due diligence and assessment of business strength, and, in the case of the amendment and restatement of the Original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Agreement, the amount of $7.5 million was the maximum amount of cash consideration that SoundHound was willing to pay to holders of TASE Shares; (ii) the LivePerson board of directors’ assessment, after consultation with its financial advisors, that other parties did not have any interest in acquiring LivePerson at a higher price or on terms that would be acceptable to the Secured Holders, which acceptance would be required to facilitate an acquisition of LivePerson; and (iii) the LivePerson board of directors’ familiarity with the business, operations, prospects, business strategy, assets, liabilities, and general financial condition of LivePerson on a historical and prospective basis and its assessment of associated risks, including execution risks with respect to LivePerson’s business plan and growth targets. The LivePerson board of directors believed, after consultation with representatives of Lazard, that further negotiations would have created a risk of causing SoundHound to abandon the proposed transaction altogether or materially delaying the entry into definitive transaction agreements with respect to the proposed transaction, that it was unlikely that any other potential acquiror would be willing and able to acquire LivePerson at a price in excess of the merger consideration, even if LivePerson were to conduct additional outreach, and that it was unlikely that any other potential counterparties would be willing and able to consummate a transaction with LivePerson that the LivePerson of directors would view as more value-maximizing for LivePerson stockholders than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Support of the Holders of LivePerson’s Secured Debt.    </w:t>
      </w:r>
      <w:r>
        <w:rPr>
          <w:rFonts w:ascii="Times New Roman PS Std;serif" w:hAnsi="Times New Roman PS Std;serif"/>
          <w:b w:val="false"/>
          <w:i w:val="false"/>
          <w:caps w:val="false"/>
          <w:smallCaps w:val="false"/>
          <w:sz w:val="20"/>
        </w:rPr>
        <w:t>The LivePerson board of directors considered the fact that, under the Notes Restructuring Agreement, the Secured Holders agreed to exchange their notes for SoundHound shares at a value reflecting a substantial discount to the aggregate par value, accrued interest, and applicable make-whole and redemption premia that they would otherwise be contractually entitled to receive at closing under the terms of their notes — representing a significant economic concession made by such holders in order to facilitate a transaction with SoundHound that preserves value for LivePerson stockholders. Given LivePerson’s valuation and substantial debt, no strategic transaction that allows LivePerson stockholders to receive any value for their shares may have been possible without such material noteholder concessions.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Opinion of LivePerson’s Financial Advisor.    </w:t>
      </w:r>
      <w:r>
        <w:rPr>
          <w:rFonts w:ascii="Times New Roman PS Std;serif" w:hAnsi="Times New Roman PS Std;serif"/>
          <w:b w:val="false"/>
          <w:i w:val="false"/>
          <w:caps w:val="false"/>
          <w:smallCaps w:val="false"/>
          <w:sz w:val="20"/>
        </w:rPr>
        <w:t>The LivePerson board of directors considered the oral opinion of Houlihan Lokey, subsequently confirmed in Houlihan Lokey’s written opinion dated April 21, 2026, to the LivePerson board of directors, as to, as of such date, the fairness, from a financial point of view, to the holders of LivePerson Common Stock (solely in their capacity as holders of LivePerson Common Stock) of the consideration to be received by such holders for their shares of LivePerson Common Stock in the Merger pursuant to the Original Merger Agreement, which opinion was based on and subject to various assumptions made, procedures followed, qualifications, limitations, conditions and other matters considered, as more fully described below in the section titled “— </w:t>
      </w:r>
      <w:r>
        <w:rPr>
          <w:rFonts w:ascii="Times New Roman PS Std;serif" w:hAnsi="Times New Roman PS Std;serif"/>
          <w:b w:val="false"/>
          <w:i/>
          <w:caps w:val="false"/>
          <w:smallCaps w:val="false"/>
          <w:sz w:val="20"/>
        </w:rPr>
        <w:t>Opinion of LivePerson’s Financial Advisor</w:t>
      </w:r>
      <w:r>
        <w:rPr>
          <w:rFonts w:ascii="Times New Roman PS Std;serif" w:hAnsi="Times New Roman PS Std;serif"/>
          <w:b w:val="false"/>
          <w:i w:val="false"/>
          <w:caps w:val="false"/>
          <w:smallCaps w:val="false"/>
          <w:sz w:val="20"/>
        </w:rPr>
        <w:t>.” Although Houlihan Lokey’s opinion was not updated in connection with the amendment and restatement of the Original Merger Agreement, the LivePerson board of directors also considered such opinion of Houlihan Lokey and the relevance thereof in connection with the amendment and restatement of the Original Merger Agreement, including the fact that the Merger Agreement did not change or modify the terms of the Original Merger Agreement relating to the determination of the Per Share Merger Consideration, and that, unless LivePerson stockholders elect to transfer shares to the TASECH between the date of the Merger Agreement and the Second Effective Time and/or the SoundHound Closing VWAP Stock Price is significantly higher than $12.00 per share, the value of the Per Share Cash Merger Consideration would be substantially equivalent to the value of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Timing and Likelihood of Completion.    </w:t>
      </w:r>
      <w:r>
        <w:rPr>
          <w:rFonts w:ascii="Times New Roman PS Std;serif" w:hAnsi="Times New Roman PS Std;serif"/>
          <w:b w:val="false"/>
          <w:i w:val="false"/>
          <w:caps w:val="false"/>
          <w:smallCaps w:val="false"/>
          <w:sz w:val="20"/>
        </w:rPr>
        <w:t>The LivePerson board of directors considered the timing and likelihood that the Mergers would be consummated based upon,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terms and conditions of the Merger Agreement as compared to the Original Merger Agreement, including the payment of the Per Share Cash Merger Consideration to the holders of the TASE Shares as contemplated by the Merger Agreement, would allow for the transactions to proceed to a potential closing on a more timely basis than would have otherwise been possible under the terms of the Original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conditions to SoundHound’s obligation to consummate the Mergers as provided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anticipated substantive issues in connection with obtaining required regulatory clearances in certain jurisdictions;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business, reputation, capabilities and financial condition of SoundHound.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Terms of the Merger Agreement.    </w:t>
      </w:r>
      <w:r>
        <w:rPr>
          <w:rFonts w:ascii="Times New Roman PS Std;serif" w:hAnsi="Times New Roman PS Std;serif"/>
          <w:b w:val="false"/>
          <w:i w:val="false"/>
          <w:caps w:val="false"/>
          <w:smallCaps w:val="false"/>
          <w:sz w:val="20"/>
        </w:rPr>
        <w:t>The LivePerson board of directors reviewed and considered the terms of the Merger Agreement, taken as a whole,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LivePerson board of directors to furnish information to, and conduct negotiations with, third parties in certain circumstances, and to terminate the Merger Agreement to accept a Superior Proposal upon payment of a termination fee of $5 million plus reimbursement of SoundHound’s transaction expenses, under the circumstances specified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parties’ representations, warranties and covenants, and the circumstances under which the Merger Agreement may be terminated;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terms of the Merger Agreement provide LivePerson with sufficient operating flexibility to conduct its business in the ordinary course until the earlier of the consummation of the Mergers or the 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also considered a number of uncertainties, risks and factors it deemed generally negative or unfavorable in making its determination, approval and related recommendation, including the following (not necessarily in order of relative importance):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Potential Reduction of Closing Merger Consideration.    </w:t>
      </w:r>
      <w:r>
        <w:rPr>
          <w:rFonts w:ascii="Times New Roman PS Std;serif" w:hAnsi="Times New Roman PS Std;serif"/>
          <w:b w:val="false"/>
          <w:i w:val="false"/>
          <w:caps w:val="false"/>
          <w:smallCaps w:val="false"/>
          <w:sz w:val="20"/>
        </w:rPr>
        <w:t>The risks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per share of the SoundHound Common Stock prior to closing and utilized for the determination of the merger consideration falls outside of the collar provision applicable to the SoundHound Closing Stock Price and the LivePerson Stockholders either receive fewer shares of SoundHound Common Stock as consideration than they would otherwise be entitled to in the absence of the collar or do not benefit from increases in the price per share of the SoundHound Common Stock to which they would otherwise be entitled in the absence of the collar, and that the application of the collar (together with the application of the $7.5 million cap) could result in the value of the Per Share Merger Consideration being greater, on a per share basis, than the value of the Per Share Cash Merger Consideration;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LivePerson’s cash and cash equivalents on its balance sheet at the pre-closing testing date may be less than the required minimum cash requirement set forth in the Merger Agreement, which will reduce the merger consideration payable to the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 Appraisal Rights.    </w:t>
      </w:r>
      <w:r>
        <w:rPr>
          <w:rFonts w:ascii="Times New Roman PS Std;serif" w:hAnsi="Times New Roman PS Std;serif"/>
          <w:b w:val="false"/>
          <w:i w:val="false"/>
          <w:caps w:val="false"/>
          <w:smallCaps w:val="false"/>
          <w:sz w:val="20"/>
        </w:rPr>
        <w:t>The fact that LivePerson stockholders, other than certain holders of TASE Shares that are Dissenting Shares, will not be entitled to appraisal or dissenters’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Interim Operating Covenants.    </w:t>
      </w:r>
      <w:r>
        <w:rPr>
          <w:rFonts w:ascii="Times New Roman PS Std;serif" w:hAnsi="Times New Roman PS Std;serif"/>
          <w:b w:val="false"/>
          <w:i w:val="false"/>
          <w:caps w:val="false"/>
          <w:smallCaps w:val="false"/>
          <w:sz w:val="20"/>
        </w:rPr>
        <w:t>The restrictions placed on the conduct of LivePerson’s business prior to the completion of the Mergers pursuant to the terms of the Merger Agreement, which, despite providing sufficient flexibility for LivePerson to operate its business in the ordinary course, could delay or prevent LivePerson from undertaking business opportunities that may arise or any other action it would otherwise take with respect to the operations of the LivePerson absent the pending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Risks Associated with the Pendency of the Mergers.    </w:t>
      </w:r>
      <w:r>
        <w:rPr>
          <w:rFonts w:ascii="Times New Roman PS Std;serif" w:hAnsi="Times New Roman PS Std;serif"/>
          <w:b w:val="false"/>
          <w:i w:val="false"/>
          <w:caps w:val="false"/>
          <w:smallCaps w:val="false"/>
          <w:sz w:val="20"/>
        </w:rPr>
        <w:t>The risks and contingencies relating to the announcement and pendency of the Mergers (including the likelihood of litigation or other opposition brought by or on behalf of LivePerson stockholders or SoundHound stockholders challenging the Mergers and the other transactions contemplated by the Merger Agreement) and the risks and costs to LivePerson if the Mergers are not completed in a timely manner or if the Mergers do not close at all, including potential employee attrition, the impact on LivePerson’s relationships with third parties, the potential payment of a termination fee and the effect termination of the Merger Agreement may have on the trading price of LivePerson Common Stock and LivePerson’s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Opportunity to Receive Acquisition Proposals and Inability to Terminate the Mergers in Order to Accept a Superior Proposal; Termination Fees; Expense Reimbursement.    </w:t>
      </w:r>
      <w:r>
        <w:rPr>
          <w:rFonts w:ascii="Times New Roman PS Std;serif" w:hAnsi="Times New Roman PS Std;serif"/>
          <w:b w:val="false"/>
          <w:i w:val="false"/>
          <w:caps w:val="false"/>
          <w:smallCaps w:val="false"/>
          <w:sz w:val="20"/>
        </w:rPr>
        <w:t xml:space="preserve">The LivePerson board of directors considered the possibility that a third party may be willing to enter into a strategic combination with LivePerson on terms more favorable than the Mergers. In connection therewith, the LivePerson board of directors considered the terms of the Merger Agreement relating to no-shop covenants and termination fee and expense reimbursement obligations and the potential that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might deter alternative bidders that might have been willing to submit an Acquisition Proposal. The LivePerson board of directors also considered that, under specified circumstances, LivePerson may be required to pay a termination fee or expenses in the event the Merger Agreement is terminated and the effect this could have on LivePerson,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termination fee and expense reimbursement obligations could discourage other potential parties from making an Acquisition Proposal, although the LivePerson board of directors believed that the termination fee and expense reimbursement obligation was reasonable in amount and would not unduly deter any other party that might be interested in making an Acquisition Proposal;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Agreement could be terminated, and the termination fee and expense reimbursement obligations could be payable by LivePerson, due to termination of the Notes Restructuring Agreement as a result of breaches by other parties thereto, which is outside of LivePerson’s control;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Mergers are not consummated, LivePerson will generally be obligated to pay its own expenses incident to preparing for and entering into and carrying out its obligations under the Merger Agreement and the transactions contemplated by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Regulatory Approval.    </w:t>
      </w:r>
      <w:r>
        <w:rPr>
          <w:rFonts w:ascii="Times New Roman PS Std;serif" w:hAnsi="Times New Roman PS Std;serif"/>
          <w:b w:val="false"/>
          <w:i w:val="false"/>
          <w:caps w:val="false"/>
          <w:smallCaps w:val="false"/>
          <w:sz w:val="20"/>
        </w:rPr>
        <w:t>The LivePerson board of directors considered that the Mergers and the related transactions require regulatory approval to complete such transactions and the risk that the applicable governmental entities may seek to impose unfavorable terms or conditions, or otherwise fail to grant, such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Interests of Certain LivePerson Directors and Executive Officers and Other Concerns Related to Conflicts or the Potential Appearance of Conflicts.    </w:t>
      </w:r>
      <w:r>
        <w:rPr>
          <w:rFonts w:ascii="Times New Roman PS Std;serif" w:hAnsi="Times New Roman PS Std;serif"/>
          <w:b w:val="false"/>
          <w:i w:val="false"/>
          <w:caps w:val="false"/>
          <w:smallCaps w:val="false"/>
          <w:sz w:val="20"/>
        </w:rPr>
        <w:t>The LivePerson board of directors considered that LivePerson’s directors and executive officers may have interests in the Mergers that may be different from, or in addition to, those of LivePerson stockholders. For more information about such interests, see the section titled “—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Merger Costs.    </w:t>
      </w:r>
      <w:r>
        <w:rPr>
          <w:rFonts w:ascii="Times New Roman PS Std;serif" w:hAnsi="Times New Roman PS Std;serif"/>
          <w:b w:val="false"/>
          <w:i w:val="false"/>
          <w:caps w:val="false"/>
          <w:smallCaps w:val="false"/>
          <w:sz w:val="20"/>
        </w:rPr>
        <w:t>The LivePerson board of directors considered the costs associated with the completion of the Mergers, including LivePerson management’s time and energy and potential opportunity cost that will be incurred by the combined company as a result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Trading Price.    </w:t>
      </w:r>
      <w:r>
        <w:rPr>
          <w:rFonts w:ascii="Times New Roman PS Std;serif" w:hAnsi="Times New Roman PS Std;serif"/>
          <w:b w:val="false"/>
          <w:i w:val="false"/>
          <w:caps w:val="false"/>
          <w:smallCaps w:val="false"/>
          <w:sz w:val="20"/>
        </w:rPr>
        <w:t>The trading price of LivePerson Common Stock could be materially and adversely affected, including to an extent such that LivePerson Common Stock could be delisted from the Nasdaq Global Select Market; and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Risks.    </w:t>
      </w:r>
      <w:r>
        <w:rPr>
          <w:rFonts w:ascii="Times New Roman PS Std;serif" w:hAnsi="Times New Roman PS Std;serif"/>
          <w:b w:val="false"/>
          <w:i w:val="false"/>
          <w:caps w:val="false"/>
          <w:smallCaps w:val="false"/>
          <w:sz w:val="20"/>
        </w:rPr>
        <w:t>The LivePerson board of directors considered risks of the type and nature described under the sections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 16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believed that, overall, the potential benefits of the Mergers to LivePerson stockholders outweighed the risks and uncertainties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factors considered by the LivePerson board of directors is not intended to be exhaustive but includes the material factors considered by the LivePerson board of directors. In light of the variety of factors considered in connection with its evaluation of the Mergers, the LivePerson board of directors did not find it practicable to, and did not, quantify or otherwise assign relative weights to the specific factors considered in reaching its determinations and recommendations. Moreover, each member of the LivePerson board of directors applied his or her own personal business judgment to the process and may have given different weight to different factors. The LivePerson board of directors did not undertake to make any specific determination as to whether any factor, or any particular aspect of any factor, supported or did not support its ultimate determination. The LivePerson board of directors based its recommendation on the totality of the information presented.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LivePerson’s Financial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Houlihan Lokey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contemplated by the Original Merger Agreement (the “original merger proposal”) was fair, from a financial point of view, to such holders (solely in their capacity as holders of LivePerson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Houlihan Lokey’s opinion was furnished for the use of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pursuant to the Original Merger Agreement and did not address any other aspect or implication of the original merger proposal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any security holder or any other person as to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how to act or vote with respect to any matter relating to the Mergers or otherwise. Houlihan Lokey’s opinion was not updated in connection with the amendment and restatement of the Original Merger Agreement and does not address any aspect or implication thereof.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Houlihan Lokey made such reviews, analyses and inquiries as it deemed necessary and appropriate under the circumstances. Among other things, Houlihan Lokey: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 draft, dated April 21, 2026, of the Original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relating to LivePerson and SoundHound that Houlihan Lokey deemed to be relevant;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information relating to the historical, current and future operations, financial condition and prospects of LivePerson made available to Houlihan Lokey by LivePerson, including financial projections prepared by the management of LivePerson relating to LivePerson through the year ending December 31, 2029 (the “Projections”);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spoke with certain members of the management of LivePerson and certain of LivePerson’s representatives and advisors regarding the respective businesses, operations, financial condition and prospects of LivePerson and SoundHound, the original merger proposal and related matters;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and operating performance of LivePerson with that of other companies with publicly traded equity securities that Houlihan Lokey deemed to be relevant;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current and historical market prices and trading volume for certain of LivePerson’s and SoundHound’s publicly traded equity securities and the current and historical market prices of the publicly traded securities of certain other companies that Houlihan Lokey deemed to be relevant;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such other financial studies, analyses and inquiries and considered such other information and factors as Houlihan Lokey deemed appropriate.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As the LivePerson board of directors was aware, Houlihan Lokey was not provided with access to the management of SoundHound. Houlihan Lokey, at the direction of the LivePerson board of directors, assumed that, were they to have had access to such management, any information received from such management would not have affected or changed its opinion. Houlihan Lokey also understood that financial projections relating to the future financial performance of SoundHound prepared by the management of SoundHound or the management of LivePerson were not available. Houlihan Lokey did not perform, rely upon or take into account any valuation of SoundHound or any assets or securities thereof for purposes of evaluating the Per Share Merger Consideration or otherwise. Accordingly, Houlihan Lokey assumed, at the direction of the LivePerson board of directors, that then-recent trading prices of SoundHound Common Stock provided a reasonable basis on which to evaluate SoundHound and the SoundHound Common Stock for purposes of its opinion. In addition, Houlihan Lokey assumed, at the direction of the LivePerson board of directors, that the SoundHound Common Stock and the Class B common stock, par value $0.0001 per share, of SoundHound have equivalent value per share, notwithstanding the different voting rights and other non-financial terms of such shares that could impact their value. Management of LivePerson advised Houlihan Lokey, and, at the direction of the LivePerson board of directors, Houlihan Lokey assumed, that the Projections were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reasonably prepared in good faith on bases reflecting the best currently available estimates and judgments of such management as to the future financial results and condition of LivePerson and the other matters covered thereby. At the direction of the LivePerson board of directors, Houlihan Lokey assumed that the Projections provided a reasonable basis on which to evaluate LivePerson and the original merger proposal and Houlihan Lokey, at the direction of the LivePerson board of directors, used and relied upon the Projections for purposes of its analyses and opinion. Houlihan Lokey expressed no view or opinion with respect to the Projections or the assumptions on which they were based. In addition, management of LivePerson advised Houlihan Lokey that they expected the LivePerson Shortfall Cash would be $0, and Houlihan Lokey, at the direction of the LivePerson board of directors, assumed the LivePerson Shortfall Cash would be $0. Houlihan Lokey relied upon and assumed, without independent verification, that there had been no change in the businesses, assets, liabilities, financial condition, results of operations, cash flows or prospects of LivePerson or SoundHound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also relied upon, without independent verification, the assessments of the management of LivePerson as to the existing and future relationships, agreements and arrangements with, and LivePerson’s and SoundHound’s ability to attract and retain, key customers, distributors, vendors and other commercial relationships, and employees of LivePerson and SoundHound. Houlihan Lokey further relied upon, without independent verification, the assessments of the management of LivePerson as to LivePerson’s and SoundHound’s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direction of the LivePerson board of directors, that there would be no developments with respect to any such matters that in any respect would affect Houlihan Lokey’s analyses or its opinion. In addition, Houlihan Lokey relied upon, without independent verification, the assessment of the management of LivePerson as to the ability of the managements of LivePerson and SoundHound to integrate the businesses of LivePerson and SoundHound, and Houlihan Lokey assumed, at the direction of the LivePerson board of directors, that there would be no developments with respect to any such matters that would affect Houlihan Lokey’s analyses or its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relied upon and assumed, without independent verification, that (a) the representations and warranties of all parties to the Original Merger Agreement and all other related documents and instruments referred to therein were true and correct, (b) each party to the Original Merger Agreement and such other related documents and instruments would fully and timely perform all of the covenants and agreements required to be performed by such party, (c) all conditions to the consummation of the original merger proposal and the Notes Restructuring Transactions would be satisfied without waiver thereof, and (d) the original merger proposal and the Notes Restructuring Transactions would be consummated in a timely manner in accordance with the terms described in the Original Merger Agreement and the Notes Restructuring Agreement and such other related documents and instruments, without any amendments or modifications thereto. Houlihan Lokey relied upon and assumed, without independent verification, that (i) the original merger proposal and the Notes Restructuring Transactions would be consummated in a manner that complies in all respects with all applicable foreign, federal and state statutes, rules and regulations, and (ii) all governmental, regulatory, and other consents and approvals necessary for the consummation of the original merger proposal and the Notes Restructuring Transaction would be obtained and that no delay, limitations, restrictions or conditions would be imposed or amendments, modifications or waivers made that would result in the disposition of any assets of LivePerson or SoundHound, or otherwise have an effect on the original merger proposal, the Notes Restructuring Transactions, LivePerson or SoundHound or any expected benefits of the original merger proposal or the Notes Restructuring Transactions that would be material to Houlihan Lokey’s analyses or opinion. In addition, Houlihan Lokey relied upon and assumed, without independent verification, that the final form of the Original Merger Agreement would not differ in any respect from the draft of the Original Merger Agreement identified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in connection with its opinion, Houlihan Lokey was not requested to, and did not, make any physical inspection or independent appraisal or evaluation of any of the assets, properties or liabilities (fixed, contingent, derivative, off-balance-sheet or otherwise) of LivePerson, SoundHound or any other party, nor was Houlihan Lokey provided with any such appraisal or evaluation. Houlihan Lokey did not estimate, and expressed no opinion regarding,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liquidation value of any entity or business. Houlihan Lokey did not undertake any independent analysis of any potential or actual litigation, regulatory action, possible unasserted claims or other contingent liabilities, to which LivePerson or SoundHound was or may have been a party or was or may have been subject, or of any governmental investigation of any possible unasserted claims or other contingent liabilities to which LivePerson or SoundHound was or may have been a party or was or may have been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was not requested to, and did not, (a) initiate or participate in any discussions or negotiations with, or solicit any indications of interest from, third parties with respect to the original merger proposal, the Notes Restructuring Transactions, any related transaction, the securities, assets, businesses or operations of LivePerson, SoundHound or any other party, or any alternatives to the original merger proposal, the Notes Restructuring Transactions or any related transaction, (b) negotiate the terms of the original merger proposal, the Notes Restructuring Transactions or any related transaction, or (c) advise the LivePerson board of directors, LivePerson or any other party with respect to alternatives to the original merger proposal, the Notes Restructuring Transactions or any related transaction. Houlihan Lokey’s opinion was necessarily based on financial, economic, market and other conditions as in effect on, and the information made available to Houlihan Lokey as of, the date of its opinion. As the LivePerson board of directors was aware, the credit, financial and stock markets were experiencing unusual volatility at the time Houlihan rendered its opinion, and Houlihan Lokey expressed no opinion or view as to any potential effects of such volatility on LivePerson, SoundHound, the Per Share Merger Consideration, the original merger proposal, the Notes Restructuring Transactions or any related transaction, and Houlihan Lokey’s opinion did not purport to address potential developments in any such markets. Houlihan Lokey did not undertake, and is under no obligation, to update, revise, reaffirm or withdraw its opinion, or otherwise comment on or consider events occurring or coming to its attention after the date of its opinion. Houlihan Lokey did not express any view or opinion as to what the value of SoundHound Common Stock actually would be when issued in the original merger proposal or the price or range of prices at which LivePerson Common Stock or SoundHound Common Stock may be purchased or sold, or otherwise be transferable, at any time. Houlihan Lokey assumed that the SoundHound Common Stock to be issued in the original merger proposal to holders of LivePerson Common Stock would be listed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Lokey’s opinion was furnished for the use of the LivePerson board of directors (in its capacity as such) in connection with its evaluation of the original merger proposal and may not be used for any other purpose without Houlihan Lokey’s prior written consent. Houlihan Lokey has consented to the inclusion of its opinion in this proxy statement/prospectus. Houlihan Lokey’s opinion was not intended to be, and does not constitute, a recommendation to the LivePerson board of directors, any security holder of LivePerson or any other party as to how to act or vote with respect to any matter relating to the Mergers, the Notes Restructuring Transactions or any related transaction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Houlihan Lokey was not requested to opine as to, and its opinion did not express an opinion as to or otherwise address, among other things: (i) the underlying business decision of the LivePerson board of directors, LivePerson, its security holders or any other party to proceed with or effect the original merger proposal, the Notes Restructuring Transactions or any related transaction, (ii) the terms of any arrangements, understandings, agreements or documents related to, or the form, structure or any other portion or aspect of, the original merger proposal or otherwise (other than the Per Share Merger Consideration to the extent expressly specified in its opinion), including, without limitation, the Notes Restructuring Transaction or any related transaction, (iii) the fairness of any portion or aspect of the original merger proposal to the holders of any class of securities, creditors or other constituencies of LivePerson, or to any other party (except if and only to the extent expressly set forth in the last sentence of Houlihan Lokey’s opinion), including without limitation, the holders of the Secured Notes, holders of the 2026 Notes and their respective affiliates, (iv) the relative merits of the original merger proposal, the Notes Restructuring Transactions or any related transaction as compared to any alternative business strategies or transactions that might have been available for LivePerson or any other party, (v) the fairness of any portion or aspect of the original merger proposal, the Notes Restructuring Transactions or any related transaction to any one class or group of LivePerson’s or any other party’s security holders or other constituents vis-à-vis any other class or group of LivePerson’s or such other party’s security holders or other constituents, including, without limitation, (a) the fairness of the Per Share Merger Consideration to be received by the holders of LivePerson Common Stock relative to the Notes Restructuring Consideration to be received by the LivePerson Noteholders or amounts received by holders of the 2026 Notes to repurchase such notes, or vice versa, (b) the allocation of the Per Share Merger Consideration, the Notes Restructuring Consideration or any amounts paid to repurchase the 2026 Notes as among the holders of LivePerson Common Stock, the LivePerson Noteholders and holders of the 2026 Notes, and (c) the allocation of the Per Share Merger Consideration among the holders of LivePerson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(vi) whether or not LivePerson, SoundHound, their respective security holders or any other party is receiving or paying reasonably equivalent value in the original merger proposal, the Notes Restructuring Transactions or any related transaction, (vii) the solvency, creditworthiness or fair value of LivePerson, SoundHound or any other participant in the original merger proposal, the Notes Restructuring Transactions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original merger proposal, the Notes Restructuring Transactions or any related transaction, any class of such persons or any other party, relative to the Per Share Merger Consideration or otherwise.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LivePerson board of directors, on the assessments by the LivePerson board of directors, LivePerson and their respective advisors, as to all legal, regulatory, environmental, accounting, insurance, tax and other similar matters with respect to LivePerson, SoundHound, the original merger proposal, the Notes Restructuring Transactions or any related transaction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analyses, Houlihan Lokey considered general business, economic, industry and market conditions, financial and otherwise, and other matters as they existed on, and could be evaluated as of, the date of its opinion. No company used in Houlihan Lokey’s analyses for comparative purposes is identical to LivePerson and an evaluation of the results of those analyses is not entirely mathematical. The estimates contained in the Projections and the implied value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LivePerson and SoundHound. Much of the information used in, and accordingly the results of, Houlihan Lokey’s analyses are inherently subject to substantial uncertainty.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Lokey’s opinion in respect of the original merger proposal was only one of many factors considered by the LivePerson board of directors in evaluating the Mergers. Neither Houlihan Lokey’s opinion nor its analyses were determinative of the Per Share Merger Consideration or of the views of the LivePerson board of directors or LivePerson management with respect to the original merger proposal or the Per Share Merger Consideration. Under the terms of its engagement by LivePerson, neither Houlihan Lokey’s opinion nor any other advice or services rendered by it in connection with the original merger proposal or otherwise, should be construed as creating, and Houlihan Lokey should not be deemed to have, any fiduciary duty to, or agency relationships with, the LivePerson board of directors, LivePerson, SoundHound, any security holder or creditor of LivePerson or SoundHound or any other person, regardless of any prior or ongoing advice or relationships. The type and amount of consideration payable in the Mergers were determined through negotiation between LivePerson and SoundHound, and the decision to enter into the Original Merger Agreement and the Merger Agreement was solely that of the LivePerson board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Material Financial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its opinion to the LivePerson board of directors,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financial analyses performed by Houlihan Lokey in connection with the preparation of its opinion and reviewed with the LivePerson board of directors on April 21, 2026.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indicates otherwise, share prices used in the selected companies’ analysis described below were based on the closing price of the common stock of the selected companies listed below as of April 20, 2026. The estimates of the future financial performance of LivePerson relied upon for the financial analyses described below were based on the Projections. The estimates of the future financial performance of the selected companies listed below were based on publicly available research analyst estimates for those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Companies Analysis.    </w:t>
      </w:r>
      <w:r>
        <w:rPr>
          <w:rFonts w:ascii="Times New Roman PS Std;serif" w:hAnsi="Times New Roman PS Std;serif"/>
          <w:b w:val="false"/>
          <w:i w:val="false"/>
          <w:caps w:val="false"/>
          <w:smallCaps w:val="false"/>
          <w:sz w:val="20"/>
        </w:rPr>
        <w:t>Houlihan Lokey reviewed certain financial data for selected companies with publicly traded equity securities that Houlihan Lokey deemed relevant.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data reviewed included: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Enterprise value as a multiple of estimated total revenue for the calendar year ending December 31, 2026 (“CY 2026E Revenue”);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Enterprise value as a multiple of estimated total revenue for the calendar year ending December 31, 2027 (“CY 2027E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selected companies and resulting high, mean, median and low financial data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Bandwidth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Five9,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LINK Mobility Group Holding ASA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NICE Ltd.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RingCentral,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Sangoma Technologies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Sprinklr,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8x8, Inc.</w:t>
      </w:r>
    </w:p>
    <w:tbl>
      <w:tblPr>
        <w:tblW w:w="3835" w:type="dxa"/>
        <w:jc w:val="left"/>
        <w:tblInd w:w="0" w:type="dxa"/>
        <w:tblLayout w:type="fixed"/>
        <w:tblCellMar>
          <w:top w:w="0" w:type="dxa"/>
          <w:left w:w="0" w:type="dxa"/>
          <w:bottom w:w="0" w:type="dxa"/>
          <w:right w:w="0" w:type="dxa"/>
        </w:tblCellMar>
      </w:tblPr>
      <w:tblGrid>
        <w:gridCol w:w="916"/>
        <w:gridCol w:w="146"/>
        <w:gridCol w:w="1291"/>
        <w:gridCol w:w="146"/>
        <w:gridCol w:w="1336"/>
      </w:tblGrid>
      <w:tr>
        <w:trPr/>
        <w:tc>
          <w:tcPr>
            <w:tcW w:w="9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Enterprise </w:t>
              <w:br/>
              <w:t xml:space="preserve">Value/CY </w:t>
              <w:br/>
              <w:t xml:space="preserve">2026E </w:t>
              <w:br/>
              <w:t>Revenue</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Enterprise </w:t>
              <w:br/>
              <w:t xml:space="preserve">Value/CY </w:t>
              <w:br/>
              <w:t xml:space="preserve">2027E </w:t>
              <w:br/>
              <w:t>Revenue</w:t>
            </w:r>
          </w:p>
        </w:tc>
      </w:tr>
      <w:tr>
        <w:trPr/>
        <w:tc>
          <w:tcPr>
            <w:tcW w:w="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High</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1.95x</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1.81x</w:t>
            </w:r>
          </w:p>
        </w:tc>
      </w:tr>
      <w:tr>
        <w:trPr/>
        <w:tc>
          <w:tcPr>
            <w:tcW w:w="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Mean</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1.23x</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1.16x</w:t>
            </w:r>
          </w:p>
        </w:tc>
      </w:tr>
      <w:tr>
        <w:trPr/>
        <w:tc>
          <w:tcPr>
            <w:tcW w:w="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Median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1.10x</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1.02x</w:t>
            </w:r>
          </w:p>
        </w:tc>
      </w:tr>
      <w:tr>
        <w:trPr/>
        <w:tc>
          <w:tcPr>
            <w:tcW w:w="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Low</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0.74x</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0.73x</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results of the selected companies’ analysis, Houlihan Lokey applied a selected multiple range of 0.75x to 1.25x to LivePerson’s CY 2026E Revenue and CY 2027E Revenue. The selected companies’ analysis indicated implied enterprise value reference ranges for LivePerson of $152.8 million to $254.6 million based on the selected range of multiples of LivePerson’s CY 2026E Revenue and $137.6 million to $229.3 million based on the selected range of multiples of LivePerson’s CY 2027E Revenue. After adding LivePerson’s cash and cash equivalents of $101.5 million and deducting LivePerson’s total debt of $367.8 million (each as provided by LivePerson management), the selected companies analysis indicated a de minimis implied total equity value for LivePerson based on the selected range of multiples of LivePerson’s CY 2026E Revenue and CY 2027E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Discounted Cash Flow Analysis.    </w:t>
      </w:r>
      <w:r>
        <w:rPr>
          <w:rFonts w:ascii="Times New Roman PS Std;serif" w:hAnsi="Times New Roman PS Std;serif"/>
          <w:b w:val="false"/>
          <w:i w:val="false"/>
          <w:caps w:val="false"/>
          <w:smallCaps w:val="false"/>
          <w:sz w:val="20"/>
        </w:rPr>
        <w:t>Houlihan Lokey performed a discounted cash flow analysis of LivePerson based on the Projections. Houlihan Lokey applied a range of terminal value multiples of 1.25x to 1.75x to LivePerson’s estimated total revenue for the calendar year ending December 31, 2029, and discount rates ranging from 14.0% to 15.0%. The discounted cash flow analysis indicated an implied enterprise value reference range for LivePerson of $120.5 million to $188.1 million. After adding LivePerson’s cash and cash equivalents of $101.5 million and deducting LivePerson’s total debt of $367.8 million (each as provided by LivePerson management), the discounted cash flow analysis indicated a de minimis implied total equity value for LivePerson.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was engaged by the LivePerson board of directors to render an opinion to the LivePerson board of directors as to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 pursuant to the Original Merger Agreement. The LivePerson board of directors engaged Houlihan Lokey based on Houlihan Lokey’s experience and reputation. Houlihan Lokey is regularly engaged to render financial opinions in connection with mergers, acquisitions, divestitures, leveraged buyouts, and for other purposes. Pursuant to its engagement by the LivePerson board of directors, Houlihan Lokey became entitled to a fee of $1,500,000, of which $150,000 became payable upon its retention by the LivePerson board, $150,000 became payable on April 6, 2026 upon notice from LivePerson that Houlihan Lokey should continue to proceed in its work, and the remainder became payable to Houlihan Lokey upon the delivery of its opinion. Houlihan Lokey will not become entitled to any additional or separate fees upon the consummation of the Mergers. LivePerson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LivePerson, SoundHound, or any other party that may be involved in the Mergers, the Notes Restructuring Transaction or any related transaction and their respective affiliates or security holders or any currency or commodity that may be involved in the Mergers, the Notes Restructuring Transaction or any related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in the past acted as financial advisor to a group of then-holders of the 2026 Notes in connection with LivePerson’s deleveraging transaction, which closed in September 2025, for which Houlihan Lokey and its affiliates received aggregate compensation of approximately $3,000,000. Houlihan Lokey and certain of its affiliates may provide investment banking, financial advisory and/or other financial or consulting services to LivePerson, SoundHound, other participants in the Mergers, the Notes Restructuring Transactions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LivePerson, SoundHound, or other participants in the Mergers, the Notes Restructuring Transactions or any related transaction or certain of their respective affiliates or security holders, for which advice and services Houlihan Lokey and its affiliates have received and may receive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Unaudited Forecasted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does not, as a matter of course, publicly disclose long term projections as to future performance, operating income or other financial results. However, LivePerson’s management prepared the Projections that were utilized in connection with the Mergers. The Projections are included in this proxy statement/prospectus only because (1) the Projections were made available to SoundHound in connection with SoundHound’s due diligence review of LivePerson; (2) the Projections were made available to the LivePerson board of directors in connection with its consideration of the Mergers; and (3) the Projections were also made available to Houlihan Lokey, LivePerson’s financial advisor, who was authorized and directed to use and rely upon the Projections for purposes of its analyses and opinion to the LivePerson board of directors, as more fully described below under the section titled “</w:t>
      </w:r>
      <w:r>
        <w:rPr>
          <w:rFonts w:ascii="Times New Roman PS Std;serif" w:hAnsi="Times New Roman PS Std;serif"/>
          <w:b w:val="false"/>
          <w:i/>
          <w:caps w:val="false"/>
          <w:smallCaps w:val="false"/>
          <w:sz w:val="20"/>
        </w:rPr>
        <w:t>The Mergers — Opinion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of LivePerson’s Financial Advisor” </w:t>
      </w:r>
      <w:r>
        <w:rPr>
          <w:rFonts w:ascii="Times New Roman PS Std;serif" w:hAnsi="Times New Roman PS Std;serif"/>
          <w:b w:val="false"/>
          <w:i w:val="false"/>
          <w:caps w:val="false"/>
          <w:smallCaps w:val="false"/>
          <w:sz w:val="20"/>
        </w:rPr>
        <w:t>beginning on page 61. The Projections are not included in this proxy statement/prospectus to influence any stockholder to make any investment decision with respect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are forward-looking statements. In the view of LivePerson’s management, the information in the Projections was prepared on a reasonable basis and reflected the best estimates and judgments available to LivePerson’s management at the time. However, this information should not be relied upon as being necessarily indicative of future results. The Projections are subject to many risks and uncertainties that could cause actual results to differ materially from the results forecasted in the Projections, including, but not limited to, the risk that the proposed transaction may not be completed on a timely basis, or at all, that LivePerson may be adversely affected by other economic, business and/or competitive factors, some of which may be outside of LivePerson’s control, and risks related to LivePerson’s financial condition, results of operations, business strategy, short-term and long-term business operations and objectives, and financial needs. Important factors that may affect actual results and cause the Projections to materially differ include, but are not limited to, the risks and uncertainties described herein and those described in the sections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xml:space="preserve"> beginning on page 16 and “</w:t>
      </w:r>
      <w:r>
        <w:rPr>
          <w:rFonts w:ascii="Times New Roman PS Std;serif" w:hAnsi="Times New Roman PS Std;serif"/>
          <w:b w:val="false"/>
          <w:i/>
          <w:caps w:val="false"/>
          <w:smallCaps w:val="false"/>
          <w:sz w:val="20"/>
        </w:rPr>
        <w:t xml:space="preserve">Risk Factors” </w:t>
      </w:r>
      <w:r>
        <w:rPr>
          <w:rFonts w:ascii="Times New Roman PS Std;serif" w:hAnsi="Times New Roman PS Std;serif"/>
          <w:b w:val="false"/>
          <w:i w:val="false"/>
          <w:caps w:val="false"/>
          <w:smallCaps w:val="false"/>
          <w:sz w:val="20"/>
        </w:rPr>
        <w:t>beginning on page 20 and in the section titled “</w:t>
      </w:r>
      <w:r>
        <w:rPr>
          <w:rFonts w:ascii="Times New Roman PS Std;serif" w:hAnsi="Times New Roman PS Std;serif"/>
          <w:b w:val="false"/>
          <w:i/>
          <w:caps w:val="false"/>
          <w:smallCaps w:val="false"/>
          <w:sz w:val="20"/>
        </w:rPr>
        <w:t xml:space="preserve">Risk Factors” </w:t>
      </w:r>
      <w:r>
        <w:rPr>
          <w:rFonts w:ascii="Times New Roman PS Std;serif" w:hAnsi="Times New Roman PS Std;serif"/>
          <w:b w:val="false"/>
          <w:i w:val="false"/>
          <w:caps w:val="false"/>
          <w:smallCaps w:val="false"/>
          <w:sz w:val="20"/>
        </w:rPr>
        <w:t>in LivePerson’s annual report for the year ended December 31, 2025 and in LivePerson’s subsequent quarterly reports on Form 10-Q. There can be no assurance that the Projections will be realized or that actual results will not be significantly higher or lower than forecast. In addition, the Projections will be affected by LivePerson’s ability to achieve strategic goals, objectives and targets over the applicable periods. The Projections cannot, therefore, be considered a guarantee of future operating results, and this information should not be relied on as such. The Projections cover a number of years and such information by its nature becomes less reliable with each successive year. The Projections were prepared on a standalone basis without giving effect to the Mergers. Furthermore, the Projections do not take into account the effect of any failure of the Mergers to be completed and should not be viewed as accurate or continuing in that context.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were not prepared with a view toward public disclosure. The inclusion of the Projections should not be regarded as an indication that LivePerson, Houlihan Lokey, any of their respective affiliates, officers, directors, advisors or other representatives or anyone who received this information then considered, or now considers, them a reliable prediction of future events, and this information should not be relied upon as such. The inclusion of the Projections herein should not be deemed an admission or representation by LivePerson that it views such Projections as material information. The inclusion of the Projections in this proxy statement/prospectus should not be regarded as an indication that the Projections will necessarily be predictive of actual future events given the inherent risks and uncertainties associated with such long-range forecasts.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representation is made by LivePerson or any other person regarding the Projections or LivePerson’s ultimate performance compared to such information. The Projections should be evaluated in conjunction with the historical financial statements and other information about LivePerson contained in its public filings with the SEC. For additional information, see the section titled “</w:t>
      </w:r>
      <w:r>
        <w:rPr>
          <w:rFonts w:ascii="Times New Roman PS Std;serif" w:hAnsi="Times New Roman PS Std;serif"/>
          <w:b w:val="false"/>
          <w:i/>
          <w:caps w:val="false"/>
          <w:smallCaps w:val="false"/>
          <w:sz w:val="20"/>
        </w:rPr>
        <w:t>Where You Can Find More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Information” </w:t>
      </w:r>
      <w:r>
        <w:rPr>
          <w:rFonts w:ascii="Times New Roman PS Std;serif" w:hAnsi="Times New Roman PS Std;serif"/>
          <w:b w:val="false"/>
          <w:i w:val="false"/>
          <w:caps w:val="false"/>
          <w:smallCaps w:val="false"/>
          <w:sz w:val="20"/>
        </w:rPr>
        <w:t xml:space="preserve">beginning on page 124. </w:t>
      </w:r>
      <w:r>
        <w:rPr>
          <w:rFonts w:ascii="Times New Roman PS Std;serif" w:hAnsi="Times New Roman PS Std;serif"/>
          <w:b/>
          <w:i w:val="false"/>
          <w:caps w:val="false"/>
          <w:smallCaps w:val="false"/>
          <w:sz w:val="20"/>
        </w:rPr>
        <w:t>In light of the foregoing factors, and the uncertainties inherent in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Projections, LivePerson stockholders are cautioned not to place undue, if any, reliance on the Projections.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included in this document have been prepared by, and are solely the responsibility of, LivePerson’s management. Neither LivePerson’s independent auditor, BDO USA, P.C., nor any other independent accountant has compiled, examined or performed any procedures with respect to the Projections, nor have they expressed any opinion or any other form of assurance on such information or its achievability, and assume no responsibility for, and disclaim any association with, the Projections. The report of BDO USA, P.C. incorporated by reference relates solely to LivePerson’s previously issued audited financial statements. It does not extend to the Projections and should not be read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Projections are “non-GAAP financial measures,” which are financial performance measures that are not calculated in accordance with the published guidelines of the SEC regarding projections or accounting principles generally accepted in the United States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The financial measures included in the Projections are not subject to SEC rules regarding disclosures of non-GAAP financial measures, which would otherwise require a reconciliation of a non-GAAP financial measure to a GAAP financial measure. Reconciliations of non-GAAP financial measures to the most directly comparable GAAP measure were not provided to or relied upon by the board of directors of LivePerson or Houlihan Lokey.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summary of the Projections (in millions):</w:t>
      </w:r>
    </w:p>
    <w:tbl>
      <w:tblPr>
        <w:tblW w:w="9582" w:type="dxa"/>
        <w:jc w:val="left"/>
        <w:tblInd w:w="0" w:type="dxa"/>
        <w:tblLayout w:type="fixed"/>
        <w:tblCellMar>
          <w:top w:w="0" w:type="dxa"/>
          <w:left w:w="0" w:type="dxa"/>
          <w:bottom w:w="0" w:type="dxa"/>
          <w:right w:w="0" w:type="dxa"/>
        </w:tblCellMar>
      </w:tblPr>
      <w:tblGrid>
        <w:gridCol w:w="3601"/>
        <w:gridCol w:w="146"/>
        <w:gridCol w:w="301"/>
        <w:gridCol w:w="781"/>
        <w:gridCol w:w="256"/>
        <w:gridCol w:w="146"/>
        <w:gridCol w:w="301"/>
        <w:gridCol w:w="781"/>
        <w:gridCol w:w="256"/>
        <w:gridCol w:w="146"/>
        <w:gridCol w:w="301"/>
        <w:gridCol w:w="781"/>
        <w:gridCol w:w="256"/>
        <w:gridCol w:w="146"/>
        <w:gridCol w:w="301"/>
        <w:gridCol w:w="781"/>
        <w:gridCol w:w="301"/>
      </w:tblGrid>
      <w:tr>
        <w:trPr/>
        <w:tc>
          <w:tcPr>
            <w:tcW w:w="36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35" w:type="dxa"/>
            <w:gridSpan w:val="1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Projected Calendar Year Ending December 31,</w:t>
            </w:r>
          </w:p>
        </w:tc>
      </w:tr>
      <w:tr>
        <w:trPr/>
        <w:tc>
          <w:tcPr>
            <w:tcW w:w="3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2026E(1)</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&amp; Marketing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&amp; Development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&amp; Administrative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Adjusted EBITDA</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Adjusted EBIT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Unlevered Earnings</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&amp;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(Inc.)/Dec. in Net Working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Unlevered Free Cash Flows</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a nine-month period based on projected cash flows provided by LivePerson management for April 1, 2026 through December 31, 2026 and 75% of projected depreciation and amortization expense, stock-based compensation expense, and (increase)/decrease in net working capital, each as estimated by LivePerson management for the calendar year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Adjusted EBITDA, a non-GAAP financial measure, refers to earnings before interest, taxes, depreciation and amortization, and stock-based compensation expenses.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Adjusted EBIT, a non-GAAP financial measure, refers to earnings before interest and taxes.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Unlevered Earnings, a non-GAAP financial measure, is calculated as Adjusted EBIT, subtracting for the impact of expected taxes.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Unlevered Free Cash Flows, a non-GAAP financial measure, is calculated as Unlevered Earnings, adjusted to include the net impact of depreciation and amortization, capital expenditures and changes in net working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and Effective Times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will occur at least one minute after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PS Std;serif" w:hAnsi="Times New Roman PS Std;serif"/>
          <w:b w:val="false"/>
          <w:i/>
          <w:caps w:val="false"/>
          <w:smallCaps w:val="false"/>
          <w:sz w:val="20"/>
        </w:rPr>
        <w:t>The Merger Agreement — Regulatory Approvals</w:t>
      </w:r>
      <w:r>
        <w:rPr>
          <w:rFonts w:ascii="Times New Roman PS Std;serif" w:hAnsi="Times New Roman PS Std;serif"/>
          <w:b w:val="false"/>
          <w:i w:val="false"/>
          <w:caps w:val="false"/>
          <w:smallCaps w:val="false"/>
          <w:sz w:val="20"/>
        </w:rPr>
        <w:t>” beginning on page 89.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their TASE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and beneficial owners of TASE Shares who elect to exercise appraisal rights in respect of such shares must not vote in favor of the merger agreement and must comply with the strict procedures set forth in Section 262, the full text of which appears in Annex C of this proxy statement/prospectus, or may be accessed without subscription or cost at the following publicly available website: https://delcode.delaware.gov/title8/c001/sc09/index.html#262,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prepare their respective financial statements in accordance with GAAP. The Mergers will be accounted for as a business combination using the acquisition method with SoundHound as the accounting acquirer in accordance with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w:t>
      </w:r>
      <w:r>
        <w:rPr>
          <w:rFonts w:ascii="Times New Roman PS Std;serif" w:hAnsi="Times New Roman PS Std;serif"/>
          <w:b w:val="false"/>
          <w:i/>
          <w:caps w:val="false"/>
          <w:smallCaps w:val="false"/>
          <w:sz w:val="20"/>
        </w:rPr>
        <w:t>Unaudited Pro Forma Condensed Combined Financial Statements</w:t>
      </w:r>
      <w:r>
        <w:rPr>
          <w:rFonts w:ascii="Times New Roman PS Std;serif" w:hAnsi="Times New Roman PS Std;serif"/>
          <w:b w:val="false"/>
          <w:i w:val="false"/>
          <w:caps w:val="false"/>
          <w:smallCaps w:val="false"/>
          <w:sz w:val="20"/>
        </w:rPr>
        <w:t>” beginning on page 126 and related notes included in this proxy statement/prospectus are preliminary and subject to revision based on a final determination of fair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Litigation Relating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file lawsuits challenging the Mergers, which may name LivePerson, SoundHound, members of the boards of directors of LivePerson or SoundHound, or others as defendants.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of SoundHound Common Stock; Delisting and Deregistration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Nasdaq and the TASE and deregistered under the Exchange Act, and LivePerson will no longer be required to file periodic reports with the SEC pursuant to the Exchange Act. Additionally, LivePerson provided notice to the TASE of its intention to delist LivePerson Common Stock on the TASE, effective on or about September 9, 2026, so if the Mergers are not consummated prior to such date, LivePerson Common Stock will be delisted from the TASE prior to closing of the Mergers.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ON NAMED EXECUTIVE OFFICER MERGER-RELATED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Dodd-Frank Wall Street Reform and Consumer Protection Act, enacted in July 2010, requires that LivePerson provide LivePerson stockholders with the opportunity to cast a nonbinding, advisory vote on the compensation that may become payable to LivePerson’s named executive officers in connection with the Mergers, as disclosed in this proxy statement/prospectus, including as described in the section entitled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beginning on page 99. This vote is commonly referred to as a “say on golden parachute” vote. This non-binding, advisory proposal relates only to contractual obligations of LivePerson that may result in a payment to LivePerson’s named executive officers in connection with, or following, the consummation of the Mergers, and does not relate to any new compensation or other arrangements between LivePerson’s named executive officers and SoundHound. As such, this proposal applies only in the event that the Merger Agreement is approved and the Mergers are effected. Further, this proposal does not relate to any compensation arrangements that are or may become applicable to LivePerson’s directors or executive officers who are not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this proposal is not binding upon LivePerson or the LivePerson board of directors. Approval of this proposal is not a condition to completion of the Mergers, and this vote is separate from the other proposals at the special meeting. Accordingly, you may vote to approve such other proposals to be considered and vote not to approve the advisory (non-binding) proposal to approve certain compensation that may be paid or become payable to the named executive officers of LivePerson in connection with the Mergers, and vice versa.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LivePerson is contractually obligated to pay the compensation, such compensation will be payable, subject only to the conditions applicable thereto, regardless of the outcome of the advisory vote. These payments are a part of LivePerson’s comprehensive executive compensation program and are intended to align LivePerson’s named executive officers’ interests with yours as stockholders by ensuring their continued retention and commitment during critical events such as the Mergers, which may create significant personal uncertainty for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recommends that LivePerson’s stockholders vote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following resolution, on a non-binding, advisory basis:</w:t>
      </w:r>
    </w:p>
    <w:p>
      <w:pPr>
        <w:pStyle w:val="TextBody"/>
        <w:keepNext w:val="false"/>
        <w:pageBreakBefore w:val="false"/>
        <w:widowControl/>
        <w:pBdr/>
        <w:bidi w:val="0"/>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the compensation that may be paid or become payable to LivePerson’s named executive officers, in connection with the mergers, and the agreements or understandings pursuant to which such compensation may be paid or become payable, in each case as disclosed pursuant to Item 402(t) of Regulation S-K in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are hereby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3"/>
      <w:bookmarkEnd w:id="13"/>
      <w:r>
        <w:rPr>
          <w:rFonts w:ascii="Times New Roman PS Std;serif" w:hAnsi="Times New Roman PS Std;serif"/>
          <w:b/>
          <w:i w:val="false"/>
          <w:caps w:val="false"/>
          <w:smallCaps w:val="false"/>
          <w:sz w:val="20"/>
        </w:rPr>
        <w:t xml:space="preserve">THE MERGER AGREEMENT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material terms of the Amended and Restated Merger Agreement, dated July 2, 2026, which amended and restated in its entirety the Original Merger Agreement. The description of the Merger Agreement in this section and elsewhere in this proxy statement/prospectus is qualified in its entirety by reference to the complete text of the Merger Agreement, a copy of which is attached as Annex A to this proxy statement/prospectus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this summary are included solely to provide you with information regarding the terms of the Merger Agreement.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Merger Agreement. The representations, warranties and covenants made in the Merger Agreement by SoundHound, LivePerson, Merger Sub I and Merger Sub II were made solely for the purposes of the Merger Agreement and as of specific dates and were qualified and subject to important limitations agreed to by SoundHound, LivePerson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complete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the matters contained in the disclosure schedule that LivePerson delivered to SoundHound in connection with the Merger Agreement, which disclosures were not reflected in the Merger Agreement. Moreover, information concerning the subject matter of the representations and warranties, which do not purport to be accurate as of the date of this proxy statement/prospectus, may have changed since April 21, 2026 (the date of the Original Merger Agreement, which is the date as of which certain representations and warranties in the Merger Agreement are deemed to have been made) or July 2, 2026 (the date of the Merger Agreement, the date on which certain which certain representations and warranties in the Merger Agreement are deemed to have been made). You should not rely on the Merger Agreement representations, warranties, covenants or any descriptions thereof as characterizations of the actual state of facts of SoundHound, LivePerson, Merger Sub I and Merger Sub II or any of their respective subsidiaries or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terms and subject to the satisfaction or waiver of the conditions set forth in the Merger Agreement, at the First Effective Time, Merger Sub I will merge with and into LivePerson, the separate corporate existence of Merger Sub I will cease and LivePerson will continue as the surviving corporation in the First Merger, as an indirect, wholly owned subsidiary of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the First Merger, will have the effects set forth in the Merger Agreement and the applicable provisions of the DGCL and all of the property, rights, privileges, immunities, powers and franchises of each of LivePerson and Merger Sub I will vest in the surviving corporation, and all of the debts, liabilities and duties of each of LivePerson and Merger Sub will become the debts, liabilities and duties of the first surviving corporation.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terms and subject to the satisfaction or waiver of the conditions set forth in the Merger Agreement, at the Second Effective Time, Merger Sub II will merge with and into the first surviving corporation, the separate corporate existence of Merger Sub II will cease and the first surviving corporation will continue as the surviving corporation in the Second Merger, as an indirect, wholly owned subsidiary of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Second Effective Time, the Second Merger will have the effects set forth in the Merger Agreement and the applicable provisions of the DGCL and all of the property, rights, privileges, immunities, powers and franchises of each of the first surviving corporation and Merger Sub II will vest in the surviving corporation, and all of the debts, liabilities and duties of each of the first surviving corporation and Merger Sub II will become the debts, liabilities and duties of the surviving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 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shall take place at least one minute after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Merger on Capital Stock;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First Effective Time, by virtue of the First Merger and without any action on the part of SoundHound, Merger Sub I, LivePerson, or any holder of any securities of SoundHound, Merger Sub I or LivePerson: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common stock of Merger Sub I issued and outstanding immediately prior to the First Effective Time will be converted into a number of shares of common stock of the first surviving corporation equal to the number of shares of LivePerson Common Stock cancelled pursuant to the following bullet (such shares, the “Merger Sub I Merger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LivePerson Common Stock issued and outstanding immediately prior to the First Effective Time (other than Cancelled LivePerson Shares and TASE Shares) will be automatically converted into the right to receive the Per Share Merger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such shares of LivePerson Common Stock (other than Cancelled LivePerson Shares and TASE Shares), when so converted in accordance with the terms of the Merger Agreement, will cease to be outstanding and will automatically be cancelled and cease to exist and, each LivePerson stockholder holding such shares of LivePerson Common Stock will cease to have any rights with respect thereto, except the right to receive the Per Share Merger Consideration (together with any dividends or other distributions paid with respect to such shares and any cash to be paid in lieu of any fractional shares of SoundHound Common Stock) in accordance with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Cancelled LivePerson Shares will automatically be cancelled and cease to exist, and no consideration will be delivered in exchange for such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TASE Shares issued and outstanding immediately prior to the First Effective Time will remain issued and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warrant to purchase shares of LivePerson Common Stock will be automatically cancelled without any payment or consideration required to be made in respect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Second Effective Time, by virtue of the Second Merger and without any action on the part of SoundHound, Merger Sub II, LivePerson, or any holder of any securities of SoundHound, Merger Sub II or LivePerson: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TASE Share issued and outstanding immediately prior to the Second Effective Time (excluding Dissenting Shares) will be automatically converted into the right to receive the Per Share Cash Merger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Each Merger Sub I Merger Share will automatically be cancelled for no consideration.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common stock of Merger Sub II issued and outstanding immediately prior to the Second Effective Time will be converted into one fully paid and nonassessable share of common stock of the surviving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prior to the First Effective Time or the Second Effective Time, SoundHound or LivePerson should split, subdivide, consolidate, combine or otherwise reclassify the SoundHound Common Stock or LivePerson Common Stock, as applicable, or pay a stock dividend or other stock distribution in SoundHound Common Stock or LivePerson Common Stock, as applicable, or otherwise change SoundHound Common Stock or LivePerson Common Stock, as applicable, into any other securities, or make any other such stock dividend or stock distribution, then any number or amount contained in the Merger Agreement which is based upon the price or the number or fraction of shares of SoundHound Common Stock or LivePerson Common Stock, as applicable, will be appropriately adjusted to proportionately reflect such split, combination, stock dividend or other stock distribution or 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LivePerson Equity Awards in the First Merger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In-the-Money Option held by any continuing service provider, whether or not then vested or exercisable, will be assumed by SoundHound and converted into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outstanding and unexercised LivePerson Option that is not an In-the-Money Option will be cancelled for no consideration and without any payment in respect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LivePerson RSU that is outstanding immediately prior to the First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 (b) 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will be commenced; and (d) if any offering period is still in effect at the First Effective Time, then the last day of such offering period will be accelerated to a date that is no later than three business days prior to the Closing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LivePerson Common Stock for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the First Effective Time, SoundHound has agreed to designate a reputable bank or trust company (reasonably acceptable to LivePerson) to act as the exchange agent for purposes of effecting the issuances and payments contemplated by the Merger Agreement. At or prior to the First Effective Time, SoundHound has agreed to deposit with the exchange agent (I) (x) an amount of uncertificated, book-entry shares representing the number of shares of SoundHound Common Stock sufficient to effect the issuances contemplated by the Per Share Merger Consideration and (y) an amount of cash sufficient to deliver payments in lieu of fractional shares and (II) an amount of cash sufficient to deliver the Per Share Cash Merger Consideration. Following the First Effective Time, SoundHound has agreed to pay, or cause to be paid to the exchange agent, from time to time as needed, cash sufficient to pay any dividends and other distributions on the shares of SoundHound Common Stock issuable as merger consideration.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First Effective Time (and in no event later than three business days after the First Effective Time), SoundHound has agreed to cause the exchange agent to mail to each person that was a holder of record of shares of LivePerson Common Stock certificates immediately prior to the First Effective Time (A) a letter of transmittal and (B) instructions for effecting the surrender of LivePerson Common Stock certificates in exchange for the Per Share Merger Consideration. Upon surrender of any LivePerson Common Stock certificates to the exchange agent, together with a letter of transmittal, duly executed and in proper form, the holder of such LivePerson Common Stock certificates will be entitled to receive in exchange therefor (i) credit in the stock ledger and other appropriate books and records of SoundHound for the number of shares of SoundHound Common Stock into which such shares have been converted pursuant to the Merger Agreement and (ii) any dividends or other distributions or any cash payment that such holder has the right to receive pursuant to the Merger Agreement, and any such LivePerson Common Stock certificates so surrendered will be cancelled.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Non-DTC Book-Entry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First Effective Time (and in no event later than three business days after the First Effective Time), SoundHound will cause the exchange agent to mail to each person that was, immediately prior to the First Effective Time, a holder of record of LivePerson book-entry shares, but not through The Depository Trust Company, (I) a letter of transmittal and (II) instructions for returning such letter of transmittal in exchange for the Per Share Merger Consideration or the Per Share Cash Merger Consideration, as applicable. Upon delivery of such duly executed letter of transmittal, each holder of record of LivePerson book-entry shares not held through The Depository Trust Company shall be entitled to receive, and SoundHound will cause the exchange agent to issue and pay as promptly as practicable after such delivery, (A) credit in the stock ledger and other appropriate books and records of SoundHound for the number of shares of SoundHound Common Stock into which such LivePerson book-entry shares have been converted, (B) any dividends or other distributions or any cash payment that such holder has the right to receive pursuant to the Merger Agreement and (C) a cash payment for the Per Share Cash Merger Consideration into which such LivePerson book-entry shares have been converted.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val="false"/>
          <w:i/>
          <w:caps w:val="false"/>
          <w:smallCaps w:val="false"/>
          <w:sz w:val="20"/>
        </w:rPr>
        <w:t>DTC Book-Entry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caps w:val="false"/>
          <w:smallCaps w:val="false"/>
          <w:sz w:val="20"/>
        </w:rPr>
        <w:t>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holder of record of one or more LivePerson book-entry shares held through The Depository Trust Company whose shares were converted into the right to receive the Per Share Merger Consideration or the Per Share Cash Merger Consideration will automatically, upon the First Effective Time (in the case of such shares other than TASE Shares)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Effective Time (in the case of such shares that are TASE Shares), be entitled to receive, and SoundHound will cause the exchange agent to issue and pay as promptly as practicable after the First Effective Time (in the case of such shares other than TASE Shares) or the Second Effective Time (in the case of such shares that are TASE Shares), (i) in the case of such shares other than TASE Shares, (A) credit in the stock ledger and other appropriate books and records of SoundHound for the number of shares of SoundHound Common Stock into which such LivePerson book-entry shares have been converted and (B) any dividends or other distributions or any cash payment that such holder has the right to receive pursuant to the Merger Agreement and (ii) in the case of such shares that are TASE Shares, a cash payment to the Depository Trust Company of the Per Share Cash Merger Consideration.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accrued on any amount payable upon due surrender of shares of LivePerson Common Stock eligible to receive the Per Share Merger Consideration or the Per Share Cash Merger Consideration pursuant to the Merger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SoundHound Common Stock issued upon conversion of shares of LivePerson Common Stock pursuant to and in accordance with the Merger Agreement (together with dividends or other distributions or any cash payment pursuant to the Merger Agreement) or the payment of the Per Share Cash Merger Consideration in respect of TASE Shares, as applicable, will be deemed to have been delivered or paid in full satisfaction of all rights pertaining to such LivePerson Common Stock. From and after (i) the First Effective Time, (x) LivePerson stockholders (other than holder of TASE Shares) will cease to have any rights as LivePerson stockholders other than the right to receive the Per Share Merger Consideration (together with any dividends or other distributions or any cash payment that the holder has the right to receive pursuant to the Merger Agreement) and (y) the stock transfer books of LivePerson will be closed and there will be no further registration of transfers of shares of LivePerson Common Stock thereafter on the records of LivePerson and (ii) the Second Effective Time, all holders of TASE Shares (other than Dissenting Shares) will cease to have any rights as LivePerson stockholders other than the right to receive the Per Share Cash Merger Consideration. If, (i) after the First Effective Time, LivePerson Common Stock certificates (other than TASE Shares) are presented to SoundHound, the first surviving corporation or the surviving corporation for any reason, such LivePerson Common Stock certificates will be cancelled and exchanged for the Per Share Merger Consideration (together with any dividends or other distributions or any cash payment that the holder has the right to receive pursuant to the Merger Agreement) or (ii) after the Second Effective Time, any LivePerson Common Stock certificates that are TASE Shares are presented to SoundHound or the surviving corporation for any reason, such LivePerson Common Stock certificates will be cancelled and exchanged for the Per Share Cash Merger Consideration, in each case, subject to abandoned property, escheat or similar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Fund; No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portion of the shares or funds (including any interest received with respect thereto) made available to the exchange agent that remains unclaimed by the LivePerson stockholders on the first anniversary of the Second Effective Time will be returned to SoundHound upon demand, and any LivePerson stockholder shall thereafter look only to SoundHound (subject to abandoned property, escheat or other similar laws) for delivery of the Per Share Merger Consideration (together with any dividends or other distributions or any cash payment that such holder has the right to receive pursuant to the Merger Agreement) or the Per Share Cash Merger Consideration. Any shares or funds remaining unclaimed by the LivePerson stockholders immediately prior to such time as such amounts would otherwise escheat to, or become property of, any governmental entity will, to the extent permitted by applicable law, become the property of SoundHound, free and clear of any claim or interest of any person previously entitled thereto. None of SoundHound, LivePerson, the surviving corporation, the exchange agent or their respective affiliates will be liable to any LivePerson stockholder for any amount of the Per Share Merger Consideration (or any dividends or other distributions or any cash payable in connection therewith) or Per Share Cash Merger Consideration, as applicable, properly delivered to a public official pursuant to any applicable abandoned property, escheat, or similar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Lost, Stolen, or Destroyed 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any LivePerson Common Stock certificates have been lost, stolen or destroyed, upon the making of an affidavit of that fact by the holder thereof, the exchange agent will issue in exchange for such lost, stolen or destroyed LivePerson Common Stock certificates the Per Share Merger Consideration (together with dividends or other distributions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payment that the holder has the right to receive pursuant to the Merger Agreement) or Per Share Cash Merger Consideration, as applicable. SoundHound may, in its reasonable discretion and as a condition precedent to such payment, require the owner of such lost, stolen or destroyed LivePerson Common Stock certificates to deliver a bond in a reasonable sum as it may reasonably direct as indemnity against any claim that may be made against SoundHound, the first surviving corporation, the surviving corporation or the exchange agent with respect to the LivePerson Common Stock certificates alleged to have been lost, stolen or destroyed.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Fractional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Merger Sub I, Merger Sub II, LivePerson, the first surviving corporation, the surviving corporation, the exchange agent, the trustee appointed by LivePerson in accordance with Israeli tax law, and any member of the TASE are entitled to deduct and withhold from any amounts otherwise payable pursuant to the Merger Agreement such amounts as are required to be deducted and withheld with respect to the making of such payment under the Code or any provision of applicable law. To the extent that any withholding obligation cannot be satisfied by the retention of cash amounts otherwise payable, the relevant withholding party may sell or instruct to sell, on behalf of the applicable recipient, such portion of the shares of SoundHound Common Stock otherwise deliverable to such recipient as is necessary to generate proceeds sufficient to satisfy the applicable withholding obligation. Withholding with respect to amounts payable to beneficial owners of TASE Shares is expected to be administered through the applicable TASE member or other applicable Israeli intermediaries at the beneficial-owner level, to the extent required under applicable law, any applicable tax ruling and such intermediaries’ standard procedures. The parties have agreed to reasonably cooperate with each other in good faith to minimize any such deduction or withholding, including, to the extent feasible and practicable, by seeking appropriate tax rulings. To the extent such amounts are so deducted and withheld, such amounts will be remitted to the applicable governmental authority as required by applicable law and treated for all purposes of the Merger Agreement as having been paid to the person in respect of which such deduction and withholding was made.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TASE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and warranties by the parties that are subject, in some cases, to specified exceptions and qualifications contained in the Merger Agreement, as set forth in the disclosure schedule delivered by LivePerson to SoundHound concurrent with the execution of the Original Merger Agreement, or as otherwise disclosed or identified in the reports, schedules, forms, statements, registration statements, prospectuses and other documents required to be filed or furnished by LivePerson or SoundHound, as applicable, with the SEC on or after January 1, 2024 and at least two business days prior to April 21, 2026. The representations and warranties of LivePerson relate to,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and qualification and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conflicts;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filings and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and other employment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data privacy and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and title to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anti-corruption;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trade;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opinion of financial advisor;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supplied;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takeover statutes;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contains customary representations and warranties of SoundHound, Merger Sub I and Merger Sub II, including with respect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and qualification;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conflicts;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filings and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supplied;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takeover statutes;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Merger Sub I and Merger Sub II;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valid issuance;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Material Adverse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“material adverse effect” means, when used with respect to SoundHound or LivePerson, as applicable, any change, event, occurrence, condition or development that, individually or in the aggregate, has or would reasonably be expected to have a material adverse effect on the business, condition (financial or otherwise), assets, liabilities, operations or results of operations of such party and its subsidiaries, taken as a whole; provided, however, that any such effects arising out of, or resulting from the following will not constitute a material adverse effect, and will not otherwise be taken into account in determining whether a material adverse effect has occurred or would reasonably be expected to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the interpretation or enforcement thereof) or changes in GAAP (or the interpretation or enforcement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or regulatory conditions, or changes in securities, credit or other financial markets, including interest rates or exchange rates in the United States or globally, or changes in conditions in the industries (including seasonal fluctuations) in which such party or its subsidiaries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actions or omissions expressly required of such party by the terms of the Original Merger Agreement or the Merger Agreement or taken or not taken with the prior written consent of the other party (other than such party’s obligations to operate its business in the ordinary course);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execution, announcement, pendency or consummation of the Merger Agreement and the transactions contemplated thereby, including any litigation arising out of or relating to the Original Merger Agreement, the Merger Agreement or the Mergers, the identity of the other party, departures of officers or employees, changes in relationships with suppliers or customers or other business relations, in each case solely to the extent resulting from the execution, announcement, pendency or consummation of the Original Merger Agreement, the Merger Agreement and the transactions contemplated thereby (other than with respect to any breach or inaccuracy of a representation or warranty in the Merger Agreement that is intended to address the consequences of the execution, announcement, existence, pendency or consummation of the Original Merger Agreement, the Merger Agreement or the transactions contemplated thereby or to address the consequences of litigation of, or the compliance with or performance under, the Original Merger Agreement or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trading price or trading volume of such party’s common stock (provided, that the underlying cause of such change may be taken into account in determining whether a material adverse effect has occurred);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by such party or any of its subsidiaries to meet any internal or published revenue, earnings or other financial projections, estimates, expectations or forecasts for any period (provided, that the underlying cause of such failure may be taken into account in determining whether a material adverse effect has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such effects directly or indirectly resulting from, arising out of, attributable to or related to the matters described in the first three bullets above disproportionately and adversely impact such party or its subsidiaries, taken as a whole, relative to other companies operating in the same industries, then such effects will be taken into account in determining whether a material adverse effect has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“LivePerson material adverse effect” means a material adverse effect with respect to LivePerson, and a “SoundHound material adverse effect” means a material adverse effect with respect to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Interim Operations of LivePerson Pending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and will cause each of its subsidiaries to, use its reasonable best efforts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its operations in all material respects in the ordinary course consistent with past practice (including with respect to its customary cash management policies and the maintenance of unrestricted cash and cash equivalents on its balance sheet at levels consistent with those maintained in the ordinary course of business consistent with past practice);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preserve substantially intact its present business organization and comply with all applicable laws in all material respects.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LivePerson has further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not, and will not permit its subsidiaries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issue, sell, pledge, dispose of, grant, transfer or encumber any shares of capital stock of, or other equity interests in, LivePerson or any of its subsidiaries,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LivePerson Common Stock upon the exercise, vesting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as applicable, of LivePerson equity awards and LivePerson warrants outstanding as of the date of the Original Merger Agreement in accordance with their terms or upon the exercise of purchase rights under the LivePerson employee stock purchase plan (subject to the terms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pledge, dispose of, transfer, lease, license, abandon, guarantee or encumber any material property or tangible assets of LivePerson or any of its subsidiaries (other than transactions between LivePerson and any wholly owned subsidiary of LivePerson or among wholly owned subsidiaries of LivePerson), except (i) pursuant to contracts in effect prior to April 21, 2026 (as such contracts may be modified, extended or amended in the ordinary course of business) or (ii) certain permitted liens defined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make or pay any dividend or other distribution (whether payable in cash, stock, property or a combination thereof) with respect to any of its capital stock or other equity interests (other than dividends paid by a wholly owned subsidiary of LivePerson to LivePerson or another wholly owned subsidiary of LivePerson), enter into any agreement with respect to the voting or registration of its capital stock or other equity interests, or file any registration statement with the SEC with respect to any of its capital stock or other equity interests or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LivePerson equity awards in accordance with the terms of such awards as in effect on the date of the Original Merger Agreement or (ii) upon the forfeiture of outstanding LivePerson equity awards pursuant to their terms upon the termination of the employment of the holder thereof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or consolidate LivePerson or any of its subsidiaries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the Merger Agreement on or before the outside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LivePerson and its wholly owned subsidiaries or solely among wholly owned subsidiaries of LivePerson, or (ii) repay any indebtedness, except (A) in accordance with the repayment provisions of the Merger Agreement relating to the 2026 Notes and the Note Restructuring Transactions or (B) payment of interest due and payable pursuant to the terms of the First Lien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or capital contributions to, or investments in, any other person (other than any wholly owned subsidiary of LivePerson), except for (i) loans solely among LivePerson and its wholly owned subsidiaries or solely among LivePerson’s wholly owned subsidiaries or (ii) advances for reimbursable employee expenses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enter into any contract that would, if entered into prior to the date of the Original Merger Agreement, be a material contract, except with respect to certain specified categories of material contracts that may be entered, subject to certain conditions, in the ordinary course of business consistent with past practice or (ii) (A) materially modify, materially amend, extend (except in the case of a renewal of a material contract in the ordinary course of business consistent with past practice, provided that the terms other than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expiration date of such contract have not changed in a manner adverse to LivePerson) or affirmatively terminate any material contract or (B) waive, release or assign any rights or claims thereunder, in the case of this clause (B)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otherwise required by applicable law, the terms of the Merger Agreement or an existing LivePerson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LivePerson or any of its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LivePerson benefit plan (or any other benefit or compensation plan, policy, program, agreement or arrangement that would be a LivePerson benefit plan if in effect on April 21, 2026) or (vii) accelerate the vesting, funding or time of payment of any compensation or other benefit (including any LivePerson equity award) with respect to any current or former individual service provider;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modify (in any manner adverse to LivePerson and its subsidiaries), or release any material noncompetition, non-solicitation, nondisclosure, noninterference, non-disparagement or other similar material restrictive covenant obligation of any current or former employee, officer, director or individual independent contractor of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or announce any “mass layoff” or “plant closing,” in each case as defined in an applicable WARN Act, or take any other action that would reasonably be expected to trigger an applicable WARN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LivePerson under Item 404 of Regulation S-K of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change in accounting policies, practices, principles, methods or procedures or any of its methods of reporting income, deductions or other material items for financial accounting purposes, other than as required by GAAP or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compromise, settle or agree to settle any legal proceeding other than compromises, settlements or agreements that involve only the payment of monetary damages by LivePerson or any of its subsidiaries not in excess of $100,000, in any case without the imposition of equitable relief on, or the admission of a violation of law by,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Merger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sell, assign, pledge or otherwise encumber, transfer, license, abandon, place in the public domain, permit to lapse or otherwise dispose of any owned intellectual property, except for non-exclusive licenses granted in the ordinary course of business consistent with past practice and otherwise except the abandonment or lapse of registered intellectual property in LivePerson’s reasonable business judgment, or (ii) compromise, settle or agree to settle, or consent to judgment in, any one or more actions (except in the ordinary course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business consistent with past practice) concerning any owned intellectual property in a manner that materially and adversely affects LivePerson’s rights in or to any material owned intellectual property, or (iii) license or disclose any source code for the owned intellectual property to any person who is not an employee or consultant acting on behalf of LivePerson or any of its subsidiaries pursuant to customary confidentiality protections;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any material refunds, credits, rebates or other allowances by LivePerson to any end user, customer, reseller or distributor, in each case, other than in the ordinary course of business consistent with past practice, or change in any material respect the manner in which LivePerson or any of its subsidiaries extends discounts, credits or warranties to customers or otherwise deals with customers or suppliers;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materially amend or terminate any transaction with any related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use commercially reasonable efforts to maintain LivePerson’s insurance policies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acquire any real property or enter into any lease or sublease of real property (whether as a lessor, sublessor, lessee or sublessee), (ii) materially modify or amend or exercise any right to renew 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LivePerson, or any interest therein or part thereof, (iv) commit any waste or nuisance on any such property or (v) make any material changes in the construction or condition of any such property, in the case of each of clauses (ii) through (iv),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convene any special meeting (or any adjournment or postponement thereof) of LivePerson’s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or modify or waive in any material respect any right under any material permit;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capital expenditure or expenditures, or enter into any agreement or arrangement providing for, or otherwise commit to providing, any capital expenditure or expenditures, except (i) in accordance with LivePerson’s capital budget provided to SoundHound prior to the date of the Original Merger Agreement or (ii) with respect to capital expenditures or expenditures in respect of capitalized software equal to or less than $250,000 in the aggregate;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 or delay the collection of any accounts receivable or the payment of any accounts payable or the accrual of deferred revenue or otherwise alter the management of working capital or the cash or cash equivalents of LivePerson, except, in each case, in the ordinary course of business consistent with past practice, including with respect to monthly fluctuations in working capital;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authorize or enter into any contract to do any of the foregoing or otherwise make any commitment to do any of the foregoing.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 Change of Recommendation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Solicitation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Acquisition Proposal</w:t>
      </w:r>
      <w:r>
        <w:rPr>
          <w:rFonts w:ascii="Times New Roman PS Std;serif" w:hAnsi="Times New Roman PS Std;serif"/>
          <w:b w:val="false"/>
          <w:i w:val="false"/>
          <w:caps w:val="false"/>
          <w:smallCaps w:val="false"/>
          <w:sz w:val="20"/>
        </w:rPr>
        <w:t>” beginning on page 87).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 waiver of or terminate any “standstill” or similar obligation of any third party with respect to LivePerson or any of its subsidiaries to allow a third party to submit an Acquisition Proposal;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April 21, 2026, in the event LivePerson receives any (i) Acquisition Proposal (or any inquiry, offer or request for discussions or negotiations that could reasonably be expected to lead to an Acquisition Proposal), (ii) request for non-public information relating to LivePerson or its subsidiaries by any person who has made or would reasonably be expected to make an Acquisition Proposal, or (iii) inquiry or request for discussions or negotiations regarding any Acquisition Proposal then, in each case, LivePerson has agreed to promptly (and in any event within 24 hours) notify SoundHound, either orally or in writing, of the receipt of such proposal, inquiry or request and advise SoundHound if LivePerson determines to begin providing information in connection with, or to engage in discussions or negotiations concerning, an Acquisition Proposal in accordance with the terms of the Merger Agreement. Such notice to SoundHound will include (a) the identity of the person making the Acquisition Proposal, inquiry, offer or request, (b) if in writing, a copy of such Acquisition Proposal, inquiry, offer or request (and, if available, drafts of any related contracts) and copies of any financing commitments (but excluding any customarily redacted fee letters) received by LivePerson in connection with such proposal, inquiry, offer, or request and (c) if made orally, a reasonably detailed summary of the material terms and conditions of such Acquisition Proposal. From and after April 21, 2026 until the earlier of the Second Effective Time or the termination of the Merger Agreement in accordance with its terms, LivePerson has agreed to (I) keep SoundHound reasonably informed of the status and any material changes to the material terms and conditions of any such Acquisition Proposal (including by providing unredacted copies of all amendments and proposed amendments) and (II) notify SoundHound promptly (and, in any event, within 24 hours) after it first enters into discussions or negotiations concerning such Acquisition Proposal or provides non-public information or data to any person in connection therewith.</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Solicitation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Superior Proposal</w:t>
      </w:r>
      <w:r>
        <w:rPr>
          <w:rFonts w:ascii="Times New Roman PS Std;serif" w:hAnsi="Times New Roman PS Std;serif"/>
          <w:b w:val="false"/>
          <w:i w:val="false"/>
          <w:caps w:val="false"/>
          <w:smallCaps w:val="false"/>
          <w:sz w:val="20"/>
        </w:rPr>
        <w:t>” beginning on page 88), LivePerson may furnish 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Restrictions on Change of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described below, the LivePerson board of directors may not: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 change, amend, modify or qualify, or otherwise propose to withdraw, change, amend, modify or qualify, the LivePerson board of directors recommendation;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LivePerson board of directors recommendation in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authorize, declare advisable, endorse or recommend, or propose to adopt, approve, authorize, declare advisable, endorse or recommend, or submit to LivePerson stockholders for their approval,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meeting of LivePerson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call or convene a meeting of LivePerson stockholders to consider a proposal that would reasonably be expected to materially impair, prevent or delay the consummation of the Mergers and the other transactions contemplated by the Merger Agreement;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actions described in the seven bullets directly above is referred to herein as a “recommendation change.”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Recommendation Change in Connection with a Superior Proposal or Intervening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the foregoing, if at any time following April 21, 2026 and prior to the time that the merger proposal has been approved by the LivePerson stockholders (a)(i) LivePerson has received a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Superior Proposal</w:t>
      </w:r>
      <w:r>
        <w:rPr>
          <w:rFonts w:ascii="Times New Roman PS Std;serif" w:hAnsi="Times New Roman PS Std;serif"/>
          <w:b w:val="false"/>
          <w:i w:val="false"/>
          <w:caps w:val="false"/>
          <w:smallCaps w:val="false"/>
          <w:sz w:val="20"/>
        </w:rPr>
        <w:t>” beginning on page 88) or (ii) the LivePerson board of directors (or any duly authorized committee thereof) determines that an Intervening Event (as such term is defined in the section entitled “</w:t>
      </w:r>
      <w:r>
        <w:rPr>
          <w:rFonts w:ascii="Times New Roman PS Std;serif" w:hAnsi="Times New Roman PS Std;serif"/>
          <w:b w:val="false"/>
          <w:i/>
          <w:caps w:val="false"/>
          <w:smallCaps w:val="false"/>
          <w:sz w:val="20"/>
        </w:rPr>
        <w:t>The Merger Agreement — No Solicitation; Change of Recommendation — Permitted Recommendation Change in Connection with a Superior Proposal or Intervening Event — Definition of Intervening Event</w:t>
      </w:r>
      <w:r>
        <w:rPr>
          <w:rFonts w:ascii="Times New Roman PS Std;serif" w:hAnsi="Times New Roman PS Std;serif"/>
          <w:b w:val="false"/>
          <w:i w:val="false"/>
          <w:caps w:val="false"/>
          <w:smallCaps w:val="false"/>
          <w:sz w:val="20"/>
        </w:rPr>
        <w:t>” beginning on 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Permitted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or duly authorized committee thereof may disclose to the LivePerson stockholders a position contemplated by Rule 14d-9 or Rule 14e-2(a) promulgated under the Exchange Act or make any other disclosure to the LivePerson stockholders that is required to comply with applicable law with regard to an Acquisition Proposal (and the parties agree that the issuance by LivePerson or the LivePerson board of directors of a “stop, look and listen” communication to the LivePerson stockholders pursuant to Rule 14d-9(f) promulgated under the Exchange Act will not constitute a change of recommendation).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Intervening Event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the above, an “Intervening Event” shall occur when any change, event, occurrence, condition or development that occurs or arises after April 21, 2026, that is material to LivePerson and its subsidiaries (taken as a whole) that (a) was not known or reasonably foreseeable to LivePerson or the LivePerson board of directors as of or prior to April 21, 2026 and becomes known to the LivePerson board of directors following April 21, 2026 and (b) does not involve or relate to an Acquisition Proposal. Notwithstanding the foregoing, the following events will not constitute an “Intervening Event”: (i) changes in the price or trading volume of LivePerson Common Stock or SoundHound Common Stock (but the facts or occurrences giving rise to or contributing to such changes may be taken into account in determining whether there has been an Intervening Event) or changes in the credit rating of LivePerson or SoundHound, (ii) LivePerson or SoundHound meeting, failing to meet, or exceeding any internal or published projections, forecasts, estimates or predictions in respect of revenues, earnings or other financial or operating metrics for any period (but the facts or occurrences giving rise to or contributing to such circumstances may be taken into account in determining whether there has been an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Acquisition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“Acquisition Proposal” means any offer, proposal or indication of interest from any person or group of persons as defined in Section 13(d)(3) of the Exchange Act (other than SoundHound and its subsidiaries) at any time relating to any transaction or series of related transactions (other than the Mergers) involving: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or purchase by any person, directly or indirectly, of more than 15% of any class of outstanding voting or equity securities of LivePerson (whether by voting power or number of shares), or any tender offer (including a self-tender offer) or exchange offer that, if consummated, would result in any person beneficially owning more than 15% of any class of outstanding voting or equity securities of LivePerson (whether by voting power or number of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merger, consolidation, share exchange, business combination, joint venture, recapitalization, reorganization or other similar transaction involving LivePerson and a person pursuant to which the stockholders of LivePerson immediately preceding such transaction hold less than 85% of the equity interests in the surviving, resulting or ultimate parent entity of such transaction (whether by voting power or number of shares),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sale, lease, exchange, transfer or other disposition to a person of more than 15% of the consolidated assets of LivePerson and its subsidiaries (measured by the fair market value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Superior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“Superior Proposal” means a bona fide, written Acquisition Proposal (except the references therein to “15%” shall be replaced by “80%” and the references to “85%” shall be replaced by “25%”) made by a third party which the LivePerson board of directors determines in good faith (after consultation with its outside counsel and, with respect to financial matters, its financial advisors), taking into account all relevant factors (including all the terms and conditions of such proposal or offer (including the transaction consideration, conditionality, timing, certainty of financing or regulatory approvals and likelihood of consummation)) and the Merger Agreement (and any changes thereto proposed by SoundHound pursuant to the relevant provisions in the Merger Agreement) that: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accepted, is reasonably likely to be consummated on the terms proposed, taking into account any required redemption, exchange, repayment or restructuring of LivePerson’s outstanding notes required in connection with such Acquisition Proposal in accordance with the indentures and other agreements governing such notes (and whether the holders of such notes would be reasonably expected to consent to such Acquisition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more favorable to LivePerson’s stockholders from a financial point of view than the Mergers.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Preparation of Proxy Statement/Prospectus and Registration Statement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agreed to use its reasonable best efforts to cause the registration statement, of which this proxy statement/prospectus forms a part, to become effective under the Securities Act as soon after such filing as practicable and to ensure that this proxy statement/prospectus and the registration statement, of which this proxy statement/prospectus forms a part, complies in all material respects with the applicable provisions of the Securities Act and the Exchange Act, as applicable. SoundHound has agreed to use its reasonable best efforts to keep the registration statement, of which this proxy statement/prospectus forms a part, effective for as long as is necessary to consummate the transactions contemplated by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not prohibited by law, each of SoundHound and LivePerson has agreed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this proxy statement/prospectus and the registration statement, of which this proxy statement/prospectus forms a part, and any other statement, filing, notice or application made by or on behalf of SoundHound, LivePerson, or their respective subsidiaries to the SEC, Nasdaq, or pursuant to any state securities or “blue sky” laws, in connection with the Mergers, the issuance of SoundHound Common Stock in connection with the transactions contemplated thereby and any other transactions contemplated thereby.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have agreed to promptly provide the other party with copies of any written comments received from the SEC with respect to this proxy statement/prospectus or the registration statement, of which this proxy statement/prospectus forms a part, and to promptly advise the other party of any oral comments received by the SEC. Prior to filing the registration statement (or any amendment or supplement thereto), of which this proxy statement/prospectus forms a part, or the mailing this proxy statement/prospectus (or any amendment or supplement thereto) or responding to any comments of the SEC with respect thereto, SoundHound and LivePerson have agreed to cooperate and provide the other party a reasonable opportunity to review and comment on such document or response in advance (including the proposed final version of such document or response).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agreed to advise the other, promptly after it receives notice thereof, of (a) the time when the registration statement, of which this proxy statement/prospectus forms a part, has become effective or any supplement or amendment has been filed, (b) the issuance of any stop order or (c) the suspension of the qualification of the SoundHound Common Stock issuable in connection with the First Merger for offering or sale in any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First Effective Time, any information relating to SoundHound or LivePerson, or any of their respective affiliates, directors or officers, should be discovered by SoundHound or LivePerson which should be set forth in an amendment or supplement to either the registration statement, of which this proxy statement/prospectus forms a part, or this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will promptly notify the other party and an appropriate amendment or supplement describing such information shall be promptly filed with the SEC and, to the extent required by law, disseminated to the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to notify LivePerson stockholders two business days prior to the LivePerson special meeting of the aggregate number of TASE Shares outstanding as of the most recent practicable determination date (which date will be specified in such notice).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Access to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limitations set forth in the Merger Agreement, from April 21, 2026, to the earlier of the Second Effective Time and the termination of the Merger Agreement in accordance with its terms, LivePerson and its subsidiaries have agreed to: (i) provide SoundHound’s representatives with reasonable access during normal business hours, in such a manner as not to interfere unreasonably with the operation of any business conducted by LivePerson or any of its subsidiaries and upon reasonable prior written notice to LivePerson, to the officers, employees, properties, offices and other facilities of LivePerson and its subsidiaries and to the books and records thereof, and (ii) furnish during normal business hours upon prior notice such information concerning the business, properties, contracts, assets and liabilities of LivePerson and its subsidiaries as SoundHound or its representatives may reasonably request.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entered into a confidentiality agreement dated as of December 18, 2025, and a clean team agreement, dated March 19, 2026, each of which applies to all information furnished under the access to information provisions of the Merger Agreement and will survive any termination of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have agreed to use their respective reasonable best efforts to take all appropriate action and do all things necessary, proper or advisable under applicable law to consummate and make effective the Mergers and the other transactions contemplated by the Merger Agreement as promptly as practicable, including taking any actions that may be required to cause the expiration of the notice periods under applicable regulatory laws with respect to the transactions contemplated by the Merger Agreement and obtaining from any governmental entities any consents, licenses, permits, waivers, approvals, authorizations or orders required to be obtained by SoundHound or LivePerson in order to effect the Closing by not later than two business days prior to the outside date. LivePerson and SoundHound have agreed to cooperate with, and furnish information to, each other in connection with the foregoing actions. LivePerson may not consent to any voluntary extension of the outside date or otherwise delay the Closing at the behest of any governmental entity without SoundHound’s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SoundHound is not obligated to, and, without the prior written consent of SoundHound, LivePerson, its subsidiaries and their respective affiliates cannot, (i) propose, negotiate, commit to, or effect the sale, divestiture, licensing or disposition of any assets, properties or businesses of SoundHound, LivePerson or their respective affiliates, (ii) terminate, amend or assign existing relationships and contractual rights or obligations, (iii) grant any right or commercial accommodation to, or enter into any material commercial relationship with, any third party, or (iv) accept any operational restrictions or otherwise take or commit to take actions that limit any party’s freedom of action with respect to any of the assets, properties, licenses, rights, product lines, operations or businesses of SoundHound, LivePerson or their respective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at its sole discretion, and LivePerson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including seeking to lift or rescind any injunction or restraining order which may adversely affect the ability of the parties to consummate the transactions contemplated by the Merger Agreement, in each case, until the issuance of a final, non-appealable order.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have agreed to jointly develop, consult and cooperate with one another on the strategy for obtaining any necessary approval of, or responding to any request from, inquiry by, or investigation by, any governmental entity in connection with the Merger Agreement and the transactions contemplated thereby. Notwithstanding the foregoing, SoundHound will, on behalf of the parties, control and direct all communications and strategy in dealing with any governmental entity under any regulatory laws, provided that SoundHound will consider in good faith the views and comments of LivePerson and its outside counsel.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to give, or cause its subsidiaries to give, any notices to third parties, and use reasonable best efforts to obtain certain third-party consents, approvals or waivers. In the event that LivePerson fails to obtain any such third-party consents, LivePerson has agreed to take any such actions reasonably requested by SoundHound (at SoundHound’s sole cost and expense), to minimize any adverse effect on SoundHound and its subsidiaries from the failure to obtain such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shall give the other party prompt notice of the making or commencement of any request, inquiry, investigation or proceeding by or before any governmental entity with respect to the Mergers and keep the other party informed as to the status of any such request, inquiry, investigation or proceeding.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Matters</w:t>
      </w:r>
    </w:p>
    <w:p>
      <w:pPr>
        <w:pStyle w:val="TextBody"/>
        <w:keepNext w:val="false"/>
        <w:pageBreakBefore w:val="false"/>
        <w:widowControl/>
        <w:pBdr/>
        <w:bidi w:val="0"/>
        <w:spacing w:before="158"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has agreed that, during the period commencing on the Closing Date and ending on the last day of the year in which the Closing occurs, SoundHound will, or will cause one of its affiliates (including the surviving corporation and its subsidiaries) to, provide to each employee of LivePerson and its subsidiaries who continues to be employed by LivePerson or the surviving corporation or any subsidiary or affiliate thereof (each a “LivePerson continuing employee” and collectively, the “LivePerson continuing employees”) (i) a total target cash opportunity (i.e., inclusive of an annual base salary or base wage rate and a target annual cash bonus opportunity, and excluding an equity or equity-linked compensation opportunity) and (ii) employee health and welfare benefits, in each case, that is or are, in SoundHound’s reasonable discretion, either (A) no less favorable in the aggregate than such target cash opportunity or benefits in effect for the LivePerson continuing employee immediately prior to the Closing, or (B) no less favorable in the aggregate than such target cash opportunity or benefits provided to similarly situated employees of SoundHound or its affiliates. If any LivePerson continuing employee experiences a “qualifying termination” during the period commencing on the Closing Date and ending on the last day of the year in which the Closing occurs, SoundHound will, or will cause one of its affiliates (including the surviving corporation and its subsidiaries), to provide certain severance payments to such employee in accordance with the Merger Agreement.</w:t>
      </w:r>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set forth in the Merger Agreement, SoundHound has agreed that, for all purposes (including vesting, eligibility to participate and level of benefits) under any SoundHound benefits plans providing benefits to any LivePerson continuing employees after the Second Effective Time (a “new plan”), each LivePerson continuing employee will be credited with his or her years of service with LivePerson and its subsidiaries prior to the First Effective Time to the same extent as such LivePerson continuing employee was entitled before the First Effective Time. In addition, (i) each LivePerson continuing employee will be immediately eligible to participate, without any waiting time (other than any administrative delays in connection with any transition to SoundHound’s tax qualified defined contribution plan), in any new plan to the extent coverage under such new plan is of the same type as the LivePerson benefit plan in which such LivePerson continuing employee participated immediately before the First Effective Time (such plans, collectively, the “old plans”), and (ii)(a) for purposes of each new plan providing medical, dental, pharmaceutical or vision benefits to any LivePerson continuing employee, SoundHound or its applicable subsidiary will cause all preexisting condition exclusions and actively-at-work requirements of such new plan to be waived for such LivePerson continuing employee and his or her covered dependents, unless such conditions would not have been waived under the old plan and (b) SoundHound and its applicable subsidiary will use commercially reasonable efforts to cause any eligible expenses incurred by such LivePerson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unless otherwise directed by SoundHound in writing delivered to LivePerson not less than five business days prior to the Closing Date, LivePerson and its subsidiaries have agreed to terminate their 401(k) plans and nonqualified deferred compensation plans. In the event of any such termination of the 401(k) plans, SoundHound has agreed to use commercially reasonable efforts to cause a qualified defined contribution plan to accept eligible rollover distributions from current and former LivePerson employees.</w:t>
      </w:r>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provides that nothing therein will (i) guarantee employment for any period of time, (ii) preclude SoundHound from terminating any LivePerson continuing employee for any reason, (iii) require LivePerson, SoundHound or the surviving corporation to continue or otherwise prevent the amendment, modification or termination of their respective benefits plans or (iv) require the amendment, termination, establishment or creation of any benefit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Directors’ and Officers’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beginning at the Second Effective Time and ending six years after the Second Effective Time, SoundHound has agreed to cause the surviving corporation to indemnify and hold harmless all past and present directors and officers of LivePerson or any LivePerson subsidiary (the “covered persons”), subject to applicable law, to the same extent such covered persons are indemnified as of the date of the Original Merger Agreement by LivePerson or any LivePerson subsidiary pursuant to applicable law, the organizational documents of LivePerson or the applicable subsidiary thereof, or any indemnification agreements, for any legal proceedings arising out of acts or omissions in their respective capacities as directors or officers of LivePerson or any LivePerson subsidiary occurring at or prior to the First Effective Time (including for any acts or omissions occurring in connection with the adoption and approval of the Merger Agreement and the transactions contemplated thereby). SoundHound has additionally agreed to cause the surviving corporation to advance expenses (including reasonable legal fees and expenses) incurred in the defense of any such legal proceeding or any investigation related thereto, provided that the covered person will undertake to repay such advanced expenses if it is ultimately determined by a final non-appealable judgment that such covered person is not entitled to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not less than six years from and after the Second Effective Time, the Merger Agreement requires the organizational documents of the surviving corporation to contain provisions no less favorable with respect to exculpation, indemnification of and advancement of expenses to covered persons for periods at or prior to the First Effective Time than are currently set forth in the organizational documents of LivePerson or any applicable subsidiary thereof. During such time period, the surviving corporation is prohibited from amending, repealing or otherwise modifying such exculpation, indemnification and advancement of expenses provisions in any manner that would adversely affect the rights of any covered person. In the event that SoundHound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SoundHound or the surviving corporation (as applicable) has agreed to cause proper provision to be made so that the successors and assigns of SoundHound or the surviving corporation (as applicable) assumes such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limitations set forth in the Merger Agreement, for not less than six years from and after the Second Effective Time, SoundHound has agreed to cause the surviving corporation to maintain in effect LivePerson’s current directors’ and officers’ liability insurance policies covering acts or omissions occurring prior to or at the First Effective Time with respect to covered persons. In lieu of the foregoing, LivePerson, in consultation with SoundHound, may (and at the request of SoundHound, LivePerson shall use its reasonable best efforts to) purchase at or prior to the First Effective Time, and/or the surviving company may purchase following the Second Effective Time, a six-year “tail” prepaid officers’ and directors’ liability insurance policy in respect of acts or omissions occurring prior to the First Effective Time, covering each covered person for an amount not to exceed 300% of current annual premiums.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has agreed to promptly advise SoundHound, and give SoundHound the opportunity to participate in the defense of any claim, demand or other correspondence related to stockholder litigation against LivePerson and/or its directors and officers, or any of them, in connection with or relating to the transactions contemplated by the Merger Agreement (“transaction litigation”), including the Mergers, and to keep SoundHound reasonably informed regarding any such transaction litigation. LivePerson has agreed to give SoundHound the opportunity to consult with LivePerson regarding the defense or settlement of any such transaction litigation, and has agreed to consider in good faith SoundHound’s views with respect to such litigation. The Merger Agreement prohibits LivePerson from issuing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supplemental disclosure, making any commitments with respect to, or otherwise settling or agreeing to settle any such transaction litigation without SoundHound’s prior written consent (which shall not be unreasonably withheld, conditioned or delayed).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 Announcements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prohibits SoundHound, LivePerson or their respective subsidiaries from issuing any press release or making any public statement with respect to the Merger Agreement or the transactions contemplated thereby without the prior written consent of the other party (which consent cannot be unreasonably withheld, conditioned or delayed). Notwithstanding the foregoing, SoundHound, LivePerson and their respective subsidiaries may issue a press release or otherwise make a public statement with respect to the Merger Agreement and the transactions contemplated thereby to the extent (i) required by applicable law or the rules or regulations of any applicable United States securities exchange or regulatory or governmental body to which the relevant party is subject, in which case such party must use its commercially reasonable efforts to allow each other party reasonable time to comment on such release or announcement in advance of such issuance, or (iii) such communication is consistent with prior communications previously consented to by the other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Notices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compliance with applicable law, LivePerson and SoundHound, as the case may be, have agreed to notify the other party of any material effect that would reasonably be expected to cause any condition to the obligations of any party to effect the Mergers or any other transactions contemplated by the Merger Agreement not to be satisfied, including of the breach by a party of, or any other failure of a party to comply with or satisfy any representation, warranty, covenant, condition or agreement made pursuant to the Merger Agreement which would reasonably be expected, individually or in the aggregate, to result in any condition to the obligations of any party to effect the Mergers not to be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16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First Effective Time, LivePerson will take all such steps as may be reasonably necessary or appropriate to cause any dispositions of LivePerson Common Stock (including derivative securities with respect to LivePerson Common Stock) or acquisitions of SoundHound Common Stock (including derivative securities with respect to SoundHound Common Stock) resulting from the transactions contemplated by the Merger Agreement by each individual who is subject to the reporting requirements of Section 16(a) of the Exchange Act with respect to LivePerson to be exempt under Rule 16b-3 promulgated under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Exchange Listing and Delistings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and SoundHound have agreed to cause LivePerson’s securities to be de-listed from the Nasdaq and de-registered under the Exchange Act as promptly as practicable following the Second Effective Time. LivePerson also agreed to use reasonable best efforts to take all actions required under TASE bylaws and applicable Israeli securities laws to facilitate the delisting of LivePerson Common Stock from the TASE, including the filing of all required notices and the provision of all required shareholder communications, in each case to permit such delisting to be effective as soon as possible after the date of the Merger Agreement. SoundHound and LivePerson will cooperate to use their reasonable best efforts to cause the shares of SoundHound Common Stock issued in connection with the First Merger (including shares of SoundHound Common Stock reserved for issuance upon exercise of Assumed Options) to be approved for listing on the Nasdaq, subject to official notice of issuance, prior to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intend that the exchange of shares of LivePerson Common Stock for the Per Share Merger Consideration in the First Merger, or the Per Share Cash Merger Consideration in the Second Merger, be treated as a transaction described in Section 1001 of the Code (the “intended tax treatment”). The parties and their affiliates have agreed not to take any position for U.S. federal income tax purposes (and applicable state, local and non-U.S. tax purposes) on any tax return, in any tax contest or audit or in any communication with any governmental entity that is inconsistent with the intended tax treatment, unless required by a “determination” within the meaning of Section 1313 of the Code (or any similar provision of state, local or non-U.S. tax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Takeover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has approved the Merger Agreement and the transactions contemplated thereby and has taken all such other necessary actions as required to render inapplicable to the Merger Agreement and the transactions contemplated thereby the provisions of any applicable takeover laws of any state, including any “moratorium,” “control share,” “fair price,” “takeover” or “interested shareholder” law or similar provision of LivePerson’s charter or bylaws.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party’s obligation to complete the Mergers is subject to the satisfaction or, to the extent permitted by applicable law, waiver, of the following mutual conditions at or prior to the First Effective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LivePerson Stockholder Approval</w:t>
      </w:r>
      <w:r>
        <w:rPr>
          <w:rFonts w:ascii="Times New Roman PS Std;serif" w:hAnsi="Times New Roman PS Std;serif"/>
          <w:b w:val="false"/>
          <w:i w:val="false"/>
          <w:caps w:val="false"/>
          <w:smallCaps w:val="false"/>
          <w:sz w:val="20"/>
        </w:rPr>
        <w:t>.    The merger proposal must have been approved by the required vote of a majority of the outstanding shares of LivePerson Common Stock entitled to vote on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Regulatory Approval</w:t>
      </w:r>
      <w:r>
        <w:rPr>
          <w:rFonts w:ascii="Times New Roman PS Std;serif" w:hAnsi="Times New Roman PS Std;serif"/>
          <w:b w:val="false"/>
          <w:i w:val="false"/>
          <w:caps w:val="false"/>
          <w:smallCaps w:val="false"/>
          <w:sz w:val="20"/>
        </w:rPr>
        <w:t>.    Certain required consents, authorizations, approvals, orders, filings and declarations required to be obtained prior to the consummation of the Mergers must have been filed, occurred or been obtained (or any applicable waiting period thereunder have expired or been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Injunctions or Restraints</w:t>
      </w:r>
      <w:r>
        <w:rPr>
          <w:rFonts w:ascii="Times New Roman PS Std;serif" w:hAnsi="Times New Roman PS Std;serif"/>
          <w:b w:val="false"/>
          <w:i w:val="false"/>
          <w:caps w:val="false"/>
          <w:smallCaps w:val="false"/>
          <w:sz w:val="20"/>
        </w:rPr>
        <w:t>.    No Legal Impediment shall have been issued by any governmental entity having jurisdiction over any party and remain in force.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Effectiveness of the Registration Statement</w:t>
      </w:r>
      <w:r>
        <w:rPr>
          <w:rFonts w:ascii="Times New Roman PS Std;serif" w:hAnsi="Times New Roman PS Std;serif"/>
          <w:b w:val="false"/>
          <w:i w:val="false"/>
          <w:caps w:val="false"/>
          <w:smallCaps w:val="false"/>
          <w:sz w:val="20"/>
        </w:rPr>
        <w:t>.    The registration statement, of which this proxy statement/prospectus forms a part, must have been declared effective by the SEC under the Securities Act and must not be the subject of any stop order.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Exchange Listing</w:t>
      </w:r>
      <w:r>
        <w:rPr>
          <w:rFonts w:ascii="Times New Roman PS Std;serif" w:hAnsi="Times New Roman PS Std;serif"/>
          <w:b w:val="false"/>
          <w:i w:val="false"/>
          <w:caps w:val="false"/>
          <w:smallCaps w:val="false"/>
          <w:sz w:val="20"/>
        </w:rPr>
        <w:t>.    The shares of SoundHound Common Stock to be issued in the First Merger must have been authorized for listing on the Nasdaq, subject to official notice of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SoundHound and Merger Sub I and Merger Sub II to complete the Mergers are subject to the satisfaction or, to the extent permitted by applicable law, waiver of further conditions,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having performed and complied with in all material respects all of its obligations under the Merger Agreement required to be performed or complied with at or prior to the Closing;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April 21, 2026, no LivePerson material adverse effect shall have occurred;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having received a certificate of LivePerson signed by an executive officer of LivePerson, dated as of the Closing Date, confirming that the conditions set forth in the three bullets directly above have been satisfied;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 Treasury Regulations;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Notes Restructuring Condition.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LivePerson to complete the Mergers is subject to the satisfaction or, to the extent permitted by applicable law, waiver, of the following additional conditions: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of SoundHound, Merger Sub I and Merger Sub II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Merger Sub I and Merger Sub II having performed and complied with in all material respects all of their respective obligations under the Merger Agreement required to be performed or complied with by them at or prior to the Closing;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having received a certificate of SoundHound signed by an executive officer of SoundHound, dated as of the Closing Date, confirming that the conditions in the two bullets directly above have been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may terminate the Merger Agreement prior to the First Effective Time and abandon the Mergers and the other transactions contemplated thereby by mutual written consent.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by either SoundHound or LivePerson prior to the First Effective Time, and the Mergers and the other transactions contemplated by the Merger Agreement may be abandoned, in any of the following situations: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Legal Impediment termination event;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outside date termination event;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LivePerson stockholder approval termination event.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prior to the First Effective Time, and the Mergers and other transactions contemplated by the Merger Agreement may be abandoned, by SoundHound in any of the following situations: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change of recommendation termination event;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LivePerson breach termination event;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Notes Restructuring termination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prior to the First Effective Time, and the Mergers and other transactions contemplated by the Merger Agreement may be abandoned, by LivePerson in any of the following situations: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Superior Proposal termination event;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SoundHound breach termination event.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Fee Payable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LivePerson to pay SoundHound the termination fee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terminates the Merger Agreement as a result of a Superior Proposal termination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PS Std;serif" w:hAnsi="Times New Roman PS Std;serif"/>
          <w:b w:val="false"/>
          <w:i/>
          <w:caps w:val="false"/>
          <w:smallCaps w:val="false"/>
          <w:sz w:val="20"/>
        </w:rPr>
        <w:t>The Merger Agreement — No Solicitation; Change of Recommendation — Definition of Acquisition Proposal</w:t>
      </w:r>
      <w:r>
        <w:rPr>
          <w:rFonts w:ascii="Times New Roman PS Std;serif" w:hAnsi="Times New Roman PS Std;serif"/>
          <w:b w:val="false"/>
          <w:i w:val="false"/>
          <w:caps w:val="false"/>
          <w:smallCaps w:val="false"/>
          <w:sz w:val="20"/>
        </w:rPr>
        <w:t>” beginning on page 87, except that references to “15%” and “85%” therein shall be deemed to be references to “50%.”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LivePerson be required to pay the termination fee on more than one occasion.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Limitations and Other Agreements related to Termination Fee and Expenses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and SoundHound agreed that (i) in no event will LivePerson be required to pay the LivePerson termination fee on more than one occasion, (ii) the LivePerson termination fee constitutes liquidated damages and is not a penalty and (iii) no payment of the LivePerson termination fee shall be considered in lieu of, or a replacement or substitution for, damages incurred in the event of a willful and material breach of the Merger Agreement or fraud. If LivePerson fails to timely pay the termination fee when due, interest on the termination fee will accrue from the date of termination at the rate per annum published in </w:t>
      </w:r>
      <w:r>
        <w:rPr>
          <w:rFonts w:ascii="Times New Roman PS Std;serif" w:hAnsi="Times New Roman PS Std;serif"/>
          <w:b w:val="false"/>
          <w:i/>
          <w:caps w:val="false"/>
          <w:smallCaps w:val="false"/>
          <w:sz w:val="20"/>
        </w:rPr>
        <w:t>The Wall Street Journal</w:t>
      </w:r>
      <w:r>
        <w:rPr>
          <w:rFonts w:ascii="Times New Roman PS Std;serif" w:hAnsi="Times New Roman PS Std;serif"/>
          <w:b w:val="false"/>
          <w:i w:val="false"/>
          <w:caps w:val="false"/>
          <w:smallCaps w:val="false"/>
          <w:sz w:val="20"/>
        </w:rPr>
        <w:t xml:space="preserve"> on the date that such payment was required to be made through the date such payment is actually received. Additionally, subject to certain limitations set forth in the Merger Agreement, LivePerson will be required to reimburse SoundHound’s out-of-pocket costs and expenses incurred in the collection of such overdue amounts.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of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valid termination of the Merger Agreement pursuant to the provisions described in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 written notice will be given by the terminating party to the other party specifying the provision(s) of the Merger Agreement pursuant to which such termination is made, and the basis therefor described in reasonable detail. In the event of the valid termination of the Merger Agreement, the Merger Agreement will be terminated and will become void and have no effect, without any liability or obligation on the part of SoundHound, LivePerson, Merger Sub I or Merger Sub II or their respective subsidiaries, officers, directors or representatives (subject to certain exceptions set forth in the Merger Agreement). Notwithstanding the foregoing, a valid termination of the Merger Agreement will not relieve any party for liabilities or damages incurred or suffered as a result of a willful and material breach of the Merger Agreement or fraud by such party.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Merger Agreement, whether or not the Mergers are completed, all fees and expenses incurred in connection with the preparation, negotiation and performance of the Merger Agreement and the consummation of the transactions contemplated thereby will be paid by the party incurring such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Specific Performance; Remedies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parties to the Merger Agreement will be entitled to an injunction or injunctions to prevent breaches of the Merger Agreement and to specific performance of the terms thereof, in each case, in addition to any other remedy to which they are entitled at law or in equity. The parties have waived any requirement for the securing or posting of any bond in connection with the obtaining of any specific performance or injunctive relief, and have waived, in any action for specific performance, the defense of adequacy of a remedy at law. LivePerson’s or SoundHound’s pursuit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the Merger Agreement involving a willful and material breach.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Third-Party Beneficiaries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Nothing in the Merger Agreement, express or implied, is intended to or confers upon any person other than SoundHound, LivePerson, Merger Sub I and Merger Sub II any right, benefit or remedy of any nature whatsoever under or by reason of the Merger Agreement, except the right of the indemnified persons to enforce the obligations described under “</w:t>
      </w:r>
      <w:r>
        <w:rPr>
          <w:rFonts w:ascii="Times New Roman PS Std;serif" w:hAnsi="Times New Roman PS Std;serif"/>
          <w:b w:val="false"/>
          <w:i/>
          <w:caps w:val="false"/>
          <w:smallCaps w:val="false"/>
          <w:sz w:val="20"/>
        </w:rPr>
        <w:t>The Merger Agreement — Indemnification; Directors’ and Officers’ Insurance</w:t>
      </w:r>
      <w:r>
        <w:rPr>
          <w:rFonts w:ascii="Times New Roman PS Std;serif" w:hAnsi="Times New Roman PS Std;serif"/>
          <w:b w:val="false"/>
          <w:i w:val="false"/>
          <w:caps w:val="false"/>
          <w:smallCaps w:val="false"/>
          <w:sz w:val="20"/>
        </w:rPr>
        <w:t>” beginning on page 91.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amended, modified or supplemented by the parties by action taken or authorized by their respective boards of directors at any time prior to the First Effective Time; however, after the LivePerson stockholders have approved the merger proposal, no amendment or waiver may be made that, pursuant to applicable law, requires further approval by the LivePerson stockholders unless such further approval is first obtained. The Merger Agreement may not be amended except by an instrument in writing signed on behalf of each of the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all claims or causes of action arising in connection with the Merger Agreement, are governed by and construed in accordance with the laws of the State of Delaware, without giving effect to the principles of conflicts of law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4"/>
      <w:bookmarkEnd w:id="14"/>
      <w:r>
        <w:rPr>
          <w:rFonts w:ascii="Times New Roman PS Std;serif" w:hAnsi="Times New Roman PS Std;serif"/>
          <w:b/>
          <w:i w:val="false"/>
          <w:caps w:val="false"/>
          <w:smallCaps w:val="false"/>
          <w:sz w:val="20"/>
        </w:rPr>
        <w:t xml:space="preserve">CERTAIN AGREEMENTS RELATED TO THE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material terms of certain transaction documents related to the transactions contemplated by the Merger Agreement. The descriptions in this section and elsewhere in this proxy statement/prospectus are qualified in their entirety by reference to the complete text of the Notes Restructuring Agreement (as defined below) and Registration Rights Agreement (as defined below), copies of which are attached as Exhibits 10.1 and Exhibit 10.2, respectively, to this proxy statement/prospectus and are incorporated by reference herein in their entirety. These summaries does not purport to be complete and may not contain all of the information about the Notes Restructuring Agreement and Registration Rights Agreement that is important to you. You are encouraged to read the Notes Restructuring Agreement and Registration Rights Agreement carefully and their entirety.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Notes Restructuring Agreement and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Registration Rights Agreement and these summaries are included solely to provide you with information regarding the terms of such agreements.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Notes Restructuring Agreement and Registration Rights Agreement. The representations, warranties and covenants made in the Notes Restructuring Agreement and Registration Rights Agreement by SoundHound and LivePerson, as applicable, were made solely for the purposes of such agreements and as of specific dates and were qualified and subject to important limitations agreed to by SoundHound and LivePerson in connection with negotiating the terms of such agreements. In particular, in your review of the representations and warranties contained in the Notes Restructuring Agreement, Registration Rights Agreement and described in these summaries, it is important to bear in mind that the representations and warranties were negotiated with the principal purposes of establishing the circumstances in which a party to such agreements may have the right not to complete the transactions contemplated thereby if the representations and warranties of the other party or parties prove to be untrue due to a change in circumstance or otherwise, and allocating risk between the parties to such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proxy statement/prospectus, may have changed since April 21, 2026. You should not rely on the representations, warranties or covenants contained in the Notes Restructuring Agreement or the Registration Rights Agreement or any descriptions thereof as characterizations of the actual state of facts of SoundHound, LivePerson or any of their respective subsidiaries or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Notes Restructuring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concurrently with the execution and delivery of the Original Merger Agreement, SoundHound entered into a Notes Restructuring Agreement (the “Notes Restructuring Agreement”) with LivePerson and the Secured Holders, pursuant to which and on the terms and subject to the conditions thereof, among other things, the Secured Holders have agreed to release and deem satisfied the Secured Notes for the consideration contemplated thereby (the “Notes Restructuring Transactions”). As of the date of the Notes Restructuring Agreement, approximately $221.9 million in aggregate principal amount of First Lien Secured Notes and approximately $120.8 million in aggregate principal amount of Second Lien Secured Notes were outstanding.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Notes Restructuring Transactions, on the terms and subject to the conditions set forth in the Notes Restructuring Agreement, the First Lien Noteholder has agreed to accept, in full and complete satisfaction of all obligations of LivePerson to such holder, (a) a number of shares of SoundHound Common Stock equal to the quotient of (i) $178,007,733.68, divided by (ii) the SoundHound Closing Stock Price and (b) an amount in cash paid by LivePerson concurrently with Closing in the amount of (i) accrued and unpaid interest on the First Lien Secured Notes held by such holder, plus (ii) 65% of any LivePerson Excess Cash (defined as the difference of (1) the LivePerson Cash Balance, minus (b) the LivePerson Minimum Cash; provided that, if a negative number results from such calculation, “LivePerson Excess Cash” shall be $0).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consummation of the Notes Restructuring Transactions, on the terms and subject to the conditions set forth in the Notes Restructuring Agreement, each Second Lien Noteholder has agreed to accept, in full and complete satisfaction of all obligations of LivePerson to such holder, such holder’s pro rata portion of (a) a number of shares of SoundHound Common Stock equal to the quotient of (i) $83,207,733.68, divided by (ii) the SoundHound Closing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SoundHound Common Stock to be issued in connection with the Notes Restructuring Transactions are expected to be issued in reliance on the exemption from registration pursuant to Section 4(a)(2) of the Securities 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Secured Holders are required, among other things, not to solicit alternative business combinations or note restructuring transactions and not to engage in discussions or negotiations regarding an alternative business combination or note restructuring transaction.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The First Lien Noteholder is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Registration Rights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Notes Restructuring Agreement, SoundHound will enter into a Registration Rights Agreement (the “Registration Rights Agreement”) with the holders of the Secured Notes, pursuant to which SoundHound has agreed to provide the holders of the Secured Notes with certain resale registration rights with respect to the shares of SoundHound Common Stock received by such holders pursuant to the Notes Restructuring Agreement (the “Registrable Securities”).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Registration Rights Agreement, SoundHound is required to file a registration statement on Form S-3 on the date of the Registration Rights Agreement to register the Registrable Securities for resale on a delayed or continuous basis pursuant to Rule 415 under the Securities Act (the “Shelf Registration Statement”) and to use its reasonable best efforts to maintain the effectiveness of the Shelf Registration Statement until the Registrable Securities cease to be Registrable Securities. If SoundHound is not eligible to use an automatically effective shelf registration statement, SoundHound is required to use its reasonable best efforts to cause the Shelf Registration Statement to be declared effective as soon as practicable. SoundHound is entitled to delay or suspend the use of the Shelf Registration Statement for up to 45 consecutive calendar days in certain circumstances, subject to a cap of 90 days and two suspensions in any 12-month period.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Shelf Registration Statement is not filed or declared effective within the applicable deadlines, or ceases to be effective or usable for a period in excess of any permitted suspension period (each, a “Registration Default”), SoundHound is required to pay to each holder, as liquidated damages, an amount equal to 1% of such holder’s pro rata portion of the applicable aggregate stock consideration amount for each 30-day period (or pro rata portion thereof) during which such Registration Default continues, subject to an aggregate cap of 3% of such holder’s applicable consideration amount.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Rights Agreement contains customary registration procedures, indemnification provisions and expense allocation provisions. SoundHound has agreed to bear all registration expenses, including certain expenses of counsel subject to a cap of $10,000 per holder (or per group of affiliated holders) for holders’ counsel fees. SoundHound has also agreed to use its reasonable best efforts to facilitate sales under Rule 144 and to remove restrictive legends from the Registrable Securities upon the occurrence of certain specified events. The registration rights may be assigned to affiliates or transferees of Registrable Securities, subject to execution of a joinder agreement and, for certain transfers, a minimum transfer value of $5,000,000.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Rights Agreement may not be amended without the written consent of SoundHound, Lynrock Lake Master Fund LP and holders owning a majority of Registrable Securities, and no amendment that disproportionately and adversely affects any individual holder is effective without that holder’s consent. The Registration Rights Agreement terminates automatically with respect to any holder when such holder no longer holds any Registrable Securities (as defined therein). The Registration Rights Agreement is governed by the laws of the State of Delaware.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5"/>
      <w:bookmarkEnd w:id="15"/>
      <w:r>
        <w:rPr>
          <w:rFonts w:ascii="Times New Roman PS Std;serif" w:hAnsi="Times New Roman PS Std;serif"/>
          <w:b/>
          <w:i w:val="false"/>
          <w:caps w:val="false"/>
          <w:smallCaps w:val="false"/>
          <w:sz w:val="20"/>
        </w:rPr>
        <w:t xml:space="preserve">INTERESTS OF LIVEPERSON’S DIRECTORS AND EXECUTIVE OFFICERS IN 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 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These interests are described in more detail below, and certain of them are quantified in the narrative and tables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non-employee directors since the beginning of the last fiscal year are as follows:</w:t>
      </w:r>
    </w:p>
    <w:tbl>
      <w:tblPr>
        <w:tblW w:w="2633" w:type="dxa"/>
        <w:jc w:val="left"/>
        <w:tblInd w:w="0" w:type="dxa"/>
        <w:tblLayout w:type="fixed"/>
        <w:tblCellMar>
          <w:top w:w="0" w:type="dxa"/>
          <w:left w:w="0" w:type="dxa"/>
          <w:bottom w:w="0" w:type="dxa"/>
          <w:right w:w="0" w:type="dxa"/>
        </w:tblCellMar>
      </w:tblPr>
      <w:tblGrid>
        <w:gridCol w:w="2296"/>
        <w:gridCol w:w="146"/>
        <w:gridCol w:w="191"/>
      </w:tblGrid>
      <w:tr>
        <w:trPr/>
        <w:tc>
          <w:tcPr>
            <w:tcW w:w="2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Fletcher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Nathan “Tripp” Lane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Vanessa Pegueros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Karin-Joyce (K.J.) Tjon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Vardeman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G. Wesemann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Anthony Zingale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Hansen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Jill Layfield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“non-employee directors” of LivePerson in this proxy statement/prospectus shall be a reference to LivePerson’s non-employee directors set forth in the table above. Any reference to “current non-employee directors” of LivePerson in this proxy statement/prospectus shall be a reference to the non-employee directors above, other than Mr. Hansen and Ms. Layfield.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executive officers since the beginning of the last fiscal year are as follows:</w:t>
      </w:r>
    </w:p>
    <w:tbl>
      <w:tblPr>
        <w:tblW w:w="7273" w:type="dxa"/>
        <w:jc w:val="left"/>
        <w:tblInd w:w="0" w:type="dxa"/>
        <w:tblLayout w:type="fixed"/>
        <w:tblCellMar>
          <w:top w:w="0" w:type="dxa"/>
          <w:left w:w="0" w:type="dxa"/>
          <w:bottom w:w="0" w:type="dxa"/>
          <w:right w:w="0" w:type="dxa"/>
        </w:tblCellMar>
      </w:tblPr>
      <w:tblGrid>
        <w:gridCol w:w="2116"/>
        <w:gridCol w:w="146"/>
        <w:gridCol w:w="5011"/>
      </w:tblGrid>
      <w:tr>
        <w:trPr/>
        <w:tc>
          <w:tcPr>
            <w:tcW w:w="21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Chief Operating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L. Greenberg</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and Administrative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and Product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Ford</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Former Chief Accounting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“executive officers” of LivePerson in this proxy statement/prospectus shall be a reference to LivePerson’s executive officers set forth in the table above. Any reference to “current executive officers” of LivePerson in this proxy statement/prospectus shall be a reference to the executive officers above, other than Mr. Ford.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Outstanding LivePerson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treatment of LivePerson equity awards in the Mergers is described under the section entitled “</w:t>
      </w:r>
      <w:r>
        <w:rPr>
          <w:rFonts w:ascii="Times New Roman PS Std;serif" w:hAnsi="Times New Roman PS Std;serif"/>
          <w:b w:val="false"/>
          <w:i/>
          <w:caps w:val="false"/>
          <w:smallCaps w:val="false"/>
          <w:sz w:val="20"/>
        </w:rPr>
        <w:t>The Merger Agreement — Treatment of LivePerson Equity Awards in the Mergers</w:t>
      </w:r>
      <w:r>
        <w:rPr>
          <w:rFonts w:ascii="Times New Roman PS Std;serif" w:hAnsi="Times New Roman PS Std;serif"/>
          <w:b w:val="false"/>
          <w:i w:val="false"/>
          <w:caps w:val="false"/>
          <w:smallCaps w:val="false"/>
          <w:sz w:val="20"/>
        </w:rPr>
        <w:t>” beginning on page 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Outstanding LivePerson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LivePerson’s non-employee directors or executive officers hold In-the-Money Options, and Mr. Hansen, Ms. Layfield, Mr. Ford, and Mr. Zingale do not hold LivePerson equity awards. The following table sets forth the number of shares of LivePerson Common Stock subject to LivePerson RSUs held by the current non-employee directors and current executive officers as of June 25, 2026. The following table also sets forth the estimated value of LivePerson RSUs held by LivePerson’s current non-employee directors and current executive officers, assuming that the price per share of LivePerson Common Stock was $2.71 (the average closing market price of LivePerson Common Stock over the first five business days following the first public announcement of the transaction on April 21, 2026). The amounts shown in the table below do not attempt to forecast any grants or forfeitures of LivePerson equity awards following the date of this proxy statement/prospectus. All dollar amounts have been rounded to the nearest whole dollar.</w:t>
      </w:r>
    </w:p>
    <w:tbl>
      <w:tblPr>
        <w:tblW w:w="5425" w:type="dxa"/>
        <w:jc w:val="left"/>
        <w:tblInd w:w="0" w:type="dxa"/>
        <w:tblLayout w:type="fixed"/>
        <w:tblCellMar>
          <w:top w:w="0" w:type="dxa"/>
          <w:left w:w="0" w:type="dxa"/>
          <w:bottom w:w="0" w:type="dxa"/>
          <w:right w:w="0" w:type="dxa"/>
        </w:tblCellMar>
      </w:tblPr>
      <w:tblGrid>
        <w:gridCol w:w="2296"/>
        <w:gridCol w:w="146"/>
        <w:gridCol w:w="1396"/>
        <w:gridCol w:w="146"/>
        <w:gridCol w:w="1441"/>
      </w:tblGrid>
      <w:tr>
        <w:trPr/>
        <w:tc>
          <w:tcPr>
            <w:tcW w:w="2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 xml:space="preserve">Shares </w:t>
              <w:br/>
              <w:t>Subject to</w:t>
              <w:br/>
              <w:t xml:space="preserve">LivePerson </w:t>
              <w:br/>
              <w:t>RSU Awards</w:t>
              <w:b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br/>
              <w:t>Value of</w:t>
              <w:br/>
              <w:t xml:space="preserve">LivePerson </w:t>
              <w:br/>
              <w:t>RSU Awards</w:t>
              <w:br/>
              <w:t>($)</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Fletcher</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Nathan “Tripp” Lane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63,279</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Vanessa Pegueros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Karin-Joyce (K.J.) Tjon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Vardeman</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63,279</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G. Wesemann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135,271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366,584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227,784</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L. Greenberg</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121,004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43,000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116,530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entered into employment agreements with each of Messrs. Sabino, Collins, and Mina and Ms. Greenberg that provide for certain severance benefits, and, for Mr. Mina, a transaction bonus. None of LivePerson’s non-employee directors or other executive officers have similar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 estimate of the value of the amounts that would be payable to Messrs. Sabino, Collins, and Mina pursuant to their employment agreements, assuming solely for purposes of this transaction-related compensation disclosure that the Closing Date occurred on June 30, 2026 (the assumed Closing Date solely for purposes of this transaction-related compensation disclosure), and each experienced a qualifying termination of employment on such date, see the section entitled “</w:t>
      </w:r>
      <w:r>
        <w:rPr>
          <w:rFonts w:ascii="Times New Roman PS Std;serif" w:hAnsi="Times New Roman PS Std;serif"/>
          <w:b w:val="false"/>
          <w:i/>
          <w:caps w:val="false"/>
          <w:smallCaps w:val="false"/>
          <w:sz w:val="20"/>
        </w:rPr>
        <w:t>Interests of LivePerson’s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beginning on page 102.</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John Sabino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his employment agreement, if Mr. Sabino is terminated by LivePerson without Cause or if he resigns for Good Reason (as such terms are defined in his employment agreement), then, subject to his execution of a general release of claims in favor of LivePerson, he will be entitled to the following severance benefits: (i) continued payment of his base salary for 18 months, (ii) an amount equal to Mr. Sabino’s target annual bonus opportunity for the year of termination, which will be prorated based on the number of days worked during the year of termination, unless the relevant termination event occurs within the three months prior to or during the 12 months following a Change in Control (as defined in his employment agreement), in which case, the amount will not be prorated, (iii) if the prior year’s annual bonus has been earned but not yet paid at the time of termination, payout of the annual bonus amount that would have been paid in the normal course had the termination of employment not occurred, (iv) reimbursement for the differential cost of continuation of his then-current health insurance benefits for Mr. Sabino and his covered dependents under COBRA (provided that Mr. Sabino timely elects COBRA) for a period of 18 months, and (v) if the relevant termination event occurs during the three months prior to or during the 12 months following a Change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Control, (A) all time-based equity awards outstanding as of the date of termination will fully vest, and (B) the treatment of any performance-based equity awards will be determined in accordance with the terms of the applicable award’s grant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John D. Collins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his employment agreement, if Mr. Collins’ employment is terminated by LivePerson without Cause or by Mr. Collins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12 months, (ii) reimbursement for the differential cost of continuation of his then-current health insurance benefits under COBRA (provided that Mr. Collins timely elects COBRA) for a period of 12 months, (iii) a bonus payment equal to his target bonus for the prior completed fiscal year (if not yet paid), (iv) a bonus payment equal to his target bonus prorated for the number of months Mr. Collins was employed during the then-current fiscal year prior to termination, (v) immediate vesting, as of the termination date, of any outstanding unvested options and any other unvested equity awards held by Mr. Collins at the time of termination, and (vi) any vested options will remain exercisable until the earlier of 90 days following his termination and the original expiration date of the applicable option.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Christopher Mina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his employment agreement, if Mr. Mina’s employment is terminated by LivePerson without Cause or by Mr. Mina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six months, (ii) reimbursement for the differential cost of continuation of his then-current health insurance benefits under COBRA (provided that Mr. Mina timely elects COBRA) for a period of six months, (iii) a bonus payment equal to his target bonus for the prior completed fiscal year (if not yet paid), (iv) immediate vesting, as of the termination date, of any outstanding unvested options and any other unvested equity awards held by Mr. Mina at the time of termination, and (v) any vested options will remain exercisable until the earlier of 90 days following his termination and the original expiration date of the applicable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Mina is also eligible to receive a $250,000 transaction bonus upon the Closing, subject to his continued employment through the Closing.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Monica L. Greenberg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her employment agreement, if Ms. Greenberg’s employment is terminated by LivePerson without Cause or by Ms. Greenberg for Good Reason, in either case, within the three-month period immediately prior to or the 12-month period immediately following a Change of Control (as such terms are defined in her employment agreement), then, subject to her execution of a general release of claims in favor of LivePerson, she will be entitled to the following severance benefits: (i) a lump-sum payment equal to her then-current base salary for a period of nine months, (ii) all unvested equity awards granted under LivePerson’s equity plan will automatically and immediately vest and become exercisable upon such termination and remain exercisable until the earlier of the first anniversary of such termination or the expiration of the award term, (iii) reimbursement for the differential cost of continuation of her then-current health insurance benefits under COBRA (provided that Ms. Greenberg timely elects COBRA) for a period of six months, and (iv) if such termination occurs on or before the date that bonuses are paid for a completed fiscal year prior to termination, a payment equal to the bonus she would have received for that prior completed fiscal year had she remained employed on the applicable LivePerson payout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value of the cash severance that would become payable under Ms. Greenberg’s employment agreement is $337,500, assuming she experienced a qualifying termination of employment on June 30, 2026 (the assumed Closing Date solely for purposes of this transaction-related compensation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Arrangements with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none of LivePerson’s non-employee directors or executive officers has entered into any arrangements with SoundHound or any of its affiliates regarding employment with, or the right to purchase or participate in the equity of, the surviving corporation or any of its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Interests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Palogic Value Fund, LP, which is managed by an entity co-founded by Mr. Vardeman and for which he serves as a principal, owns (i) approximately $3.9 million of 2026 Convertible Notes, and (ii) approximately $3.3 million principal amount of Second Lien Secured Notes. Mr. Vardeman disclaims beneficial ownership of these notes, except to the extent of his pecuniary interest therein, if 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Quantification of Potential Payments to LivePerson’s Named Executive Officers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402(t) of Regulation S-K, the following table sets forth, for LivePerson’s named executive officers, compensation that is based on or otherwise relates to the Mergers and that may become payable to or realized by such individuals following certain termination of employment events that occur following the Closing. For purposes of this proxy statement/prospectus, the named executive officers include Messrs. Sabino, Collins, and Mina.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potential payments in the table below are based on the following assumptions: (i) a per-share price for LivePerson Common Stock equal to $2.71 (the average closing market price of LivePerson Common Stock over the first five business days following the first public announcement of the transaction contemplated by the Original Merger Agreement on April 21, 2026); (ii) each named executive officer’s base salary, target bonus level, and equity award holdings as of June 25, 2026; and (iii) that each named executive officer’s employment is terminated by LivePerson without cause on June 30, 2026 (the assumed Closing Date solely for purposes of this transaction-related compensation disclosure). Depending on when the Closing occurs, certain LivePerson RSU Awards that are now unvested and included in the table below may vest pursuant to their terms based on the completion of continued service with LivePerson, independent of the Mergers. Further, the amounts indicated below are estimates based on multiple assumptions that may or may not actually occur, including assumptions described in this proxy statement/prospectus, and do not reflect certain compensation actions that may occur before Closing. As a result, the actual amounts, if any, to be received by a named executive officer may materially differ from the amounts set forth below. All dollar amounts have been rounded to the nearest whole dollar.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7129" w:type="dxa"/>
        <w:jc w:val="left"/>
        <w:tblInd w:w="0" w:type="dxa"/>
        <w:tblLayout w:type="fixed"/>
        <w:tblCellMar>
          <w:top w:w="0" w:type="dxa"/>
          <w:left w:w="0" w:type="dxa"/>
          <w:bottom w:w="0" w:type="dxa"/>
          <w:right w:w="0" w:type="dxa"/>
        </w:tblCellMar>
      </w:tblPr>
      <w:tblGrid>
        <w:gridCol w:w="1771"/>
        <w:gridCol w:w="146"/>
        <w:gridCol w:w="1126"/>
        <w:gridCol w:w="146"/>
        <w:gridCol w:w="1096"/>
        <w:gridCol w:w="146"/>
        <w:gridCol w:w="1381"/>
        <w:gridCol w:w="146"/>
        <w:gridCol w:w="1171"/>
      </w:tblGrid>
      <w:tr>
        <w:trPr/>
        <w:tc>
          <w:tcPr>
            <w:tcW w:w="17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Cash(1)</w:t>
              <w:b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Equity(2)</w:t>
              <w:br/>
              <w: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Perquisites/</w:t>
              <w:br/>
              <w:t>Benefits(3)</w:t>
              <w:b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366,584</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55,705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1,797,289</w:t>
            </w:r>
          </w:p>
        </w:tc>
      </w:tr>
      <w:tr>
        <w:trPr/>
        <w:tc>
          <w:tcPr>
            <w:tcW w:w="1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695,625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227,784</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953,644</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116,530</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15,118</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631,648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xml:space="preserve">” above, the named executive officers are each eligible for cash severance benefits pursuant to their respective employment agreements, subject to their execution and non-revocation of a release of claims. The amounts in this column, other than Mr. Mina’s transaction bonus, are “double-trigger” payments that may be made under the employment agreements, as they will only become payable in the event of a qualifying termination that occurs in connection with the Closing. Below is a breakdown of each component of the cash severance benefits reflected in the table above.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32"/>
        <w:gridCol w:w="146"/>
        <w:gridCol w:w="946"/>
        <w:gridCol w:w="146"/>
        <w:gridCol w:w="1231"/>
        <w:gridCol w:w="146"/>
        <w:gridCol w:w="1231"/>
        <w:gridCol w:w="146"/>
        <w:gridCol w:w="841"/>
        <w:gridCol w:w="146"/>
        <w:gridCol w:w="946"/>
        <w:gridCol w:w="146"/>
        <w:gridCol w:w="1231"/>
        <w:gridCol w:w="146"/>
        <w:gridCol w:w="1325"/>
      </w:tblGrid>
      <w:tr>
        <w:trPr/>
        <w:tc>
          <w:tcPr>
            <w:tcW w:w="1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Annual </w:t>
              <w:br/>
              <w:t xml:space="preserve">Base </w:t>
              <w:br/>
              <w:t>Salary</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Months of</w:t>
              <w:br/>
              <w:t>Severance</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Severance</w:t>
              <w:b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br/>
              <w:t>Target</w:t>
              <w:br/>
              <w:t>Bonus</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2026 </w:t>
              <w:br/>
              <w:t>Target</w:t>
              <w:br/>
              <w:t>Bonus</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w:t>
              <w:br/>
              <w:t>Severance</w:t>
              <w:br/>
              <w:t>($)</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Cash</w:t>
              <w:br/>
              <w:t>Severance</w:t>
              <w:br/>
              <w:t>(sum of</w:t>
              <w:br/>
              <w:t>(d) and (g))</w:t>
              <w:br/>
              <w:t>($)</w:t>
            </w:r>
          </w:p>
        </w:tc>
      </w:tr>
      <w:tr>
        <w:trPr/>
        <w:tc>
          <w:tcPr>
            <w:tcW w:w="14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w:t>
            </w:r>
          </w:p>
        </w:tc>
      </w:tr>
      <w:tr>
        <w:trPr/>
        <w:tc>
          <w:tcPr>
            <w:tcW w:w="1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825,000</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w:t>
            </w:r>
          </w:p>
        </w:tc>
      </w:tr>
      <w:tr>
        <w:trPr/>
        <w:tc>
          <w:tcPr>
            <w:tcW w:w="14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341,250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170,625</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695,625</w:t>
            </w:r>
          </w:p>
        </w:tc>
      </w:tr>
      <w:tr>
        <w:trPr/>
        <w:tc>
          <w:tcPr>
            <w:tcW w:w="1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r>
    </w:tbl>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In addition, Mr. Mina is eligible to receive a $250,000 transaction bonus upon the Closing, subject to his continued employment through the Closing. Mr. Mina’s transaction bonus is a “single-trigger” payment, as it will become payable in connection with the Closing and is not conditioned upon his qualifying termination.</w:t>
      </w:r>
    </w:p>
    <w:p>
      <w:pPr>
        <w:pStyle w:val="TextBody"/>
        <w:keepNext w:val="false"/>
        <w:pageBreakBefore w:val="false"/>
        <w:widowControl/>
        <w:pBdr/>
        <w:bidi w:val="0"/>
        <w:spacing w:before="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value of shares of LivePerson Common Stock subject to LivePerson RSUs that would accelerate on a “double-trigger” basis in connection with the named executive officer’s qualifying termination following Closing,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above. For a summary of the treatment of LivePerson RSUs, see the section entitled “</w:t>
      </w:r>
      <w:r>
        <w:rPr>
          <w:rFonts w:ascii="Times New Roman PS Std;serif" w:hAnsi="Times New Roman PS Std;serif"/>
          <w:b w:val="false"/>
          <w:i/>
          <w:caps w:val="false"/>
          <w:smallCaps w:val="false"/>
          <w:sz w:val="18"/>
        </w:rPr>
        <w:t>The Merger Agreement — Treatment of LivePerson Equity Awards</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in the Mergers</w:t>
      </w:r>
      <w:r>
        <w:rPr>
          <w:rFonts w:ascii="Times New Roman PS Std;serif" w:hAnsi="Times New Roman PS Std;serif"/>
          <w:b w:val="false"/>
          <w:i w:val="false"/>
          <w:caps w:val="false"/>
          <w:smallCaps w:val="false"/>
          <w:sz w:val="18"/>
        </w:rPr>
        <w:t>” beginning on page 75.</w:t>
      </w:r>
    </w:p>
    <w:p>
      <w:pPr>
        <w:pStyle w:val="TextBody"/>
        <w:keepNext w:val="false"/>
        <w:pageBreakBefore w:val="false"/>
        <w:widowControl/>
        <w:pBdr/>
        <w:bidi w:val="0"/>
        <w:spacing w:before="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above, the named executive officers are eligible for reimbursement for the differential cost of continuation of their health insurance benefits under COBRA (provided that they timely elect COBRA and they execute and do not revoke a release of claims) for a period of 18, 12, and six months for Messrs. Sabino, Collins, and Mina, respectively. The amounts in this column are “double-trigger” payments that may be made under the employment agreements, as they will only become payable in the event of a qualifying termination that occurs in connection with the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LivePerson’s non-employee directors and executive officers will be entitled to certain ongoing indemnification and insurance coverage for a period of six years following the Closing under the director’s and officer’s liability insurance policies of LivePerson. For additional information with respect to the indemnification and insurance coverage, see the section of this proxy statement/prospectus entitled “</w:t>
      </w:r>
      <w:r>
        <w:rPr>
          <w:rFonts w:ascii="Times New Roman PS Std;serif" w:hAnsi="Times New Roman PS Std;serif"/>
          <w:b w:val="false"/>
          <w:i/>
          <w:caps w:val="false"/>
          <w:smallCaps w:val="false"/>
          <w:sz w:val="20"/>
        </w:rPr>
        <w:t>The Merger Agreement — Indemnification; Directors’ and Officers’ Insurance</w:t>
      </w:r>
      <w:r>
        <w:rPr>
          <w:rFonts w:ascii="Times New Roman PS Std;serif" w:hAnsi="Times New Roman PS Std;serif"/>
          <w:b w:val="false"/>
          <w:i w:val="false"/>
          <w:caps w:val="false"/>
          <w:smallCaps w:val="false"/>
          <w:sz w:val="20"/>
        </w:rPr>
        <w:t>” beginning on page 91.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6"/>
      <w:bookmarkEnd w:id="16"/>
      <w:r>
        <w:rPr>
          <w:rFonts w:ascii="Times New Roman PS Std;serif" w:hAnsi="Times New Roman PS Std;serif"/>
          <w:b/>
          <w:i w:val="false"/>
          <w:caps w:val="false"/>
          <w:smallCaps w:val="false"/>
          <w:sz w:val="20"/>
        </w:rPr>
        <w:t xml:space="preserve">MATERIAL U.S. FEDERAL INCOME TAX CONSEQUENCES OF 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the material U.S. federal income tax consequences to U.S. Holders and Non-U.S. Holders (each as defined below) who exchange shares of LivePerson Common Stock for cash or shares of SoundHound Common Stock in the Mergers. This summary is based on provisions of the Internal Revenue Code of 1986, as amended (the “Code”), Treasury regulations promulgated thereunder and administrative and judicial interpretations thereof, each in effect as of the date of this proxy statement/prospectus, and all of which are subject to change, possibly with retroactive effect. SoundHound and LivePerson have not sought, and do not intend to seek, a ruling from the IRS or an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applies only to Holders (as defined below) of LivePerson Common Stock who hold their LivePerson Common Stock as a “capital asset” within the meaning of Section 1221 of the Code (generally, property held for investment). This summary does not address all aspects of U.S. federal income taxation that may be relevant to a Holder in light of its particular circumstances, or that may apply to a Holder subject to special treatment under U.S. federal income tax laws (e.g., regulated investment companies, real estate investment trusts, mutual funds, controlled foreign corporations, foreign controlled foreign corporations, passive foreign investment companies, cooperatives, banks and certain other financial institutions, insurance companies, government organizations, tax-exempt organizations, retirement plans or other tax-deferred accounts, a corporation that accumulates earnings to avoid U.S. federal income tax, stockholders that are, or hold LivePerson Common Stock through, a partnership (or other entity or arrangement treated as a partnership for U.S. federal income tax purposes), U.S. Holders whose functional currency is not the United States dollar, dealers or brokers in stocks, securities, commodities or foreign currency, dealers or traders that mark-to-market their securities, expatriates and former long-term residents of the United States, persons that own or have owned (or are deemed to own or to have owned under certain constructive ownership rules) 5% or more (by vote or value) of the outstanding shares of LivePerson Common Stock, stockholders holding LivePerson Common Stock as part of a straddle, hedging, constructive sale or conversion transaction or other risk reduction transaction or integrated instrument, stockholders that purchase or sell LivePerson Common Stock as part of a wash sale for tax purposes, accrual-method taxpayers subject to special tax accounting rules under Section 451(b) of the Code, stockholders holding LivePerson Common Stock as qualified small business stock for purposes of Sections 1045 and/or 1202 of the Code or as “Section 1244 stock”, and stockholders who received their LivePerson Common Stock pursuant to the exercise of any employee stock option or otherwise as compensation). In addition, this discussion does not address any state, local or non-U.S. tax consequences, any considerations with respect to any withholding required pursuant to the Foreign Account Tax Compliance Act of 2010 (including the U.S. Treasury regulations promulgated thereunder and intergovernmental agreements entered into in connection therewith and any laws, regulations or practices adopted in connection with any such agreement), the Medicare contribution tax applicable to net investment income of certain non-corporate Holders of LivePerson Common Stock, or the alternative minimum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the term “U.S. Holder” means a beneficial owner of LivePerson Common Stock that is, for U.S. federal income tax purposes: (i) an individual citizen or resident of the United States; (ii) 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United States court is able to exercise primary supervision over the trust’s administration and one or more U.S. persons (within the meaning of Section 7701(a)(30) of the Code) have authority to control all of the trust’s substantial decisions or (B) it has validly elected to be treated as a U.S. person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the term “Non-U.S. Holder” means a beneficial owner of LivePerson Shares that is neither a U.S. Holder nor a partnership (or other entity or arrangement treated as a partnership)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“Holder” or “Holders” means a U.S. Holder or a Non-U.S.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partnership (or other entity or arrangement treated as a partnership) for U.S. federal income tax purposes is the beneficial owner of LivePerson Common Stock, the tax treatment of its partners or members generally will depend upon the status of the partner or member, the partnership’s activities, and certain determinations made at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partner or member level. Accordingly, partnerships that beneficially own LivePerson Common Stock, and partners or members in such partnerships, are urged to consult their own tax advisors regarding the specific U.S. federal income tax consequences to them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summary is for general informational purposes only and is not tax advice. Because individual circumstances may differ, each Holder of LivePerson Common Stock should consult its own tax advisor as to the applicability and effect of the rules summarized below and the particular tax consequences of the Mergers to it,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Consequences of the Mergers to U.S. Holders and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federal income tax purposes, the exchange by a Holder of shares of LivePerson Common Stock for cash or shares of SoundHound Common Stock (and the receipt of cash in lieu of any fractional shares of SoundHound Common Stock) pursuant to the Mergers is intended to be treated as a taxable sale described in Section 1001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exchange of shares of LivePerson Common Stock for cash or shares of SoundHound Common Stock (and the receipt of cash in lieu of any fractional shares of SoundHound Common Stock) pursuant to the Mergers is treated for U.S. federal income tax purposes as a taxable sale described in Section 1001, a U.S. Holder generally will recognize capital gain or loss for U.S. federal income tax purposes in an amount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adjusted tax basis in its shares of LivePerson Common Stock will generally equal the price the U.S. Holder paid for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capital gain or loss recognized will be long-term capital gain or loss if the U.S. Holder’s holding period for such shares of LivePerson Common Stock exceeds one year as of the Closing Date. Long-term capital gain recognized by certain non-corporate U.S. Holders, including individuals, is currently taxed at preferential U.S. federal income tax rates. The deductibility of capital losses is subject to limitations. Gain or loss generally will be determined separately for each block of shares of LivePerson Common Stock (that is, shares of LivePerson Common Stock acquired at the same cost in a single transaction) exchanged pursuant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tax basis in the shares of SoundHound Common Stock received in the First Merger generally will equal the fair market value as of the Closing Date of such shares. A U.S. Holder’s holding period in the shares of SoundHound Common Stock received in the First Merger generally will begin on the day following the Closing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receives cash in lieu of any fractional shares of SoundHound Common Stock may be treated as if such U.S. Holder had received such fractional share of SoundHound Common Stock pursuant to the First Merger and as if such fractional share of SoundHound Common Stock had then been redeemed for cash by SoundHound. Such redemption generally would be treated as a distribution in exchange for such U.S. Holder’s fractional share generally resulting in such U.S. Holder recognizing gain or loss equal to the difference, if any, between the amount of cash received and the tax basis in such fractional share, determined as described above (unless the receipt of cash has the effect of a distribution of a dividend under applicable provisions of the Code, in which case such cash received would be treated as a dividend to the extent of such U.S. Holder’s ratable share of the earnings and profits of SoundHound, as determined for U.S. federal income tax purposes, with any amount not treated as a dividend for U.S. federal income tax purposes first constituting a return of capital and reducing (but not below zero) such U.S. Holder’s tax basis in its SoundHound Common Stock and any excess treated as capital gain).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under “</w:t>
      </w:r>
      <w:r>
        <w:rPr>
          <w:rFonts w:ascii="Times New Roman PS Std;serif" w:hAnsi="Times New Roman PS Std;serif"/>
          <w:b w:val="false"/>
          <w:i/>
          <w:caps w:val="false"/>
          <w:smallCaps w:val="false"/>
          <w:sz w:val="20"/>
        </w:rPr>
        <w:t>Information Reporting and Backup Withholding</w:t>
      </w:r>
      <w:r>
        <w:rPr>
          <w:rFonts w:ascii="Times New Roman PS Std;serif" w:hAnsi="Times New Roman PS Std;serif"/>
          <w:b w:val="false"/>
          <w:i w:val="false"/>
          <w:caps w:val="false"/>
          <w:smallCaps w:val="false"/>
          <w:sz w:val="20"/>
        </w:rPr>
        <w:t>” below, any gain realized by a Non-U.S. Holder upon exchange of shares of LivePerson Common Stock for cash or shares of SoundHound Common Stock (and the receipt of cash in lieu of any fractional shares of SoundHound Common Stock) pursuant to the Mergers generally will not be subject to U.S. federal income tax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such gain is effectively connected with the Non-U.S. Holder’s conduct of a trade or business in the United States (and, if required by an applicable tax treaty, is attributable to a permanent establishment maintained by such Non-U.S. Holder in the United States), in which case the Non-U.S. Holder generally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 taxed on a net income basis generally in the same manner as a U.S. Holder, except that if the Non-U.S. Holder is a foreign corporation, an additional branch profits tax may apply at a rate of 30% (or a lower applicable treaty rate) on such effectively connected gain, as adjusted for certain items;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Non-U.S. Holder is an individual who is present in the United States for 183 days or more in the taxable year of the Closing Date, as the case may be, and certain other conditions are met, in which case such Non-U.S. Holder generally will be subject to a 30% U.S. federal income tax (or a lower rate under an applicable income tax treaty) on such gain;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Common Stock constitutes a “United States real property interest” (a “USRPI”) by reason of LivePerson’s status as a U.S. real property holding corporation (a “USRPHC”) for U.S. federal income tax purposes. LivePerson believes that it will not have been a USRPHC at any time within the five-year period ending on the Closing Date. Even if LivePerson were a USRPHC, gain arising from the sale or other taxable disposition by a Non-U.S. Holder of shares of LivePerson Common Stock will not be subject to U.S. federal income tax imposed on the disposition of a USRPI if such stock is “regularly traded,” as defined by applicable U.S. Treasury regulations, on an established securities market, and such Non-U.S. Holder owned, actually and constructively, 5% or less of such stock throughout the shorter of the five-year period ending on the Closing Date or the Non-U.S. Holder’s holding period, or if another exception from these rules under the Code applies.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in certain circumstances, the receipt of cash in lieu of a fractional share of SoundHound Common Stock pursuant to the First Merger could be treated as a dividend. For a Non-U.S. Holder, any amount so treated generally would be subject to U.S. withholding tax at a rate of 30% (or such lower rate as may be specified by an applicable tax treaty) unless such dividend is effectively connected with the Non-U.S. Holder’s conduct of a trade or business within the United States (and, if required by an applicable tax treaty, is attributable to a permanent establishment maintained by such Non-U.S. Holder in the United States). Accordingly, an applicable withholding agent may withhold at a rate of 30% (or such lower rate as may be specified by an applicable tax treaty) on any cash in lieu of any fractional shares received by a Non-U.S. Holder pursuant to the First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generally will apply to the receipt of cash or SoundHound Common Stock by a Holder in exchange for LivePerson Common Stock (and the receipt of cash in lieu of any fractional shares of SoundHound Common Stock) pursuant to the Mergers, unless such Holder is an entity that is exempt from information reporting and, when required, properly demonstrates its eligibility for exemption. The receipt of cash or shares of SoundHound Common Stock by a Holder in exchange for shares of LivePerson Common Stock pursuant to the Mergers generally will also be subject to backup withholding (currently, at a rate of twenty-four percent (24%)), unless (i) in the case of a U.S. Holder, such U.S. Holder provides the appropriate documentation (generally, IRS Form W-9) to the applicable withholding agent certifying that, among other things, its taxpayer identification number is correct, or otherwise establishes an exemption and (ii) in the case of a Non-U.S. Holder, such Non-U.S. Holder certifies under penalties of perjury that it is not a U.S. person (generally by providing an IRS Form W-8BEN, IRS Form W-8BEN-E or other applicable IRS Form W-8) or otherwise establishes an exemption. Non-U.S. Holders are urged to consult their own tax advisors to determine which IRS Form W-8 is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Holders of shares of LivePerson Common Stock (including corporations) generally are not subject to backup withholding. Backup withholding is not an additional tax. Any amounts withheld under the backup withholding rules generally will be allowed as a refund or a credit against a Holder’s U.S. federal income tax liability if the required information is properly and timely furnished by such Holder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FOREGOING DOES NOT SUMMARIZE ALL ASPECTS OF U.S. FEDERAL INCOME TAXATION THAT MAY BE RELEVANT TO PARTICULAR HOLDERS. HOLDERS ARE URGED TO CONSULT THEIR OWN TAX ADVISOR REGARDING THE PARTICULAR TAX CONSEQUENCES TO THEM OF THE MERGERS IN LIGHT OF THEIR PARTICULAR CIRCUMSTANCES, INCLUDING THE APPLICATION AND EFFECT OF ANY FEDERAL, STATE, LOCAL, NON-U.S. OR OTHER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7"/>
      <w:bookmarkEnd w:id="17"/>
      <w:r>
        <w:rPr>
          <w:rFonts w:ascii="Times New Roman PS Std;serif" w:hAnsi="Times New Roman PS Std;serif"/>
          <w:b/>
          <w:i w:val="false"/>
          <w:caps w:val="false"/>
          <w:smallCaps w:val="false"/>
          <w:sz w:val="20"/>
        </w:rPr>
        <w:t xml:space="preserve">COMPARISON OF RIGHTS OF STOCKHOLDERS OF SOUNDHOUND AND </w:t>
        <w:br/>
        <w:t xml:space="preserve">STOCKHOLDERS OF LIVEPERSON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both incorporated under the laws of the State of Delaware. Upon completion of the Mergers, the certificate of incorporation and bylaws of Merger Sub II in effect immediately prior to the Second Effective Time will be the certificate of incorporation and bylaws of the combined company. The rights of LivePerson stockholders who receive shares of SoundHound Common Stock as a result of the First Merger will be governed by the DGCL, the SoundHound charter and the SoundHound bylaws. The following discussion summarizes certain material differences between the rights of holders of LivePerson Common Stock and SoundHound Common Stock resulting from the differences in their governing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purport to be a complete statement of the rights of holders of SoundHound Common Stock under the DGCL, the SoundHound charter and the SoundHound bylaws or the rights of holders of LivePerson Common Stock under the DGCL, the LivePerson charter and the LivePerson bylaws, and is qualified in its entirety by reference to the governing corporate documents of SoundHound and LivePerson and applicable law. For more information,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tbl>
      <w:tblPr>
        <w:tblW w:w="10205" w:type="dxa"/>
        <w:jc w:val="left"/>
        <w:tblInd w:w="0" w:type="dxa"/>
        <w:tblLayout w:type="fixed"/>
        <w:tblCellMar>
          <w:top w:w="0" w:type="dxa"/>
          <w:left w:w="0" w:type="dxa"/>
          <w:bottom w:w="0" w:type="dxa"/>
          <w:right w:w="0" w:type="dxa"/>
        </w:tblCellMar>
      </w:tblPr>
      <w:tblGrid>
        <w:gridCol w:w="6319"/>
        <w:gridCol w:w="146"/>
        <w:gridCol w:w="3740"/>
      </w:tblGrid>
      <w:tr>
        <w:trPr/>
        <w:tc>
          <w:tcPr>
            <w:tcW w:w="631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74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Stock</w:t>
            </w:r>
          </w:p>
        </w:tc>
      </w:tr>
      <w:tr>
        <w:trPr/>
        <w:tc>
          <w:tcPr>
            <w:tcW w:w="631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authorizes 800,000,000 shares of capital stock, consisting of 755,000,000 shares of Class A Common Stock, 44,000,000 shares of Class B Common Stock and 1,000,000 shares of Preferred Stock, each with a par value of $0.0001 per share. The SoundHound board of directors is authorized, subject to Delaware law, to issue Preferred Stock in one or more series and to fix the designations, powers, preferences, rights, qualifications, limitations and restrictions of each such series by certificate of designation. The SoundHound charter provides that the number of SoundHound’s authorized shares of Preferred Stock may also be increased or decreased by the then-outstanding shares of capital stock of SoundHound entitled to vote thereon, without a separate vote of the holders of the Preferred Stock or any series thereof, unless a vote of any such holders is required under the terms of any certificate of designation designating a series of Preferred Stock. As of the Record Date, there were 403,138,772 shares of Class A Common Stock, 32,535,408 shares of Class B Common Stock and zero shares of Preferred Stock outstanding.</w:t>
            </w:r>
          </w:p>
        </w:tc>
        <w:tc>
          <w:tcPr>
            <w:tcW w:w="146" w:type="dxa"/>
            <w:tcBorders/>
          </w:tcPr>
          <w:p>
            <w:pPr>
              <w:pStyle w:val="TableContents"/>
              <w:bidi w:val="0"/>
              <w:spacing w:before="0" w:after="283"/>
              <w:jc w:val="left"/>
              <w:rPr/>
            </w:pPr>
            <w:r>
              <w:rPr/>
              <w:t> </w:t>
            </w:r>
          </w:p>
        </w:tc>
        <w:tc>
          <w:tcPr>
            <w:tcW w:w="37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authorizes 20,000,000 shares of Common Stock and 5,000,000 shares of Preferred Stock, each with a par value of $0.001 per share. The LivePerson board of directors is authorized, subject to Delaware law, to issue Preferred Stock in series, and to fix the designations, powers, preferences and rights of the shares of each such series and the qualifications, limitations or restrictions thereof by certificate of designation. As of the Record Date, there were 12,332,427 shares of LivePerson Common Stock and zero shares of Preferred Stock outstanding.</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tc>
      </w:tr>
      <w:tr>
        <w:trPr/>
        <w:tc>
          <w:tcPr>
            <w:tcW w:w="631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the number of directors will be fixed solely and exclusively by resolution of the SoundHound board of directors, subject to the rights of the holders of any series of Preferred Stock. Directors are elected at each annual meeting for terms expiring at the succeeding annual meeting and hold office until their successors are elected and qualified, or until their earlier death, resignation or removal. The SoundHound bylaws provide that the board will consist of not fewer than one and not more than nine directors, with the exact number fixed from time to time by the board of directors, and that directors need not be SoundHound stockholders.</w:t>
            </w:r>
          </w:p>
        </w:tc>
        <w:tc>
          <w:tcPr>
            <w:tcW w:w="146" w:type="dxa"/>
            <w:tcBorders/>
          </w:tcPr>
          <w:p>
            <w:pPr>
              <w:pStyle w:val="TableContents"/>
              <w:bidi w:val="0"/>
              <w:spacing w:before="0" w:after="283"/>
              <w:jc w:val="left"/>
              <w:rPr/>
            </w:pPr>
            <w:r>
              <w:rPr/>
              <w:t> </w:t>
            </w:r>
          </w:p>
        </w:tc>
        <w:tc>
          <w:tcPr>
            <w:tcW w:w="37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number of directors will be not less than 3 and not more than 15 (exclusive of directors, if any, to be elected by holders of Preferred Stock, voting separately as a class). The LivePerson board of directors is divided into 3 classes: Class I, Class II, and Class III, each of which to be as nearly equal in number as possible. The LivePerson bylaws provide that the directors are elected for a term of 3 years and hold office until their successors are elected and qualified. Directors need not be LivePerson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54"/>
        <w:gridCol w:w="146"/>
        <w:gridCol w:w="3905"/>
      </w:tblGrid>
      <w:tr>
        <w:trPr/>
        <w:tc>
          <w:tcPr>
            <w:tcW w:w="61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9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series of Preferred Stock, SoundHound directors may be removed either for or without cause by the affirmative vote of the holders of a majority of the voting power of the then-outstanding shares of capital stock of SoundHound entitled to vote generally in the election of directors, voting together as a single class. The SoundHound bylaws similarly provide that directors may be removed by a majority of the voting power of the holders of SoundHound’s outstanding shares then entitled to vote in an election of directors, except that if the board is classified, removal may be effected only for cause. In the event that a director is removed, a new director may be elected at the same time for the unexpired portion of the full term of the director who was previously removed.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LivePerson directors may be removed at any time, but only for cause, by the affirmative vote of 66.67% of the outstanding shares of capital stock entitled to vote generally in the election of directors.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Filling Vacancies on the Board of Directors</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holders of any series of Preferred Stock, newly created directorships and vacancies on the SoundHound board, including unfilled vacancies resulting from removal, may be filled only by the vote of a majority of the remaining directors then in office, even if less than a quorum, or by the sole remaining director. Subject to the rights of holders of any series of Preferred Stock, a director elected to fill a vacancy resulting from the death, resignation or removal of a director will serve for the remainder of the full term of the director whose death, resignation or removal created the vacancy and until such director’s successor has been elected and qualified.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Vacancies and newly created directorships resulting from any increase in the number of authorized directors may be filled by the affirmative vote of a majority of the directors then in office, though less than a quorum, or by the sole remaining director. A director elected to fill such vacancy will hold office until the next annual election at which such director’s class is to be elected and until their successors are duly elected and shall qualify.</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Certificate of Incorporation</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reserves the right to amend, alter, change or repeal any provision of its charter in the manner prescribed by the charter and the DGCL. However, subject to the provisions in the SoundHound charter governing authorized share changes and Preferred Stock, no provision of Article IV, Article V, Article VI, Section 7.1, Section 7.3, Article VIII, Article IX or Article X may be amended, repealed or altered, and no bylaw inconsistent with the provisions of those Articles or Sections may be adopted, unless such change is approved by the affirmative vote of holders of at least a majority of the voting power of the outstanding shares entitled to vote generally in the election of directors, voting together as a single class, in addition to any other vote required by law or the charter. SoundHound has opted out of separate class votes under DGCL Section 242(b)(2) for increases or decreases in authorized shares of Class A Common Stock or Class B Common Stock, and has elected to be governed by DGCL Section 242(d).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reserves the right to amend, alter, change or repeal any provision of its charter in a manner prescribed by the charter. However, the provisions set forth in Article V, Article VI, Article VII, Article VIII, Article IX and Article X may not be repealed, altered, amended or rescinded in any respect unless such change is approved by the affirmative vote of the holders of at least 66.67% of the outstanding shares of capital stock entitled to vote generally in the election of directors (considered for this purpose as a single class) cast at a meeting of stockholders called for that purpose.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94"/>
        <w:gridCol w:w="146"/>
        <w:gridCol w:w="4865"/>
      </w:tblGrid>
      <w:tr>
        <w:trPr/>
        <w:tc>
          <w:tcPr>
            <w:tcW w:w="519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486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Bylaws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SoundHound’s board of directors is expressly authorized to make, alter and repeal the bylaws, subject to the limitations in the charter. SoundHound stockholders may adopt, amend, alter or repeal the bylaws by the affirmative vote of holders of at least a majority of the voting power of all then-outstanding shares entitled to vote generally in the election of directors, voting together as a single class, in addition to any vote required by law, the charter or any Preferred Stock designation. No bylaw adopted by stockholders will invalidate any prior board action that would have been valid if such bylaw had not been adopted.</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is expressly authorized to adopt, repeal, alter, amend and rescind the LivePerson bylaws by the affirmative vote of at least 66.67% of the board of directors. LivePerson stockholders may repeal, alter, amend or rescind the LivePerson bylaws by the affirmative vote of at least 66.67% of the outstanding shares of capital stock entitled to vote generally in the election of directors (considered for this purpose as a single class) cast at a meeting of stockholders called for that purpose.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Meetings of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provide that written notice of an annual meeting stating the place, date and hour of the meeting must be given to each stockholder entitled to vote at the meeting not less than 10 nor more than 60 days before the annual meeting. For special meetings, written notice stating the time, place and purpose or purposes of the meeting must be given to each stockholder entitled to vote at the meeting not less than 10 nor more than 60 days before the meeting date. Business transacted at a special meeting is limited to the purposes stated in the notice. The holders of a majority of the voting power of SoundHound’s stock issued and outstanding and entitled to vote shall constitute a quorum at all meetings of the stockholders for the transaction of business.</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written notice of an annual meeting stating the place, date and hour of the meeting shall be given to each LivePerson stockholder entitled to vote not fewer than 10 nor more than 60 days before the date of the meeting. For special meetings, written notice stating the place, date, hour and purpose or purposes of the meeting shall be given not fewer than 10 nor more than 60 days before the date of the meeting to each stockholder entitled to vote at such meeting. The holders of a majority of the voting power of LivePerson’s stock issued and outstanding and entitled to vote shall constitute a quorum at all annual meetings of the stockholders for the transaction of business. The holders of at least 33.333% of the voting power of LivePerson’s stock issued and outstanding and entitled to vote shall constitute a quorum at all special meetings of the stockholders for the transaction of business.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to Call Special Meeting of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subject to the rights of the holders of any series of Preferred Stock and applicable law, special meetings of SoundHound stockholders may be called only by the Chairman of the SoundHound board of directors, the Chief Executive Officer or the board of directors pursuant to a resolution adopted by a majority of the board, and stockholders are specifically denied the ability to call a special meeting. </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special meetings of stockholders, for any purpose or purposes, may only be called by the Chairman of the LivePerson board of directors or the President, and special meetings shall be called by the Chairman of the board of directors, the President or the Secretary, at the written request two-thirds of the LivePerson board of directors. LivePerson stockholders do not have the right to call a special meeting.</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Nominations and Proposals by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provide that business may be brought before an annual meeting only if specified in the meeting notice, otherwise brought before the meeting by or at the direction of the SoundHound board of directors, or otherwise properly brought by a stockholder who gives timely written notice to SoundHound’s Secretary. To be timely, a stockholder proposal notice generally must be delivered to or mailed and received at SoundHound’s principal executive offices not less than 60 nor more than 90 days before the meeting, except that if less than 70 days’ notice or prior public disclosure of the meeting date is given, notice must be received by the close of business on the tenth day following the day on which notice of the date of the annual meeting was mailed, or such public disclosure was made, whichever first occurs.</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business may be brought before an annual meeting only if specified in the meeting notice, otherwise brought before the meeting by or at the direction of the LivePerson board of directors, or otherwise properly brought by a LivePerson stockholder who gives timely written notice to LivePerson’s Secretary. To be timely, a stockholder proposal notice must be delivered to the Secretary at the principal executive offices not less than 90 nor more than 120 days before the first anniversary of the preceding year’s annual meeting, except that if the annual meeting is more than 30 days before or more than 70 days after such anniversary date, notice by a stockholder must be delivered no earlier than 120 days before the meeting and no later than 90 days prior to the meeting or the close of business on the 10th day following the public disclosure of the meeting date.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330"/>
        <w:gridCol w:w="146"/>
        <w:gridCol w:w="4729"/>
      </w:tblGrid>
      <w:tr>
        <w:trPr/>
        <w:tc>
          <w:tcPr>
            <w:tcW w:w="53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472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Access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do not provide stockholders with proxy access rights permitting stockholder nominees to be included in SoundHound’s proxy materials.</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do not provide LivePerson stockholders with proxy access rights permitting stockholder nominees to be included in LivePerson proxy materials.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of Officers, Directors and Employees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SoundHound will, to the fullest extent permitted by Section 145 of the DGCL, indemnify all persons whom it may indemnify under that section. The charter also provides that expenses incurred by an officer or director in defending an action, suit, or proceeding for which such officer or director may be entitled to indemnification will be paid by SoundHound in advance of the final disposition of such action, suit or proceeding upon receipt of an undertaking by such officer or director to repay such amounts if it is ultimately determined that the person is not entitled to indemnification. The bylaws provide indemnification for directors, officers, employees and agents regarding expenses, judgments, and amounts incurred in connection with a proceeding if they acted in good faith and in a manner they reasonably believed to be not opposed to the best interests of SoundHound, and with respect to any criminal proceeding, had no reasonable cause to believe their conduct was unlawful. A director of SoundHound will not be personally liable to SoundHound or its stockholders for monetary damages for breach of fiduciary duty, except for liability arising from a breach of the director’s duty of loyalty, for actions taken not in good faith or which involve intentional misconduct or a knowing violation of law, under Section 174 of the DGCL, or for any transaction from which the director derived an improper personal benefit. Officers of SoundHound will not be personally liable to SoundHound or its stockholders for monetary damages for breach of fiduciary duty to the fullest extent permitted by the DGCL.</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LivePerson may, to the fullest extent permitted by Section 145 of the DGCL, indemnify each person who was or is a party or is threatened to be made a party to any threatened, pending or completed action, suit or proceeding, whether civil, criminal, administrative or investigative, by reason of the fact that such person is or was a director or officer of LivePerson, or is or was serving at the request of LivePerson as a director, officer or trustee of another corporation, partnership, joint venture, trust or other enterprise, against all expenses (including attorneys’ fees), judgments, fines and amounts paid in settlement actually and reasonably incurred in connection with such action, suit or proceeding. Indemnification may include payment of expenses in advance of the final disposition of a proceeding upon receipt of an undertaking by such director or officer to repay such amounts if it is ultimately determined that such person is not entitled to indemnification. No director of LivePerson shall be personally liable to LivePerson or its stockholders for monetary damages for any breach of fiduciary duty as a director, except to the extent that the DGCL prohibits the elimination or limitation of such liability. The LivePerson charter also permits LivePerson to purchase and maintain directors’ and officers’ liability insurance.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the SoundHound charter or applicable law, holders of Class A Common Stock and Class B Common Stock vote together as a single class on all matters, including director elections. Except as otherwise required by law, holders of shares of Class A Common Stock and Class B Common Stock are not entitled to vote on any amendment to the SoundHound charter that relates solely to the terms of one or more outstanding series of Preferred Stock if the holders of such affected series of Preferred Stock are entitled to vote thereon. Each share of Class A Common Stock carries one vote, and each share of Class B Common Stock carries ten votes.</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LivePerson Common Stock is entitled to one vote in respect of each share of stock held of record for the election of directors and on all matters submitted to a vote of stockholders. Holders of Preferred Stock shall vote together with holders of LivePerson Common Stock as a single class, subject to any special or preferential voting rights of any then outstanding Preferred Stock. There is no cumulative voting.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46"/>
        <w:gridCol w:w="146"/>
        <w:gridCol w:w="3313"/>
      </w:tblGrid>
      <w:tr>
        <w:trPr/>
        <w:tc>
          <w:tcPr>
            <w:tcW w:w="67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3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Vote Requirements for Certain Transactions</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shares of Class A Common Stock or Class B Common Stock may not be subdivided, combined or reclassified unless the shares of the other class are proportionately subdivided, combined or reclassified in a way that maintains the same proportionate equity ownership between the holders of the outstanding Class A Common Stock and Class B Common Stock, unless a different or disproportionate treatment is approved by holders of a majority of the voting power all then-outstanding shares of Class A Common Stock and Class B Common Stock, each voting separately as a class. In a merger, consolidation or substantially similar transaction, distributions or payments must be made ratably on a per-share basis among the holders of Class A Common Stock and Class B Common Stock as a single class, unless the only difference is that securities distributed on Class B shares have ten times the voting power of securities distributed on Class A shares or the transaction is approved by holders of a majority of the voting power of all then-outstanding shares of each class, each voting separately.</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does not otherwise impose a higher vote standard for approval of mergers or consolidations beyond the requirements of the DGCL.</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Renouncement of Corporate Opportunities</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its charter, SoundHound renounces any interest or expectancy in certain “Included Opportunities,” and the corporate opportunity doctrine does not apply to SoundHound or to directors who are not also officers with respect to such Included Opportunities. “Included Opportunities” include business opportunities relating to conversational intelligence, voice artificial intelligence, voice interaction technology, automated voice technology, voice-enable products, voice-enable computing or voice-enable technologies, unless the opportunity is presented to an outside director of SoundHound solely in that person’s capacity as a SoundHound director.</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LivePerson charter nor bylaws provides for the renouncement of corporate opportunities.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Statutory Approval of a Merger</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251 of the DGCL, subject to certain exceptions, a merger generally must be approved by the board of directors and by the affirmative vote of holders of at least a majority of the outstanding shares entitled to vote, unless the corporation’s charter requires a higher vote. The SoundHound charter does not impose a higher vote standard for approval of mergers, but it does require separate Class A and Class B approval for certain disparate merger or consolidation consideration, as described above.</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251 of the DGCL, subject to certain exceptions, a merger generally must be approved by the board of directors and by the affirmative vote of holders of at least a majority of the outstanding shares entitled to vote, unless the corporation’s charter requires a higher vote. The LivePerson charter does not impose a higher vote standard for approval of mergers beyond the requirements of the DGCL.</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Action Without a Meeting</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unless otherwise provided in the bylaws, any action required or permitted to be taken by stockholders must be effected at a duly called annual or special meeting and may not be effected by written consent. The SoundHound bylaws provide that, unless otherwise provided by the charter or by board resolution, no action required or permitted to be taken at any annual or special meeting of stockholders may be taken without a meeting.</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LivePerson stockholders may not take any action by written consent in lieu of a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717"/>
        <w:gridCol w:w="146"/>
        <w:gridCol w:w="5342"/>
      </w:tblGrid>
      <w:tr>
        <w:trPr/>
        <w:tc>
          <w:tcPr>
            <w:tcW w:w="47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53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tc>
      </w:tr>
      <w:tr>
        <w:trPr/>
        <w:tc>
          <w:tcPr>
            <w:tcW w:w="47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of SoundHound stockholders are governed by Section 262 of the DGCL. Under Section 262, a stockholder may be entitled to appraisal in certain mergers or consolidations if the stockholder has not voted in favor of, or consented in writing to, the transaction and otherwise complies with the statutory procedures. However, appraisal rights are generally unavailable for shares listed on a national securities exchange or held by more than 2,000 holders where the merger consideration consists only of qualifying stock, cash in lieu of fractional shares or a permitted combination of the foregoing, subject to statutory exceptions.</w:t>
            </w:r>
          </w:p>
        </w:tc>
        <w:tc>
          <w:tcPr>
            <w:tcW w:w="146" w:type="dxa"/>
            <w:tcBorders/>
          </w:tcPr>
          <w:p>
            <w:pPr>
              <w:pStyle w:val="TableContents"/>
              <w:bidi w:val="0"/>
              <w:spacing w:before="0" w:after="283"/>
              <w:jc w:val="left"/>
              <w:rPr/>
            </w:pPr>
            <w:r>
              <w:rPr/>
              <w:t> </w:t>
            </w:r>
          </w:p>
        </w:tc>
        <w:tc>
          <w:tcPr>
            <w:tcW w:w="534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of LivePerson stockholders are governed by Section 262 of the DGCL. Under Section 262, a stockholder may be entitled to appraisal in certain mergers or consolidations if the stockholder has not voted in favor of, or consented in writing to, the transaction and otherwise complies with the statutory procedures. However, appraisal rights are generally unavailable for shares listed on a national securities exchange or held by more than 2,000 holders where the merger consideration consists only of qualifying stock, cash in lieu of fractional shares or a permitted combination of the foregoing, subject to statutory exceptions.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Forum Selection</w:t>
            </w:r>
          </w:p>
        </w:tc>
      </w:tr>
      <w:tr>
        <w:trPr/>
        <w:tc>
          <w:tcPr>
            <w:tcW w:w="47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SoundHound consents in writing to an alternative forum, the Court of Chancery of the State of Delaware is, to the fullest extent permitted by law, the sole and exclusive forum for derivative actions, fiduciary duty claims, claims arising under the DGCL or the SoundHound charter or bylaws, and claims governed by the internal affairs doctrine, subject to specified exceptions. The forum selection provision does not apply to suits brought to enforce duties or liabilities under the Exchange Act or other claims within exclusive federal jurisdiction. Unless SoundHound consents in writing to another forum, the federal district courts of the United States are the exclusive forum for Securities Act claims.</w:t>
            </w:r>
          </w:p>
        </w:tc>
        <w:tc>
          <w:tcPr>
            <w:tcW w:w="146" w:type="dxa"/>
            <w:tcBorders/>
          </w:tcPr>
          <w:p>
            <w:pPr>
              <w:pStyle w:val="TableContents"/>
              <w:bidi w:val="0"/>
              <w:spacing w:before="0" w:after="283"/>
              <w:jc w:val="left"/>
              <w:rPr/>
            </w:pPr>
            <w:r>
              <w:rPr/>
              <w:t> </w:t>
            </w:r>
          </w:p>
        </w:tc>
        <w:tc>
          <w:tcPr>
            <w:tcW w:w="534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LivePerson consents in writing to an alternative forum, the Court of Chancery of the State of Delaware (or, if the Court of Chancery of the State of Delaware does not have jurisdiction, any other state or federal court located within the State of Delaware with jurisdiction) is, to the fullest extent permitted by law, the sole and exclusive forum for derivative actions, fiduciary duty claims, claims arising under the DGCL or the LivePerson charter or bylaws, and claims governed by the internal affairs doctrine, or any action, suit or proceeding asserting an “internal corporate claim” as that term is defined in Section 115 of the DGCL. Unless LivePerson consents in writing to another forum, the federal district courts of the United States are the exclusive forum for Securities Act claims against LivePerson or any officer or 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18"/>
      <w:bookmarkEnd w:id="18"/>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legality of the shares of SoundHound Common Stock issuable in the Merger will be passed upon for SoundHound by Latham &amp; Watkins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19"/>
      <w:bookmarkEnd w:id="19"/>
      <w:r>
        <w:rPr>
          <w:rFonts w:ascii="Times New Roman PS Std;serif" w:hAnsi="Times New Roman PS Std;serif"/>
          <w:b/>
          <w:i w:val="false"/>
          <w:caps w:val="false"/>
          <w:smallCaps w:val="false"/>
          <w:sz w:val="20"/>
        </w:rPr>
        <w:t xml:space="preserve">EXPERTS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SoundHound AI, Inc. in a business combination during 2025)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LivePerson, Inc. as of December 31, 2025 and 2024 and for each of the three years in the period ended December 31, 2025 and management’s assessment of the effectiveness of internal control over financial reporting as of December 31, 2025 incorporated by reference in this proxy statement/prospectus have been so incorporated in reliance on the reports of BDO USA, P.C., an independent registered public accounting firm, given on the authority of said firm as experts in auditing and accounting.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Interactions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20"/>
      <w:bookmarkEnd w:id="20"/>
      <w:r>
        <w:rPr>
          <w:rFonts w:ascii="Times New Roman PS Std;serif" w:hAnsi="Times New Roman PS Std;serif"/>
          <w:b/>
          <w:i w:val="false"/>
          <w:caps w:val="false"/>
          <w:smallCaps w:val="false"/>
          <w:sz w:val="20"/>
        </w:rPr>
        <w:t xml:space="preserve">SECURITY OWNERSHIP OF CERTAIN BENEFICIAL OWNERS AND </w:t>
        <w:br/>
        <w:t xml:space="preserve">MANAGEMENT OF LIVEPERSON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of outstanding shares of LivePerson Common Stock as of June 25, 2026, unless otherwise indicated in the footnotes below,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whom LivePerson knows to beneficially own more than five percent of LivePerson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LivePerson’s named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LivePerson’s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LivePerson’s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contemplated by the Mergers and the Merger Agreement, LivePerson has no knowledge of any arrangement that would, at a subsequent date, result in a change in control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includes voting and investment power with respect to shares. Percentage of beneficial ownership is based on 12,332,427 shares of LivePerson Common Stock outstanding on June 25, 2026 (excluding shares held in treasury). Unless otherwise indicated, the persons named in the table directly own the shares and have sole voting and sole investment control with respect to all shares beneficially owned:</w:t>
      </w:r>
    </w:p>
    <w:tbl>
      <w:tblPr>
        <w:tblW w:w="10164" w:type="dxa"/>
        <w:jc w:val="left"/>
        <w:tblInd w:w="0" w:type="dxa"/>
        <w:tblLayout w:type="fixed"/>
        <w:tblCellMar>
          <w:top w:w="0" w:type="dxa"/>
          <w:left w:w="0" w:type="dxa"/>
          <w:bottom w:w="0" w:type="dxa"/>
          <w:right w:w="0" w:type="dxa"/>
        </w:tblCellMar>
      </w:tblPr>
      <w:tblGrid>
        <w:gridCol w:w="6676"/>
        <w:gridCol w:w="146"/>
        <w:gridCol w:w="1396"/>
        <w:gridCol w:w="146"/>
        <w:gridCol w:w="979"/>
        <w:gridCol w:w="821"/>
      </w:tblGrid>
      <w:tr>
        <w:trPr/>
        <w:tc>
          <w:tcPr>
            <w:tcW w:w="6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Owned(2)</w:t>
            </w:r>
          </w:p>
        </w:tc>
        <w:tc>
          <w:tcPr>
            <w:tcW w:w="14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Common Stock </w:t>
              <w:br/>
              <w:t xml:space="preserve">Outstanding </w:t>
              <w:br/>
              <w:t>(%)</w:t>
            </w:r>
          </w:p>
        </w:tc>
      </w:tr>
      <w:tr>
        <w:trPr/>
        <w:tc>
          <w:tcPr>
            <w:tcW w:w="66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keepNext w:val="false"/>
              <w:widowControl/>
              <w:pBdr/>
              <w:bidi w:val="0"/>
              <w:spacing w:before="0" w:after="283"/>
              <w:jc w:val="both"/>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Davidson Kempner Capital Management LP(3)</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686,800</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821"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D. Collins(4)</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34,836</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Dan Fletcher</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Nathan “Tripp” Lane</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James Miller</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Christopher Mina</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9,636</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Vanessa Pegueros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Sabino</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41,618</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Karin-Joyce (K.J.) Tjon</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Ryan Vardeman(5)</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44,422</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William G. Wesemann(6)</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37,389</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Anthony Zingale(7)</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8,888</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 as a group (12 persons)(8)</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257,942</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821"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w:t>
      </w:r>
      <w:r>
        <w:rPr>
          <w:rFonts w:ascii="Times New Roman PS Std;serif" w:hAnsi="Times New Roman PS Std;serif"/>
          <w:b w:val="false"/>
          <w:i w:val="false"/>
          <w:caps w:val="false"/>
          <w:smallCaps w:val="false"/>
          <w:sz w:val="18"/>
        </w:rPr>
        <w:t>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noted otherwise, the business address of each beneficial owner is c/o LivePerson, Inc., 530 Seventh Avenue, Floor M1, New York, New York 10018.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Beneficial ownership is determined in accordance with the rules of the SEC and includes voting and/or investment power with respect to the shares shown as beneficially owned.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     Holdings based solely on our review of the Schedule 13D filed with the SEC on February 17, 2026 by M.H. Davidson &amp; Co., Davidson Kempner Arbitrage, Equities &amp; Relative Value LP, Davidson Kempner Capital Management LP and Anthony A. Yoseloff. The shares reported herein are held by subfunds of Davidson Kempner Capital Management LP (“DKCM”), specifically (i) M.H. Davidson &amp; Co. and (ii) Davidson Kempner Arbitrage, Equities and Relative Value LP. DKCM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serves as the investment manager to these subfunds and, pursuant to investment management agreements, exercises ultimate voting and dispositive power over the securities. The business address of each beneficial owner is c/o Davidson Kempner Capital Management LP, 9 West 57th Street, 29th Floor, New York, New York 10019.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6,260 shares underlying LivePerson Options that are currently exercisable or that will be exercisable at or within 60 days of June 25, 2026 and 2,905 RSUs which will be vested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Palogic Value Fund, L.P., a Delaware limited partnership (Palogic Value Fund), is the record and direct beneficial owner of these shares. Palogic Value Management, L.P., a Delaware limited partnership (Palogic Value Management), is the general partner of, and may be deemed to beneficially own securities owned by, Palogic Value Fund. Palogic Capital Management, LLC, a Delaware limited liability company (Palogic Capital Management), is the general partner of, and may be deemed to beneficially own securities beneficially owned by, Palogic Value Management. Mr. Vardeman is the sole member of, and may be deemed to beneficially own securities beneficially owned by, Palogic Capital Management. Mr. Vardeman is also a limited partner in, and may be deemed to beneficially own securities owned by, Palogic Value Fund. The address of Palogic Value Fund, Palogic Value Management and Palogic Capital Management is 8333 Douglas Avenue, Suite 775, Dallas, TX 75225.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Vardeman states that nothing herein shall be deemed an admission that Mr. Vardeman is, for purposes of Section 16 of the Exchange Act or otherwise, the beneficial owner of these shares. Mr. Vardeman disclaims beneficial ownership of these shares, except to the extent of his pecuniary interest in such shares. Mr. Vardeman may be deemed to be a member of a group with respect to LivePerson or securities of LivePerson for purposes of Section 13(d) or 13(g) of the Securities Exchange Act of 1934, as amended.</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Vardeman declares that nothing herein shall be construed as an admission that such persons are, for the purposes of Section 13(d) or 13(g) of the Exchange Act, or any other purpose, a member of a group with respect to LivePerson or securities of LivePerson.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7,067 shares underlying LivePerson Options that are currently exercisable or that will be exercisable at or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8,888 shares underlying LivePerson Options that are currently exercisable or that will be exercisable at or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41,117 shares underlying LivePerson Options that are currently exercisable or that will be exercisable at or within 60 days of June 25, 2026 and 4,212 RSUs which will be vested within 60 days of June 25,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21"/>
      <w:bookmarkEnd w:id="21"/>
      <w:r>
        <w:rPr>
          <w:rFonts w:ascii="Times New Roman PS Std;serif" w:hAnsi="Times New Roman PS Std;serif"/>
          <w:b/>
          <w:i w:val="false"/>
          <w:caps w:val="false"/>
          <w:smallCaps w:val="false"/>
          <w:sz w:val="20"/>
        </w:rPr>
        <w:t xml:space="preserve">APPRAISAL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TASE Shares who held or beneficially owned TASE Shares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(such holders, “Dissenting Stockholders” and such shares, “Dissenting Shares”) will be entitled to seek appraisal of their Dissenting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holder or beneficial owner of TASE Shares wishes to seek appraisal in respect of such shares, such person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is required to send a notice to that effect to each holder of TASE shares not less than 20 days prior to the special meeting. This proxy statement/prospectus constitutes that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is a brief summary of Section 262, which sets forth the procedures for demanding statutory appraisal rights. This summary, however, is not a complete statement of the applicable requirements, and is qualified in its entirety by reference to Section 262, which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xml:space="preserve">. If you are a holder of TASE Shares and wish to consider exercising your appraisal rights, you should carefully review the text of Section 262. Failure to comply timely and properly with the requirements of Section 262 may result in the loss of your appraisal rights under the DGCL. If you hold your TASE Shares through a bank, broker or other nominee and you wish to exercise appraisal rights, you should consult with your bank, broker or the other nominee. The following summary does not constitute any legal or other advice, nor does it constitute a recommendation that stockholders exercise their appraisal rights under Section 262. </w:t>
      </w: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are a holder or beneficial owner of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or beneficial owners of TASE Shares who desire to exercise their appraisal rights must do ALL of the following: (i) not vote in favor of the adoption of the merger proposal, (ii) deliver in the manner set forth below a written demand for appraisal of the stockholder’s TASE Shares to the Chief Legal Officer of LivePerson before the vote on the merger proposal, (iii) continuously hold TASE Shares of record or beneficially through the TASECH from the date of making the demand through the Second Effective Time and (iv) otherwise comply with the requirements of Section 262.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demand for appraisal made by a holder of record of TASE Shares, the demand must reasonably inform LivePerson of the identity of such holder and that such holder intends thereby to demand appraisal of such holder’s shares. In the case of a written demand for appraisal made by a beneficial owner of TASE Shares, the demand must reasonably identify the record holder of the TASE Shares for which the demand is made, be accompanied by documentary evidence of such beneficial owner’s beneficial ownership of such shares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TASE Shares for which such demand is submitted. If a holder of record of TASE Shares is submitting a demand with respect to shares that are owned of record in a fiduciary or representative capacity, such as by a trustee, guardian or custodian, such demand must be executed by or on behalf of such holder of record in that capacity. If such shares are owned of record by more than one person, as in a joint tenancy or tenancy in common, such demand should be executed by or on behalf of all joint owners. An authorized agent, including an agent of two or more joint owners, may execute such demand for appraisal for a holder of record of TASE Shares; however, the agent must identify the record owner or owners and expressly disclose in such demand that the agent is acting as agent for the record owner or owners. A record owner, such as a bank, broker or other nominee, who holds the TASE Shares as a nominee for one or more beneficial owners of TASE Shares may exercise appraisal rights with respect to such TASE Shares held for all or less than all beneficial owners of TASE Shares as to which the holder is the record owner. In that case, the written demand must set forth the number of TASE Shares covered by the demand. Where the number of TASE Shares is not expressly stated, the demand will be presumed to cover all TASE Shares of LivePerson common stock outstanding in the name of the record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beneficial owner of TASE Shares must coordinate any appraisal demand through the applicable TASE member through which such beneficial owner holds its TASE Shares. Under the Merger Agreement, any holders or beneficial owners of TASE Shares issued and outstanding immediately prior to the Second Effective Time who (i) do not vote in favor of the adoption of the merger proposal (or consent thereto in writing),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shall not be converted into the right to receive the Per Share Cash Merger Consideration. Instead, at the Second Effective Time, such Dissenting Shares shall be converted into the right to receive payment of the fair value of such Dissenting Shares in accordance with the Appraisal Rights. With respect to any demand made by a holder of TASE Shares, LivePerson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TASECH any notice or instruction reasonably required by TASECH or the applicable TASE member in order to prevent such payment.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and beneficial holders that hold or beneficially own TASE Shares seeking appraisal rights who elect to demand appraisal of their TASE Shares must mail or deliver their written demand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 Seventh Avenue., Floor M1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Monica Greenberg, Chief Legal and Administrative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written demand must be received by LivePerson prior to the vote on the adoption of the merger proposal at the special meeting. Neither voting (via the virtual meeting website or by proxy) against, abstaining from voting on or failing to vote on the adoption of the merger proposal will alone suffice to constitute a written demand for appraisal within the meaning of Section 262. In addition, the LivePerson stockholder or beneficial owner must not vote its TASE Shares in favor of adoption of the merger proposal. An executed proxy that does not contain voting instructions will, unless revoked, be voted in favor of adoption of the merger proposal and will cause the LivePerson stockholder’s right of appraisal to be lost. Therefore, a LivePerson stockholder who desires to exercise appraisal rights in respect of his, her or its TASE Shares should either (x) refrain from executing and submitting the enclosed proxy card or (y) vote by proxy against the adoption of the merger proposal or affirmatively register an abstention with respect thereto.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120 days after completion of the Second Merger, but not thereafter, either the surviving corporation or any person who has timely and properly demanded appraisal of such stockholder’s Dissenting Shares and who has complied with the requirements of Section 262 and is otherwise entitled to appraisal rights may commence an appraisal proceeding by filing a petition in the Delaware Court of Chancery, with a copy served on the surviving corporation in the case of a petition filed by a person other than the surviving corporation, demanding a determination of the fair value of the Dissenting Shares of all stockholders entitled to appraisal. The surviving corporation has no obligation to file such petition and there is no present intent on the part of LivePerson, as the surviving corporation, to file an appraisal petition, and persons seeking to exercise appraisal rights should not assume that the surviving corporation will file such a petition or that the surviving corporation will initiate any negotiations with respect to the fair value of such Dissenting Shares. Accordingly, stockholders and beneficial owners of TASE Shares who desire to have their Dissenting Shares appraised should initiate any petitions necessary for the perfection of their appraisal rights within the time periods and in the manner prescribed in Section 262. If, within 120 days after the Second Effective Time, no petition has been filed as provided above, all rights to appraisal of any TASE Shares will cease and those shares will be deemed to have been converted at the Second Effective Time into the Per Share Cash Merger Consideration provided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120 days after completion of the Second Merger, any stockholder or beneficial owner of TASE Shares who has complied with the applicable provisions of Section 262 will be entitled, upon request given in writing, to receive from the surviving corporation a statement setting forth the aggregate number of Dissenting Shares not voted in favor of the merger proposal and with respect to which demands for appraisal were received by the surviving corporation and the aggregate number of holders of record or beneficial owners holding or owning such shares; provided that, where a beneficial owner makes a demand pursuant to paragraph (d)(3) of Section 262, the holder of record of such shares shall not be considered a separate stockholder holding such shares for purposes of such aggregate number. Such statement must be given within ten days after a written request therefor has been received by the surviving corporation or within ten days after the expiration of the period for delivery of demands for appraisal, whichever is later.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petition for appraisal is duly filed by a LivePerson stockholder or beneficial owner of TASE Shares who has complied with the requirements of Section 262 and is otherwise entitled to appraisal rights and a copy of the petition is delivered to the surviving corporation, then the surviving corporation will be obligated, within 20 days after receiving service of a copy of the petition, to file with the Delaware Register in Chancery a duly verified list (the “</w:t>
      </w:r>
      <w:r>
        <w:rPr>
          <w:rFonts w:ascii="Times New Roman PS Std;serif" w:hAnsi="Times New Roman PS Std;serif"/>
          <w:b w:val="false"/>
          <w:i w:val="false"/>
          <w:caps w:val="false"/>
          <w:smallCaps w:val="false"/>
          <w:sz w:val="20"/>
          <w:u w:val="single"/>
        </w:rPr>
        <w:t>Verified List</w:t>
      </w:r>
      <w:r>
        <w:rPr>
          <w:rFonts w:ascii="Times New Roman PS Std;serif" w:hAnsi="Times New Roman PS Std;serif"/>
          <w:b w:val="false"/>
          <w:i w:val="false"/>
          <w:caps w:val="false"/>
          <w:smallCaps w:val="false"/>
          <w:sz w:val="20"/>
        </w:rPr>
        <w:t>”) containing the names and addresses of all persons who have demanded appraisal for their Dissenting Shares and with whom agreements as to the value of their Dissenting Shares have not been reached. After notice , if such notice is ordered by the Delaware Court of Chancery, the Delaware Court of Chancery will conduct a hearing upon the petition and determine those persons who have complied with Section 262 and who have become entitled to appraisal rights. The Delaware Court of Chancery may require the persons who have demanded an appraisal for their TASE Shares and who hold LivePerson Common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person. The Delaware Court of Chancery must dismiss an appraisal proceeding as to all holders of TASE Shares who are otherwise entitled to appraisal rights unless (i) the total number of Dissenting Shares entitled to appraisal exceeds 1% of the outstanding TASE Shares eligible for appraisal, or (ii) the value of the consideration provided in the Second Merger for such total number of Dissenting Shares seeking appraisal exceeds $1,000,000. Where proceedings are not dismissed, the appraisal proceeding will be conducted, as to the Dissenting Shares owned by such persons, in accordance with the rules of the Delaware Court of Chancery, including any rules specifically governing appraisal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After a hearing on such petition, the Delaware Court of Chancery will determine the persons who have complied with Section 262 and who have become entitled to appraisal rights. Thereafter, the Court will determine the fair value of the Dissenting Shares exclusive of any element of value arising from the accomplishment or expectation of the Mergers, together with interest to be paid, if any, upon the amount determined to be the fair value. Unless the Delaware Court of Chancery in its discretion determines otherwise for good cause shown, and except as provided in subsection (h) of Section 262, interest from the date the Second Merger is completed through the date of payment of the judgment will be compounded quarterly and will accrue at 5% over the Federal Reserve discount rate (including any surcharges) as established from time to time during the period between the date the Second Merger is completed and the date of payment of the judgment. At any time before the entry of judgment in the proceedings, SoundHound may pay to each Dissenting Stockholder an amount in cash, in which case interest will accrue thereafter as provided in Section 262 only upon the sum of (i) the difference, if any, between the amount so paid and the fair value of the Dissenting Shares as determined by the Delaware Court of Chancery, and (ii) interest theretofore accrued, unless paid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that time. In determining fair value, the Delaware Court of Chancery is to take into account all relevant factors. In Weinberger v. UOP, Inc., et al., the Delaware Supreme Court stated that “proof of value by any techniques or methods which are generally considered acceptable in the financial community and otherwise admissible in court” should be considered in an appraisal proceeding and that “[f]air price obviously requires consideration of all relevant factors involving the value of a company.” The Delaware Supreme Court has stated that in making this determination of fair value the court may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determined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Stockholders and beneficial owners considering seeking appraisal should bear in mind that the fair value of their Dissenting Shares determined under Section 262 could be more than, the same as, or less than the Per Share Cash Merger Consideration to which they may be entitled to receive pursuant to the Merger Agreement if they do not seek appraisal of such shares, and that opinions of investment banking firms as to the fairness from a financial point of view of the consideration payable in a transaction are not opinions as to fair value under Section 262. LivePerson reserves the right to assert, in any appraisal proceeding, that for purposes of Section 262, the “fair value” of a TASE Share is less than the applicable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the appraisal proceeding may be determined by the Delaware Court of Chancery and taxed upon the parties as the Delaware Court of Chancery deems equitable in the circumstances. However, costs do not include attorneys’ and expert witness fees. Upon application of a person whose name appears on the Verified List who participates in the proceeding and incurred expenses in connection therewith, the Delaware Court of Chancery may order all or a portion of such expenses, including, without limitation, reasonable attorneys’ fees and the fees and expenses of experts, to be charged pro rata against the value of all Dissenting Shares entitled to appraisal not dismissed pursuant to subsection (k) of Section 262 or subject to such an award pursuant to a reservation of jurisdiction under subsection (k). In the absence of such a determination of assessment, each party bears its own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date of completion of the Second Merger, any Dissenting Stockholder will not, after completion of the Second Merger, be entitled to vote for any purpose any Dissenting Shares subject to such demand or to receive payment of dividends or other distributions on such shares, except for dividends or distributions payable to LivePerson stockholders of record at a date prior to completion of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Within 10 days after the Second Effective Time, the surviving corporation must give notice of the date that the Second Merger became effective to each of LivePerson’s stockholders who hold TASE Shares and who (i) do not vote in favor of the merger proposal (or consent thereto in writing),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At any time within 60 days after completion of the Second Merger, any person who has demanded appraisal in respect of his, her or its TASE Shares and who has not commenced an appraisal proceeding or joined that proceeding as a named party will have the right to withdraw such person’s demand for appraisal and to accept the Per Share Cash Merger Consideration offered upon the Second Merger. After this period, any such person may withdraw such person’s demand for appraisal only with the written approval of the surviving corporation. If no petition for appraisal is filed with the Delaware Court of Chancery within 120 days after completion of the Second Merger, the rights of any LivePerson stockholder who holds TASE Shares to exercise appraisal rights will cease and such LivePerson stockholder will only be entitled to receive the Per Share Cash Merger Consideration to which such holders or beneficial owners are entitled to receive pursuant to the Merger Agreement, subject to the terms thereof. No appraisal proceeding will be dismissed by the Delaware Court of Chancery as to any person without the approval of the Delaware Court of Chancery, and that approval may be conditioned upon such terms as the Delaware Court of Chancery deems just, including, without limitation a reservation of jurisdiction for any application to the Delaware Court of Chancery made under subsection (j) of Section 262. However, the preceding sentence will not affect the right of any person who holds TASE Shares as of immediately prior to the Second Effective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and has not commenced an appraisal proceeding or joined the proceeding as a named party to withdraw such person’s demand for appraisal and to accept the terms offered upon the Second Merger within 60 days after completion of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is a brief summary of Section 262 that sets forth the procedures for demanding statutory appraisal rights. This summary, however, is not a complete statement of all applicable requirements and is qualified in its entirety by reference to Section 262, which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strictly with all the procedures set forth in Section 262 may result in the loss of a LivePerson stockholder’s statutory appraisal rights. Consequently, if you hold or beneficially own TASE Shares and wish to exercise your appraisal rights, you are strongly urged to consult a legal advisor before attempting to exercise your appraisal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22"/>
      <w:bookmarkEnd w:id="22"/>
      <w:r>
        <w:rPr>
          <w:rFonts w:ascii="Times New Roman PS Std;serif" w:hAnsi="Times New Roman PS Std;serif"/>
          <w:b/>
          <w:i w:val="false"/>
          <w:caps w:val="false"/>
          <w:smallCaps w:val="false"/>
          <w:sz w:val="20"/>
        </w:rPr>
        <w:t xml:space="preserve">STOCKHOLDER PROPOSALS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will hold an annual meeting of stockholders in 2027 (the “SoundHound 2027 annual meeting”) regardless of whether the Mergers have been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 rules, a SoundHound stockholder who intends to present a proposal, other than director nominations, at the SoundHound 2027 annual meeting and who wishes the proposal to be included in the proxy statement for that meeting must submit the proposal in writing to SoundHound’s corporate secretary. The proposal must comply with the requirements set forth in SoundHound’s bylaws and must have been received no later than 90 days prior to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propose a matter for action at the SoundHound 2027 annual meeting, including the nomination of directors, but who do not wish to have the proposal or nomination included in the proxy statement, must notify SoundHound in writing of the information required by the provisions of SoundHound’s bylaws dealing with stockholder proposals and director nominations. The notice must be delivered to SoundHound’s corporate secretary not less than 60 days nor more than 90 days prior to the SoundHound 2027 annual meeting; provided, however, that in the event that less than 70 days’ notice or prior public disclosure of the date of the annual meeting is given or made to stockholders, notice by a stockholder, to be timely, must be received no later than the close of business on the 10th day following the day on which such notice of the date of the annual meeting was mailed or such public disclosure was made, whichever first occurs. You can obtain a copy of SoundHound’s bylaws by writing SoundHound’s corporate secretary at the address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written proposals should be directed to Corporate Secretary, SoundHound AI, Inc., 5400 Betsy Ross Drive, Santa Clara, CA 95054.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not adopted by the requisite vote of LivePerson stockholders or if the Mergers are not completed for any reason, LivePerson intends to hold an annual meeting of its stockholders in 2026 (the “LivePerson 2026 annual meeting”). In order to be considered for inclusion in LivePerson’s proxy statement and proxy card relating to the LivePerson 2026 annual meeting, any proposal by a stockholder submitted pursuant to Rule 14a-8 under the Exchange Act must be received by LivePerson at its principal executive offices not later than 120 days prior to the release date of LivePerson’s proxy statement for the previous year’s annual meeting and must otherwise be in compliance with the SEC rules regarding eligibility for inclusion in LivePerson’s proxy statement and proxy card. In addition, any proposal for consideration at the LivePerson 2026 annual meeting submitted by a stockholder other than pursuant to Rule 14a-8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date of the first anniversary of the 2025 Annual Meeting of Stockholders (or if the date of the LivePerson 2026 annual meeting is more than 30 days before or more than 70 days after the first anniversary of the 2025 annual meeting, not later than the close of business on the later of the 90th day prior to the meeting or the 10th day following the public announcement of the meeting date and not earlier than the close of business on the 120th day prior to the meeting) and must otherwise be in compliance with the requirements for the proposal of business to be considered by stockholders set forth in the LivePerson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nominate a director for election to the LivePerson board of directors at the LivePerson 2026 annual meeting, a stockholder’s notice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first anniversary of the 2025 Annual Meeting of Stockholders (or if the date of the LivePerson 2026 annual meeting is more than 30 days before or more than 70 days after the first anniversary of the 2025 Annual Meeting of Stockholders, not later than the close of business on the later of the 90th day prior to the meeting or the 10th day following the public announcement of the meeting date and not earlier than the close of business on the 120th day prior to the meeting) and must otherwise be in compliance with the requirements for the nomination of directors set forth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bylaws. In addition to satisfying the foregoing requirements under the LivePerson bylaws, to comply with the universal proxy rules, stockholders who intend to solicit proxies in support of director nominees other than LivePerson’s nominees must provide notice that sets forth the information required by Rule 14a-19 under the Exchange Act no later than 60 days prior to the first anniversary of the 2025 Annual Meeting of Stockholders (or if the date of the meeting has changed by more than 30 days from the previous year, no later than the later of 60 days prior to the date of the meeting or the 10th day following the day on which public announcement of the date of the annual meeting is first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proposals and director nominations should be addressed to: Corporate Secretary, 530 Seventh Ave, Floor M1, New York, New York 10018.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23"/>
      <w:bookmarkEnd w:id="23"/>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 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24"/>
      <w:bookmarkEnd w:id="24"/>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Both SoundHound and LivePerson file annual, quarterly and current reports, proxy statements and other business and financial information with the SEC. SoundHound’s and LivePerson’s SEC filings are available to the public at the internet website maintained by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You may also obtain many of these documents, free of charge, from SoundHound by accessing SoundHound’s website at </w:t>
      </w:r>
      <w:r>
        <w:rPr>
          <w:rFonts w:ascii="Times New Roman PS Std;serif" w:hAnsi="Times New Roman PS Std;serif"/>
          <w:b w:val="false"/>
          <w:i/>
          <w:caps w:val="false"/>
          <w:smallCaps w:val="false"/>
          <w:sz w:val="20"/>
        </w:rPr>
        <w:t>http://www.SoundHound.com</w:t>
      </w:r>
      <w:r>
        <w:rPr>
          <w:rFonts w:ascii="Times New Roman PS Std;serif" w:hAnsi="Times New Roman PS Std;serif"/>
          <w:b w:val="false"/>
          <w:i w:val="false"/>
          <w:caps w:val="false"/>
          <w:smallCaps w:val="false"/>
          <w:sz w:val="20"/>
        </w:rPr>
        <w:t xml:space="preserve"> under the “About” link and then under the heading “Investors” or from LivePerson by accessing LivePerson’s website at </w:t>
      </w:r>
      <w:r>
        <w:rPr>
          <w:rFonts w:ascii="Times New Roman PS Std;serif" w:hAnsi="Times New Roman PS Std;serif"/>
          <w:b w:val="false"/>
          <w:i/>
          <w:caps w:val="false"/>
          <w:smallCaps w:val="false"/>
          <w:sz w:val="20"/>
        </w:rPr>
        <w:t>http://www.LivePerson.com</w:t>
      </w:r>
      <w:r>
        <w:rPr>
          <w:rFonts w:ascii="Times New Roman PS Std;serif" w:hAnsi="Times New Roman PS Std;serif"/>
          <w:b w:val="false"/>
          <w:i w:val="false"/>
          <w:caps w:val="false"/>
          <w:smallCaps w:val="false"/>
          <w:sz w:val="20"/>
        </w:rPr>
        <w:t xml:space="preserve"> under the “About” link and then under the heading “Investor Relations.”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SEC allows SoundHound and LivePerson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incorporates by reference the following documents that have previously been filed with the SEC by SoundHound: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Annual Report on </w:t>
      </w:r>
      <w:hyperlink r:id="rId7">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year ended December 31, 2025, filed with the SEC on March 2,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information specifically incorporated by reference into the Annual Report on Form 10-K for the fiscal year ended December 31, 2025, from SoundHound’s definitive proxy statement on </w:t>
      </w:r>
      <w:hyperlink r:id="rId8">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on April 9,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Quarterly Report on </w:t>
      </w:r>
      <w:hyperlink r:id="rId9">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three-month period ended March 31, 2026, filed with the SEC on May 11,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Current Reports on Form 8-K/A filed with the SEC on </w:t>
      </w:r>
      <w:hyperlink r:id="rId10">
        <w:r>
          <w:rPr>
            <w:rStyle w:val="InternetLink"/>
            <w:rFonts w:ascii="Times New Roman PS Std;serif" w:hAnsi="Times New Roman PS Std;serif"/>
            <w:b w:val="false"/>
            <w:i w:val="false"/>
            <w:caps w:val="false"/>
            <w:smallCaps w:val="false"/>
            <w:sz w:val="20"/>
          </w:rPr>
          <w:t>November 17, 2025</w:t>
        </w:r>
      </w:hyperlink>
      <w:r>
        <w:rPr>
          <w:rFonts w:ascii="Times New Roman PS Std;serif" w:hAnsi="Times New Roman PS Std;serif"/>
          <w:b w:val="false"/>
          <w:i w:val="false"/>
          <w:caps w:val="false"/>
          <w:smallCaps w:val="false"/>
          <w:sz w:val="20"/>
        </w:rPr>
        <w:t xml:space="preserve">, and Form 8-K, filed with the SEC on </w:t>
      </w:r>
      <w:hyperlink r:id="rId11">
        <w:r>
          <w:rPr>
            <w:rStyle w:val="InternetLink"/>
            <w:rFonts w:ascii="Times New Roman PS Std;serif" w:hAnsi="Times New Roman PS Std;serif"/>
            <w:b w:val="false"/>
            <w:i w:val="false"/>
            <w:caps w:val="false"/>
            <w:smallCaps w:val="false"/>
            <w:sz w:val="20"/>
          </w:rPr>
          <w:t>March 18, 2026</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w:t>
      </w:r>
      <w:hyperlink r:id="rId13">
        <w:r>
          <w:rPr>
            <w:rStyle w:val="InternetLink"/>
            <w:rFonts w:ascii="Times New Roman PS Std;serif" w:hAnsi="Times New Roman PS Std;serif"/>
            <w:b w:val="false"/>
            <w:i w:val="false"/>
            <w:caps w:val="false"/>
            <w:smallCaps w:val="false"/>
            <w:sz w:val="20"/>
          </w:rPr>
          <w:t>May 27, 2026</w:t>
        </w:r>
      </w:hyperlink>
      <w:r>
        <w:rPr>
          <w:rFonts w:ascii="Times New Roman PS Std;serif" w:hAnsi="Times New Roman PS Std;serif"/>
          <w:b w:val="false"/>
          <w:i w:val="false"/>
          <w:caps w:val="false"/>
          <w:smallCaps w:val="false"/>
          <w:sz w:val="20"/>
        </w:rPr>
        <w:t xml:space="preserve"> and </w:t>
      </w:r>
      <w:hyperlink r:id="rId14">
        <w:r>
          <w:rPr>
            <w:rStyle w:val="InternetLink"/>
            <w:rFonts w:ascii="Times New Roman PS Std;serif" w:hAnsi="Times New Roman PS Std;serif"/>
            <w:b w:val="false"/>
            <w:i w:val="false"/>
            <w:caps w:val="false"/>
            <w:smallCaps w:val="false"/>
            <w:sz w:val="20"/>
          </w:rPr>
          <w:t>July 2, 2026</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a description of SoundHound’s securities registered pursuant to Section 12 of the Exchange Act (included as </w:t>
      </w:r>
      <w:hyperlink r:id="rId15">
        <w:r>
          <w:rPr>
            <w:rStyle w:val="InternetLink"/>
            <w:rFonts w:ascii="Times New Roman PS Std;serif" w:hAnsi="Times New Roman PS Std;serif"/>
            <w:b w:val="false"/>
            <w:i w:val="false"/>
            <w:caps w:val="false"/>
            <w:smallCaps w:val="false"/>
            <w:sz w:val="20"/>
          </w:rPr>
          <w:t>Exhibit 4.6</w:t>
        </w:r>
      </w:hyperlink>
      <w:r>
        <w:rPr>
          <w:rFonts w:ascii="Times New Roman PS Std;serif" w:hAnsi="Times New Roman PS Std;serif"/>
          <w:b w:val="false"/>
          <w:i w:val="false"/>
          <w:caps w:val="false"/>
          <w:smallCaps w:val="false"/>
          <w:sz w:val="20"/>
        </w:rPr>
        <w:t xml:space="preserve"> to SoundHound’s Annual Report on Form 10-K for the year ended December 31, 2025, filed with the SEC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also incorporates by reference the following documents that have previously been filed with the SEC by LivePerson:</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Annual Report on Form 10-K for the year ended December 31, 2025, as amended by the </w:t>
      </w:r>
      <w:hyperlink r:id="rId16">
        <w:r>
          <w:rPr>
            <w:rStyle w:val="InternetLink"/>
            <w:rFonts w:ascii="Times New Roman PS Std;serif" w:hAnsi="Times New Roman PS Std;serif"/>
            <w:b w:val="false"/>
            <w:i w:val="false"/>
            <w:caps w:val="false"/>
            <w:smallCaps w:val="false"/>
            <w:sz w:val="20"/>
          </w:rPr>
          <w:t>10-K/A</w:t>
        </w:r>
      </w:hyperlink>
      <w:r>
        <w:rPr>
          <w:rFonts w:ascii="Times New Roman PS Std;serif" w:hAnsi="Times New Roman PS Std;serif"/>
          <w:b w:val="false"/>
          <w:i w:val="false"/>
          <w:caps w:val="false"/>
          <w:smallCaps w:val="false"/>
          <w:sz w:val="20"/>
        </w:rPr>
        <w:t xml:space="preserve"> filed with the SEC on April 30,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Quarterly Report on </w:t>
      </w:r>
      <w:hyperlink r:id="rId17">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three-month period ended March 31, 2026, filed with the SEC on May 8,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Current Reports on Form 8-K, filed with the SEC on </w:t>
      </w:r>
      <w:hyperlink r:id="rId18">
        <w:r>
          <w:rPr>
            <w:rStyle w:val="InternetLink"/>
            <w:rFonts w:ascii="Times New Roman PS Std;serif" w:hAnsi="Times New Roman PS Std;serif"/>
            <w:b w:val="false"/>
            <w:i w:val="false"/>
            <w:caps w:val="false"/>
            <w:smallCaps w:val="false"/>
            <w:sz w:val="20"/>
          </w:rPr>
          <w:t>January 28,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and </w:t>
      </w:r>
      <w:hyperlink r:id="rId20">
        <w:r>
          <w:rPr>
            <w:rStyle w:val="InternetLink"/>
            <w:rFonts w:ascii="Times New Roman PS Std;serif" w:hAnsi="Times New Roman PS Std;serif"/>
            <w:b w:val="false"/>
            <w:i w:val="false"/>
            <w:caps w:val="false"/>
            <w:smallCaps w:val="false"/>
            <w:sz w:val="20"/>
          </w:rPr>
          <w:t>July 2, 2026</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a description of LivePerson’s securities registered pursuant to Section 12 of the Exchange Act (included as </w:t>
      </w:r>
      <w:hyperlink r:id="rId21">
        <w:r>
          <w:rPr>
            <w:rStyle w:val="InternetLink"/>
            <w:rFonts w:ascii="Times New Roman PS Std;serif" w:hAnsi="Times New Roman PS Std;serif"/>
            <w:b w:val="false"/>
            <w:i w:val="false"/>
            <w:caps w:val="false"/>
            <w:smallCaps w:val="false"/>
            <w:sz w:val="20"/>
          </w:rPr>
          <w:t>Exhibit 4.3</w:t>
        </w:r>
      </w:hyperlink>
      <w:r>
        <w:rPr>
          <w:rFonts w:ascii="Times New Roman PS Std;serif" w:hAnsi="Times New Roman PS Std;serif"/>
          <w:b w:val="false"/>
          <w:i w:val="false"/>
          <w:caps w:val="false"/>
          <w:smallCaps w:val="false"/>
          <w:sz w:val="20"/>
        </w:rPr>
        <w:t xml:space="preserve"> to LivePerson’s Annual Report on Form 10-K for the year ended December 31, 2025, filed with the SEC on April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SoundHound and LivePerson are incorporating by reference (i) any documents they may file under Section 13(a), 13(c), 14 or 15(d) of the Exchange Act on or after the date of the initial registration statement on Form S-4 filed by SoundHound on May 27, 2026,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special meeting of LivePerson stockholders, provided, however, that SoundHound and LivePerson are not incorporating by reference any information furnished (but not filed), except as otherwise specified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request copies of this proxy statement/prospectus and any of the documents incorporated by reference herein or certain other information concerning SoundHound or LivePerson, without charge, upon written or oral request to the applicable company’s principal executive offices. The respective addresses and phone numbers of such principal executive offices are listed below.</w:t>
      </w:r>
    </w:p>
    <w:tbl>
      <w:tblPr>
        <w:tblW w:w="6718" w:type="dxa"/>
        <w:jc w:val="left"/>
        <w:tblInd w:w="0" w:type="dxa"/>
        <w:tblLayout w:type="fixed"/>
        <w:tblCellMar>
          <w:top w:w="0" w:type="dxa"/>
          <w:left w:w="0" w:type="dxa"/>
          <w:bottom w:w="0" w:type="dxa"/>
          <w:right w:w="0" w:type="dxa"/>
        </w:tblCellMar>
      </w:tblPr>
      <w:tblGrid>
        <w:gridCol w:w="3376"/>
        <w:gridCol w:w="146"/>
        <w:gridCol w:w="3196"/>
      </w:tblGrid>
      <w:tr>
        <w:trPr/>
        <w:tc>
          <w:tcPr>
            <w:tcW w:w="3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SoundHound Stockholders:</w:t>
            </w:r>
          </w:p>
        </w:tc>
        <w:tc>
          <w:tcPr>
            <w:tcW w:w="146" w:type="dxa"/>
            <w:tcBorders/>
            <w:vAlign w:val="bottom"/>
          </w:tcPr>
          <w:p>
            <w:pPr>
              <w:pStyle w:val="TableContents"/>
              <w:bidi w:val="0"/>
              <w:spacing w:before="0" w:after="283"/>
              <w:jc w:val="left"/>
              <w:rPr/>
            </w:pPr>
            <w:r>
              <w:rPr/>
              <w:t> </w:t>
            </w:r>
          </w:p>
        </w:tc>
        <w:tc>
          <w:tcPr>
            <w:tcW w:w="31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LivePerson Stockholders:</w:t>
            </w:r>
          </w:p>
        </w:tc>
      </w:tr>
      <w:tr>
        <w:trPr/>
        <w:tc>
          <w:tcPr>
            <w:tcW w:w="337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Inc. </w:t>
              <w:br/>
              <w:t xml:space="preserve">5400 Betsy Ross Drive </w:t>
              <w:br/>
              <w:t xml:space="preserve">Santa Clara, CA 95054 </w:t>
              <w:br/>
              <w:t xml:space="preserve">Attention: Corporate Secretary </w:t>
              <w:br/>
              <w:t>Telephone: (408) 441-3200</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Inc. </w:t>
              <w:br/>
              <w:t>530 7th Ave, Floor M1</w:t>
              <w:br/>
              <w:t>New York, New York 10018</w:t>
              <w:br/>
              <w:t>Attention: Corporate Secretary</w:t>
              <w:br/>
              <w:t>Telephone: (212) 609-4200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obtain timely delivery of these documents before the LivePerson special meeting, LivePerson stockholders must request the information no later than August 13, 2026 (which is five business days before the date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SoundHound nor LivePerson has authorized anyone to give any information or make any representation about the Mergers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5" w:name="T9925"/>
      <w:bookmarkEnd w:id="25"/>
      <w:r>
        <w:rPr>
          <w:rFonts w:ascii="Times New Roman PS Std;serif" w:hAnsi="Times New Roman PS Std;serif"/>
          <w:b/>
          <w:i w:val="false"/>
          <w:caps/>
          <w:sz w:val="20"/>
        </w:rPr>
        <w:t xml:space="preserve">Unaudited Pro Forma Condensed Combined Financial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of SoundHound AI, Inc. (“SoundHound” or the “Company”) has been prepared in accordance with Article 11 of Regulation S-X and presents the combination of the historical financial information of SoundHound and LivePerson, Inc. (“LivePerson” or the “Target”), adjusted to give effect to the LivePerson Merger (as defined below). The unaudited pro forma condensed combined financial information of SoundHound also gives effect to the acquisition of Interactions Corporation (“Interactions”) that occurred on September 3, 2025 but was not reflected in the historical financial information of SoundHound for a full fiscal year.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SoundHound, LivePerson and Lightspeed Merger Sub, Inc., an indirect, wholly owned subsidiary of SoundHound (“Merger Sub I”) entered into a Merger Agreement (the “Original Merger Agreement”), which was subsequently amended and restated on July 2, 2026, among SoundHound, LivePerson, Merger Sub I and Lightspeed Merger Sub II, Inc., an indirectly, wholly owned subsidiary of SoundHound (“Merger Sub II”) (the Original Merger Agreement, as amended and restated, the “Merger Agreement”). Upon the terms and subject to the conditions set forth in the Merger Agreement,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collectively the “LivePerson Merger”), with LivePerson surviving the Second Merger as an indirect, wholly owned subsidiary of SoundHound. Also on April 21, 2026, concurrently with the execution of the Original Merger Agreement, SoundHound entered into a Notes Restructuring Agreement (the “Notes Restructuring Agreement”, together with the Merger Agreement, collectively, the “Transaction Agreements”) with LivePerson and the Secured Holders (as defined below), pursuant to which, and on the terms and subject to the conditions thereof, among other things, the Secured Holders have agreed to release and deem satisfied the Secured Notes for the consideration contemplated thereby.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for a two-step transaction for holders of LivePerson common stock.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First, all shares of LivePerson common stock other than shares listed on the Tel Aviv Stock Exchange Ltd. (the “non-TASE Shares”) will be cancelled and converted into the right to receive the consideration described below, while the shares listed on the Tel Aviv Stock Exchange Ltd., (the “TASE Shares”) will remain issued and outstanding.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Second, the TASE Shares will automatically be converted into the right to receive cash consideration, except for TASE Shares held by holders or beneficial owners of TASE Shares who (i) do not vote in favor of the merger proposal, (ii) properly demand appraisal of their shares of LivePerson Common Stock, (iii) continuously hold or beneficially own such shares through TASECH from the date of making the demand through the effective time of the Second Merger, (iv) otherwise comply with Section 262 of the DGCL and (v) do not withdraw or otherwise lose their appraisal rights.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 for a description of the treatment of such shares. The Company expects all TASE Shares to be converted into cash consideration, except to the extent any TASE Shares are paid through the appraisal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Transaction Agreements, total consideration consisted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Shares of SoundHound Class A common stock issued to holders of LivePerson’s First Lien Convertible Senior Notes due 2029 and 10.0% Second Lien Senior Subordinated Secured Notes (collectively, the “Secured Notes,” and the holders of such Secured Notes, the “Secured Holders”) equal to approximately $178.0 million and $83.2 million (the “First and Second Lien Stock Consideration”), respectively, each divided by the SoundHound Closing Stock Price.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Consideration issued to holders of LivePerson common stock with an aggregate value of $42.8 million (the “Shareholder Consideration Amount”), subject to adjustment for LivePerson’s closing cash balance relative to a $74.0 million minimum cash threshold, divided by the SoundHound Closing Stock Price (the “Closing Merger Consideration”), and settled as follows: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SoundHound Class A common stock issued to holders of the non-TASE Shares,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cash consideration to holders of the TASE Shares, subject to a cap of $7.5 million.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Replacement restricted stock units (RSUs) and cash-settled awards issued to continuing LivePerson employees in exchange for outstanding unvested equity awards. All out-of-the-money stock options and warrants were cancelled at closing for no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LivePerson had approximately $20.1 million in aggregate principal amount of 0% Convertible Notes due 2026 outstanding. Pursuant to the Merger Agreement, LivePerson is required to use commercially reasonable best efforts to retire these notes at or prior to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 PS Std;serif" w:hAnsi="Times New Roman PS Std;serif"/>
          <w:b w:val="false"/>
          <w:i/>
          <w:caps w:val="false"/>
          <w:smallCaps w:val="false"/>
          <w:sz w:val="20"/>
        </w:rPr>
        <w:t>ASC 805, Business Combinations</w:t>
      </w:r>
      <w:r>
        <w:rPr>
          <w:rFonts w:ascii="Times New Roman PS Std;serif" w:hAnsi="Times New Roman PS Std;serif"/>
          <w:b w:val="false"/>
          <w:i w:val="false"/>
          <w:caps w:val="false"/>
          <w:smallCaps w:val="false"/>
          <w:sz w:val="20"/>
        </w:rPr>
        <w:t>, and are discussed in Note 4 to the Unaudited Pro Forma Condensed Combined Financial Statements included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Description of Interactions Acquisition during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SoundHound completed its acquisition of Interactions (the “Interactions Acquisition”, “Acquisition”), pursuant to the terms of the Agreement and Plan of Merger (the “Merger Agreement”) entered into by and among SoundHound, Iris Merger Sub, Inc., Interactions Corporation and Shareholder Representative Services LLC. The transaction included cash paid to selling shareholders, repayment of Interactions’ outstanding debt at closing, payment of seller transaction expenses, customary cash holdbacks, and contingent earnout consideration tied to specified future milestones. On the acquisition date, each outstanding share of Interactions’ capital stock, stock options, warrants to purchase Interactions’ capital stock, and treasury stock were cancelled and extinguished without any present or future right to receive any consideration with the exception of certain shares of Interactions’ preferred stock that were converted into the right to receive the consideration defined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combines the historical consolidated balance sheets of SoundHound and LivePerson, giving effect to the acquisition as if it had occurred on March 31, 2026. The unaudited pro forma condensed combined statement of operations for the three months ended March 31, 2026, and the year ended December 31, 2025, assumes that the LivePerson Merger and the Interactions Acquisition (the “Transactions”) occurred as of January 1, 2025, and combines the historical results of SoundHound, Interactions, and LivePerson giving pro forma effect for the periods then 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derived from the historical financial information of SoundHound, Interactions, and LivePerson, and should be read in conjunction with the following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SoundHound for the year ended December 31, 2025, included in its Annual Report on Form 10-K filed with the Securities and Exchange Commission (“SEC”) on March 2,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SoundHound for the three months ended March 31, 2026, included in its Quarterly Report on Form 10-Q filed with the SEC on May 11,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LivePerson for the year ended December 31, 2025, included in its Annual Report on Form 10-K filed with the SEC on March 16,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LivePerson, Inc. for the three months ended March 31, 2026, included in its Quarterly Report on Form 10-Q filed with the SEC on May 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financial information of Interactions for the period from January 1, 2025 to September 2, 2025, which is derived from the historical unaudited pro forma condensed combined statement of operations of SoundHound for the nine months ended September 30, 2025, that are included as Exhibit 99.3 in the Company’s Report on Form 8-K/A filed with the SEC on November 17,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March 31,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thousands)</w:t>
      </w:r>
    </w:p>
    <w:tbl>
      <w:tblPr>
        <w:tblW w:w="13134" w:type="dxa"/>
        <w:jc w:val="left"/>
        <w:tblInd w:w="0" w:type="dxa"/>
        <w:tblLayout w:type="fixed"/>
        <w:tblCellMar>
          <w:top w:w="0" w:type="dxa"/>
          <w:left w:w="0" w:type="dxa"/>
          <w:bottom w:w="0" w:type="dxa"/>
          <w:right w:w="0" w:type="dxa"/>
        </w:tblCellMar>
      </w:tblPr>
      <w:tblGrid>
        <w:gridCol w:w="5071"/>
        <w:gridCol w:w="146"/>
        <w:gridCol w:w="286"/>
        <w:gridCol w:w="1126"/>
        <w:gridCol w:w="241"/>
        <w:gridCol w:w="146"/>
        <w:gridCol w:w="286"/>
        <w:gridCol w:w="1201"/>
        <w:gridCol w:w="241"/>
        <w:gridCol w:w="146"/>
        <w:gridCol w:w="286"/>
        <w:gridCol w:w="1126"/>
        <w:gridCol w:w="241"/>
        <w:gridCol w:w="146"/>
        <w:gridCol w:w="601"/>
        <w:gridCol w:w="146"/>
        <w:gridCol w:w="286"/>
        <w:gridCol w:w="1126"/>
        <w:gridCol w:w="286"/>
      </w:tblGrid>
      <w:tr>
        <w:trPr/>
        <w:tc>
          <w:tcPr>
            <w:tcW w:w="5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SoundHound Consolidated Balance Sheet Line Items</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SoundHound </w:t>
              <w:br/>
              <w:t>Historical</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LivePerson </w:t>
              <w:br/>
              <w:t xml:space="preserve">Historical </w:t>
              <w:br/>
              <w:t xml:space="preserve">As Adjusted </w:t>
              <w:br/>
              <w:t>(Note 2)</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 xml:space="preserve">Adjustments </w:t>
              <w:br/>
              <w:t>(Note 4)</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215,642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101,499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4(a), 4(b), 4(c)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262,390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 net of allowances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55,732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Contract assets and unbilled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36,117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288,805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145,945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379,999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Restricted cash equivalents,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5,992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122,277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184,540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(32,538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274,279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Intangible assets,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172,036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13,502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104,498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290,036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Contract assets and unbilled receivable, non-current,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104,374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4(f), 4(g)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644,951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(86,889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1,015,644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 AND 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Accrued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47,661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 4(h), 4(i)</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Finance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57,987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20,428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130,520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181,598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 net of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 net of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(373,723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Contingent acquisition liabilities, net of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87,334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87,334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liability, net of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184,285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509,078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(395,932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297,431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Series A Preferred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B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Treasury stock, at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1,442,560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1,023,338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(758,688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1,707,210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(982,094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(1,067,321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1,060,214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(989,201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460,666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(51,496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309,043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718,213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 and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644,951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(86,889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1,015,644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Unaudited Pro Forma Condensed Combined Statement of Operations</w:t>
        <w:br/>
        <w:t>For the year ended December 31, 2025</w:t>
        <w:br/>
        <w:t>(in thousands, except share and per share data)</w:t>
      </w:r>
    </w:p>
    <w:tbl>
      <w:tblPr>
        <w:tblW w:w="11414" w:type="dxa"/>
        <w:jc w:val="left"/>
        <w:tblInd w:w="0" w:type="dxa"/>
        <w:tblLayout w:type="fixed"/>
        <w:tblCellMar>
          <w:top w:w="0" w:type="dxa"/>
          <w:left w:w="0" w:type="dxa"/>
          <w:bottom w:w="0" w:type="dxa"/>
          <w:right w:w="0" w:type="dxa"/>
        </w:tblCellMar>
      </w:tblPr>
      <w:tblGrid>
        <w:gridCol w:w="1721"/>
        <w:gridCol w:w="146"/>
        <w:gridCol w:w="286"/>
        <w:gridCol w:w="1366"/>
        <w:gridCol w:w="241"/>
        <w:gridCol w:w="146"/>
        <w:gridCol w:w="359"/>
        <w:gridCol w:w="1037"/>
        <w:gridCol w:w="146"/>
        <w:gridCol w:w="286"/>
        <w:gridCol w:w="946"/>
        <w:gridCol w:w="241"/>
        <w:gridCol w:w="146"/>
        <w:gridCol w:w="294"/>
        <w:gridCol w:w="928"/>
        <w:gridCol w:w="249"/>
        <w:gridCol w:w="146"/>
        <w:gridCol w:w="646"/>
        <w:gridCol w:w="146"/>
        <w:gridCol w:w="286"/>
        <w:gridCol w:w="1366"/>
        <w:gridCol w:w="286"/>
      </w:tblGrid>
      <w:tr>
        <w:trPr/>
        <w:tc>
          <w:tcPr>
            <w:tcW w:w="1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SoundHound Consolidated</w:t>
              <w:br/>
              <w:t>Income Statement Line Items</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SoundHound</w:t>
              <w:br/>
              <w:t>Historical</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Interactions</w:t>
              <w:br/>
              <w:t>Historical &amp;</w:t>
              <w:br/>
              <w:t>Transaction</w:t>
              <w:br/>
              <w:t>Accounting</w:t>
              <w:br/>
              <w:t>(Note 3)</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As Adjusted</w:t>
              <w:br/>
              <w:t>(Note 2)</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Transaction</w:t>
              <w:br/>
              <w:t>Accounting</w:t>
              <w:br/>
              <w:t>Adjustments</w:t>
              <w:br/>
              <w:t>(Note 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br/>
              <w:t>Note</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Pro Forma</w:t>
              <w:br/>
              <w:t>Combined</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(15,934</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153,377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contingent acquisition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15,634</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4(p)</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192,192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40,649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(44,488</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510,794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4(q)</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(13,202</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4(o)</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(9,392</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35,096</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35,096</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405,421,412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409,456,342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Unaudited Pro Forma Condensed Combined Statement of Operations</w:t>
        <w:br/>
        <w:t>For the three months ended March 31, 2026</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2172"/>
        <w:gridCol w:w="146"/>
        <w:gridCol w:w="286"/>
        <w:gridCol w:w="1366"/>
        <w:gridCol w:w="241"/>
        <w:gridCol w:w="146"/>
        <w:gridCol w:w="286"/>
        <w:gridCol w:w="827"/>
        <w:gridCol w:w="241"/>
        <w:gridCol w:w="146"/>
        <w:gridCol w:w="321"/>
        <w:gridCol w:w="878"/>
        <w:gridCol w:w="272"/>
        <w:gridCol w:w="146"/>
        <w:gridCol w:w="646"/>
        <w:gridCol w:w="146"/>
        <w:gridCol w:w="286"/>
        <w:gridCol w:w="1366"/>
        <w:gridCol w:w="287"/>
      </w:tblGrid>
      <w:tr>
        <w:trPr/>
        <w:tc>
          <w:tcPr>
            <w:tcW w:w="21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SoundHound Consolidated</w:t>
              <w:br/>
              <w:t>Income Statement Line Items</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SoundHound</w:t>
              <w:br/>
              <w:t>Historical</w:t>
            </w:r>
          </w:p>
        </w:tc>
        <w:tc>
          <w:tcPr>
            <w:tcW w:w="146" w:type="dxa"/>
            <w:tcBorders/>
            <w:vAlign w:val="bottom"/>
          </w:tcPr>
          <w:p>
            <w:pPr>
              <w:pStyle w:val="TableContents"/>
              <w:bidi w:val="0"/>
              <w:spacing w:before="0" w:after="283"/>
              <w:jc w:val="left"/>
              <w:rPr/>
            </w:pPr>
            <w:r>
              <w:rPr/>
              <w:t> </w:t>
            </w:r>
          </w:p>
        </w:tc>
        <w:tc>
          <w:tcPr>
            <w:tcW w:w="135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As Adjusted</w:t>
              <w:br/>
              <w:t>(Note 2)</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br/>
              <w:t>Accounting</w:t>
              <w:br/>
              <w:t>Adjustments</w:t>
              <w:br/>
              <w:t>(Note 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Note</w:t>
            </w:r>
          </w:p>
        </w:tc>
        <w:tc>
          <w:tcPr>
            <w:tcW w:w="146" w:type="dxa"/>
            <w:tcBorders/>
            <w:vAlign w:val="bottom"/>
          </w:tcPr>
          <w:p>
            <w:pPr>
              <w:pStyle w:val="TableContents"/>
              <w:bidi w:val="0"/>
              <w:spacing w:before="0" w:after="283"/>
              <w:jc w:val="left"/>
              <w:rPr/>
            </w:pPr>
            <w:r>
              <w:rPr/>
              <w:t> </w:t>
            </w:r>
          </w:p>
        </w:tc>
        <w:tc>
          <w:tcPr>
            <w:tcW w:w="19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Pro Forma</w:t>
              <w:br/>
              <w:t>Combined</w:t>
            </w:r>
          </w:p>
        </w:tc>
      </w:tr>
      <w:tr>
        <w:trPr/>
        <w:tc>
          <w:tcPr>
            <w:tcW w:w="2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101,151</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48,952</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(4,100</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29,315</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37,976</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contingent acquisition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123,499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4(o)</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7,136</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w:t>
            </w:r>
          </w:p>
        </w:tc>
        <w:tc>
          <w:tcPr>
            <w:tcW w:w="2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(23,522</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421,472,827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429,783,201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Unaudited Pro Forma Condensed Combined Financial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in accordance with Article 11 of Regulation S-X. The historical financial information of SoundHound, Interactions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includes certain reclassifications to conform LivePerson’s and Interactions’ historical accounting presentation to SoundHound’s accounting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gives effect to the LivePerson Merger, as if the Merger had been completed on March 31, 2026 and combines the unaudited condensed consolidated balance sheet of SoundHound as of March 31, 2026 with LivePerson’s unaudited condensed consolidated balance sheet as of March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statements of operations for the year ended December 31, 2025 and the three months ended March 31, 2026 give effect to the LivePerson Merger as if it had occurred on January 1, 2025, the first day of SoundHound’s fiscal 2025, and combines the historical results of SoundHound, Interactions, and LivePerson. The unaudited pro forma condensed combined statement of operations for the year ended December 31, 2025 combines the audited consolidated statement of operations of SoundHound for the year ended December 31, 2025 with LivePerson’s audited consolidated statement of operations for the year ended December 31, 2025 and Interactions’ unaudited consolidated statement of operations from January 1, 2025 to September 2, 2025. The unaudited pro forma condensed combined statement of operations for the three months ended March 31, 2026 combines the unaudited condensed consolidated statement of operations of SoundHound for the three months ended March 31, 2026 with LivePerson’s unaudited condensed consolidated statement of operations for the three months ended March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pro forma adjustments, which SoundHound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LivePerson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could be significantly different than what is presented in these unaudited pro forma financial statements depending on post-business combination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Reclassification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used in the preparation of the unaudited pro forma condensed combined financial information are those set out in SoundHound’s unaudited condensed consolidated financial statements as of and for the three months ended March 31, 2026 and SoundHound’s audited annual financial statements as of and for the year ended December 31, 2025.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balance sheet as of March 31, 2026, to conform presentation to that of SoundHound (in thousands):</w:t>
      </w:r>
    </w:p>
    <w:tbl>
      <w:tblPr>
        <w:tblW w:w="10205" w:type="dxa"/>
        <w:jc w:val="left"/>
        <w:tblInd w:w="0" w:type="dxa"/>
        <w:tblLayout w:type="fixed"/>
        <w:tblCellMar>
          <w:top w:w="0" w:type="dxa"/>
          <w:left w:w="0" w:type="dxa"/>
          <w:bottom w:w="0" w:type="dxa"/>
          <w:right w:w="0" w:type="dxa"/>
        </w:tblCellMar>
      </w:tblPr>
      <w:tblGrid>
        <w:gridCol w:w="2246"/>
        <w:gridCol w:w="146"/>
        <w:gridCol w:w="2148"/>
        <w:gridCol w:w="146"/>
        <w:gridCol w:w="301"/>
        <w:gridCol w:w="1002"/>
        <w:gridCol w:w="146"/>
        <w:gridCol w:w="350"/>
        <w:gridCol w:w="1106"/>
        <w:gridCol w:w="297"/>
        <w:gridCol w:w="146"/>
        <w:gridCol w:w="672"/>
        <w:gridCol w:w="146"/>
        <w:gridCol w:w="301"/>
        <w:gridCol w:w="1052"/>
      </w:tblGrid>
      <w:tr>
        <w:trPr/>
        <w:tc>
          <w:tcPr>
            <w:tcW w:w="22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w:t>
              <w:br/>
              <w:t>Balance Sheet Line Items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Balance Sheet Line Items</w:t>
            </w:r>
          </w:p>
        </w:tc>
        <w:tc>
          <w:tcPr>
            <w:tcW w:w="146" w:type="dxa"/>
            <w:tcBorders/>
            <w:vAlign w:val="bottom"/>
          </w:tcPr>
          <w:p>
            <w:pPr>
              <w:pStyle w:val="TableContents"/>
              <w:bidi w:val="0"/>
              <w:spacing w:before="0" w:after="283"/>
              <w:jc w:val="left"/>
              <w:rPr/>
            </w:pPr>
            <w:r>
              <w:rPr/>
              <w:t> </w:t>
            </w:r>
          </w:p>
        </w:tc>
        <w:tc>
          <w:tcPr>
            <w:tcW w:w="130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shd w:fill="CCEEFF" w:val="clear"/>
            <w:vAlign w:val="bottom"/>
          </w:tcPr>
          <w:p>
            <w:pPr>
              <w:pStyle w:val="TableContents"/>
              <w:bidi w:val="0"/>
              <w:spacing w:before="0" w:after="283"/>
              <w:jc w:val="left"/>
              <w:rPr/>
            </w:pPr>
            <w:r>
              <w:rPr/>
              <w:t> </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101,499</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101,499</w:t>
            </w:r>
          </w:p>
        </w:tc>
      </w:tr>
      <w:tr>
        <w:trPr/>
        <w:tc>
          <w:tcPr>
            <w:tcW w:w="22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29,029</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25,664</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unbilled receivable,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r>
      <w:tr>
        <w:trPr/>
        <w:tc>
          <w:tcPr>
            <w:tcW w:w="224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145,945</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145,945</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87,858</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(83,242</w:t>
            </w:r>
          </w:p>
        </w:tc>
        <w:tc>
          <w:tcPr>
            <w:tcW w:w="2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acquisition costs,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20,856</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20,856</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83,170</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83,518</w:t>
            </w:r>
          </w:p>
        </w:tc>
      </w:tr>
      <w:tr>
        <w:trPr/>
        <w:tc>
          <w:tcPr>
            <w:tcW w:w="224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shd w:fill="CCEEFF" w:val="clear"/>
            <w:vAlign w:val="bottom"/>
          </w:tcPr>
          <w:p>
            <w:pPr>
              <w:pStyle w:val="TableContents"/>
              <w:bidi w:val="0"/>
              <w:spacing w:before="0" w:after="283"/>
              <w:jc w:val="left"/>
              <w:rPr/>
            </w:pPr>
            <w:r>
              <w:rPr/>
              <w:t> </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vAlign w:val="bottom"/>
          </w:tcPr>
          <w:p>
            <w:pPr>
              <w:pStyle w:val="TableContents"/>
              <w:bidi w:val="0"/>
              <w:spacing w:before="0" w:after="283"/>
              <w:jc w:val="left"/>
              <w:rPr/>
            </w:pPr>
            <w:r>
              <w:rPr/>
              <w:t> </w:t>
            </w:r>
          </w:p>
        </w:tc>
      </w:tr>
      <w:tr>
        <w:trPr/>
        <w:tc>
          <w:tcPr>
            <w:tcW w:w="22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48,105</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47,661</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debt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r>
      <w:tr>
        <w:trPr/>
        <w:tc>
          <w:tcPr>
            <w:tcW w:w="224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130,520</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130,520</w:t>
            </w:r>
          </w:p>
        </w:tc>
      </w:tr>
      <w:tr>
        <w:trPr/>
        <w:tc>
          <w:tcPr>
            <w:tcW w:w="2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98"/>
        <w:gridCol w:w="146"/>
        <w:gridCol w:w="1783"/>
        <w:gridCol w:w="146"/>
        <w:gridCol w:w="286"/>
        <w:gridCol w:w="1201"/>
        <w:gridCol w:w="241"/>
        <w:gridCol w:w="146"/>
        <w:gridCol w:w="721"/>
        <w:gridCol w:w="1024"/>
        <w:gridCol w:w="146"/>
        <w:gridCol w:w="646"/>
        <w:gridCol w:w="146"/>
        <w:gridCol w:w="286"/>
        <w:gridCol w:w="1201"/>
        <w:gridCol w:w="288"/>
      </w:tblGrid>
      <w:tr>
        <w:trPr/>
        <w:tc>
          <w:tcPr>
            <w:tcW w:w="17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w:t>
              <w:br/>
              <w:t>Balance Sheet Line Items</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Balance Sheet Line Items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7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notes, net of current portion</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509,078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509,078</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 at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(51,496</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LivePerson’s historical right-of-use assets of $0.1 million from other assets to right-of-use assets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LivePerson’s historical other current liabilities of $0.4 million from accrued expenses and other current liabilities to other current liabilities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Reclassification of LivePerson’s historical lease liabilities of $0.1 million from accrued expenses and other current liabilities to operating lease liabilities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Reclassification of LivePerson’s historical unbilled receivables of $3.4 million from accounts receivable, net of allowances to contract assets and unbilled receivable, net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Reclassification of LivePerson’s historical internal-use software development costs of $83.2 million from property and equipment to other non-current assets within SoundHound’s balance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statement of operations for the year ended December 31, 2025, to conform presentation to that of SoundHound (in thousands):</w:t>
      </w:r>
    </w:p>
    <w:tbl>
      <w:tblPr>
        <w:tblW w:w="13975" w:type="dxa"/>
        <w:jc w:val="left"/>
        <w:tblInd w:w="0" w:type="dxa"/>
        <w:tblLayout w:type="fixed"/>
        <w:tblCellMar>
          <w:top w:w="0" w:type="dxa"/>
          <w:left w:w="0" w:type="dxa"/>
          <w:bottom w:w="0" w:type="dxa"/>
          <w:right w:w="0" w:type="dxa"/>
        </w:tblCellMar>
      </w:tblPr>
      <w:tblGrid>
        <w:gridCol w:w="4111"/>
        <w:gridCol w:w="146"/>
        <w:gridCol w:w="3826"/>
        <w:gridCol w:w="146"/>
        <w:gridCol w:w="286"/>
        <w:gridCol w:w="946"/>
        <w:gridCol w:w="206"/>
        <w:gridCol w:w="146"/>
        <w:gridCol w:w="1398"/>
        <w:gridCol w:w="343"/>
        <w:gridCol w:w="146"/>
        <w:gridCol w:w="646"/>
        <w:gridCol w:w="146"/>
        <w:gridCol w:w="286"/>
        <w:gridCol w:w="946"/>
        <w:gridCol w:w="251"/>
      </w:tblGrid>
      <w:tr>
        <w:trPr/>
        <w:tc>
          <w:tcPr>
            <w:tcW w:w="4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Statement of </w:t>
              <w:br/>
              <w:t>Operations Line Items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Statement of Operations Line Items</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expenses and other:</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(exclusive of depreciation and amortization shown separately below)</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69,392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74,818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13,939</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44,441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44,676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 costs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(22,732</w:t>
            </w:r>
          </w:p>
        </w:tc>
        <w:tc>
          <w:tcPr>
            <w:tcW w:w="34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3681" w:type="dxa"/>
        <w:jc w:val="left"/>
        <w:tblInd w:w="0" w:type="dxa"/>
        <w:tblLayout w:type="fixed"/>
        <w:tblCellMar>
          <w:top w:w="0" w:type="dxa"/>
          <w:left w:w="0" w:type="dxa"/>
          <w:bottom w:w="0" w:type="dxa"/>
          <w:right w:w="0" w:type="dxa"/>
        </w:tblCellMar>
      </w:tblPr>
      <w:tblGrid>
        <w:gridCol w:w="4111"/>
        <w:gridCol w:w="146"/>
        <w:gridCol w:w="3826"/>
        <w:gridCol w:w="146"/>
        <w:gridCol w:w="229"/>
        <w:gridCol w:w="852"/>
        <w:gridCol w:w="210"/>
        <w:gridCol w:w="146"/>
        <w:gridCol w:w="410"/>
        <w:gridCol w:w="1034"/>
        <w:gridCol w:w="297"/>
        <w:gridCol w:w="146"/>
        <w:gridCol w:w="646"/>
        <w:gridCol w:w="146"/>
        <w:gridCol w:w="229"/>
        <w:gridCol w:w="852"/>
        <w:gridCol w:w="255"/>
      </w:tblGrid>
      <w:tr>
        <w:trPr/>
        <w:tc>
          <w:tcPr>
            <w:tcW w:w="4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Statement of </w:t>
              <w:br/>
              <w:t>Operations Line Items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Statement of Operations Line Items</w:t>
            </w:r>
          </w:p>
        </w:tc>
        <w:tc>
          <w:tcPr>
            <w:tcW w:w="146" w:type="dxa"/>
            <w:tcBorders/>
            <w:vAlign w:val="bottom"/>
          </w:tcPr>
          <w:p>
            <w:pPr>
              <w:pStyle w:val="TableContents"/>
              <w:bidi w:val="0"/>
              <w:spacing w:before="0" w:after="283"/>
              <w:jc w:val="left"/>
              <w:rPr/>
            </w:pPr>
            <w:r>
              <w:rPr/>
              <w:t> </w:t>
            </w:r>
          </w:p>
        </w:tc>
        <w:tc>
          <w:tcPr>
            <w:tcW w:w="129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r>
          </w:p>
        </w:tc>
        <w:tc>
          <w:tcPr>
            <w:tcW w:w="146" w:type="dxa"/>
            <w:tcBorders/>
            <w:vAlign w:val="bottom"/>
          </w:tcPr>
          <w:p>
            <w:pPr>
              <w:pStyle w:val="TableContents"/>
              <w:bidi w:val="0"/>
              <w:spacing w:before="0" w:after="283"/>
              <w:jc w:val="left"/>
              <w:rPr/>
            </w:pPr>
            <w:r>
              <w:rPr/>
              <w:t> </w:t>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9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13,977</w:t>
            </w:r>
          </w:p>
        </w:tc>
        <w:tc>
          <w:tcPr>
            <w:tcW w:w="2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18,728</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Total other income (expense), </w:t>
              <w:br/>
              <w:t>net</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for income taxes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$22.7 million of historical LivePerson’s depreciation and amortization to cost of revenues, sales and marketing, general and administrative, research and development, and amortization of intangible assets within SoundHound’s statement of operations line items.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$4.8 million of historical LivePerson’s interest income from interest income to other income, net within SoundHound’s statement of operations line item.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statement of operations for the three months ended March 31, 2026, to conform presentation to that of SoundHound (in thousands):</w:t>
      </w:r>
    </w:p>
    <w:tbl>
      <w:tblPr>
        <w:tblW w:w="10865" w:type="dxa"/>
        <w:jc w:val="left"/>
        <w:tblInd w:w="0" w:type="dxa"/>
        <w:tblLayout w:type="fixed"/>
        <w:tblCellMar>
          <w:top w:w="0" w:type="dxa"/>
          <w:left w:w="0" w:type="dxa"/>
          <w:bottom w:w="0" w:type="dxa"/>
          <w:right w:w="0" w:type="dxa"/>
        </w:tblCellMar>
      </w:tblPr>
      <w:tblGrid>
        <w:gridCol w:w="3496"/>
        <w:gridCol w:w="146"/>
        <w:gridCol w:w="1501"/>
        <w:gridCol w:w="146"/>
        <w:gridCol w:w="286"/>
        <w:gridCol w:w="826"/>
        <w:gridCol w:w="241"/>
        <w:gridCol w:w="146"/>
        <w:gridCol w:w="398"/>
        <w:gridCol w:w="1005"/>
        <w:gridCol w:w="338"/>
        <w:gridCol w:w="146"/>
        <w:gridCol w:w="646"/>
        <w:gridCol w:w="146"/>
        <w:gridCol w:w="286"/>
        <w:gridCol w:w="826"/>
        <w:gridCol w:w="286"/>
      </w:tblGrid>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Income </w:t>
              <w:br/>
              <w:t>Statement Line Items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Income Statement Line Items</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(Adjusted)</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expenses and other:</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(exclusive of depreciation and amortization shown separately below)</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3,256</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expense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33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3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LivePerson’s historical depreciation and amortization of $5.1 million to cost of revenues, sales and marketing, general and administrative, research and development, and amortization of intangible assets within SoundHound’s statement of operations line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LivePerson’s historical interest income of $0.5 million from interest income to other income, net within SoundHound’s statement of operations line item.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Transaction Accounting Adjustments to Unaudited Pro Forma Condensed Combined Statement of Operations for the year ended December 31, 2025, pertaining to the Interactions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 of operations information for Interactions from September 3, 2025 to December 31, 2025, is already included in SoundHound’s historical fiscal year 2025 results. The transaction accounting adjustments for the Interactions Acquisition in the unaudited pro forma condensed combined statement of operations for the year ended December 31, 2025, are intended to derive pro forma financial information from January 1, 2025 to September 2, 2025, as if the Interactions Acquisition closed on January 1, 2025, as follows:</w:t>
      </w:r>
    </w:p>
    <w:tbl>
      <w:tblPr>
        <w:tblW w:w="10205" w:type="dxa"/>
        <w:jc w:val="left"/>
        <w:tblInd w:w="0" w:type="dxa"/>
        <w:tblLayout w:type="fixed"/>
        <w:tblCellMar>
          <w:top w:w="0" w:type="dxa"/>
          <w:left w:w="0" w:type="dxa"/>
          <w:bottom w:w="0" w:type="dxa"/>
          <w:right w:w="0" w:type="dxa"/>
        </w:tblCellMar>
      </w:tblPr>
      <w:tblGrid>
        <w:gridCol w:w="4242"/>
        <w:gridCol w:w="146"/>
        <w:gridCol w:w="305"/>
        <w:gridCol w:w="882"/>
        <w:gridCol w:w="257"/>
        <w:gridCol w:w="146"/>
        <w:gridCol w:w="321"/>
        <w:gridCol w:w="878"/>
        <w:gridCol w:w="272"/>
        <w:gridCol w:w="146"/>
        <w:gridCol w:w="947"/>
        <w:gridCol w:w="146"/>
        <w:gridCol w:w="374"/>
        <w:gridCol w:w="1143"/>
      </w:tblGrid>
      <w:tr>
        <w:trPr/>
        <w:tc>
          <w:tcPr>
            <w:tcW w:w="424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1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January 1, 2025 to September 2, 2025</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1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Historical </w:t>
              <w:br/>
              <w:t>(unaudited)</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Historical &amp; </w:t>
              <w:br/>
              <w:t xml:space="preserve">Transaction </w:t>
              <w:br/>
              <w:t xml:space="preserve">Accounting </w:t>
              <w:br/>
              <w:t>Adjustments</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20,323</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(4,932</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 3(b)</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15,391</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6,426</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3(b)</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r>
      <w:tr>
        <w:trPr/>
        <w:tc>
          <w:tcPr>
            <w:tcW w:w="424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42,114</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40,649</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3(c)</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3(d)</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424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(2,680</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4,433</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3(e)</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3,804</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non-controlling interest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3(f)</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Interactions</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elimination of Interactions’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assets and the associated useful lives.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acquired intangible assets have been amortized using a straight-line method based on their estimated useful lives as if the Acquisition had been completed on January 1, 2025.</w:t>
      </w:r>
    </w:p>
    <w:tbl>
      <w:tblPr>
        <w:tblW w:w="9684" w:type="dxa"/>
        <w:jc w:val="left"/>
        <w:tblInd w:w="0" w:type="dxa"/>
        <w:tblLayout w:type="fixed"/>
        <w:tblCellMar>
          <w:top w:w="0" w:type="dxa"/>
          <w:left w:w="0" w:type="dxa"/>
          <w:bottom w:w="0" w:type="dxa"/>
          <w:right w:w="0" w:type="dxa"/>
        </w:tblCellMar>
      </w:tblPr>
      <w:tblGrid>
        <w:gridCol w:w="6496"/>
        <w:gridCol w:w="146"/>
        <w:gridCol w:w="475"/>
        <w:gridCol w:w="1175"/>
        <w:gridCol w:w="146"/>
        <w:gridCol w:w="1246"/>
      </w:tblGrid>
      <w:tr>
        <w:trPr/>
        <w:tc>
          <w:tcPr>
            <w:tcW w:w="6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1, </w:t>
              <w:br/>
              <w:t xml:space="preserve">2025 to </w:t>
              <w:br/>
              <w:t xml:space="preserve">September 2, </w:t>
              <w:b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6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6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6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amortization expense for acquired intangible assets</w:t>
            </w:r>
          </w:p>
        </w:tc>
        <w:tc>
          <w:tcPr>
            <w:tcW w:w="146" w:type="dxa"/>
            <w:tcBorders/>
            <w:vAlign w:val="bottom"/>
          </w:tcPr>
          <w:p>
            <w:pPr>
              <w:pStyle w:val="TableContents"/>
              <w:bidi w:val="0"/>
              <w:spacing w:before="0" w:after="283"/>
              <w:jc w:val="left"/>
              <w:rPr/>
            </w:pPr>
            <w:r>
              <w:rPr/>
              <w:t> </w:t>
            </w:r>
          </w:p>
        </w:tc>
        <w:tc>
          <w:tcPr>
            <w:tcW w:w="4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Cost of revenues —</w:t>
      </w:r>
    </w:p>
    <w:tbl>
      <w:tblPr>
        <w:tblW w:w="9432" w:type="dxa"/>
        <w:jc w:val="left"/>
        <w:tblInd w:w="0" w:type="dxa"/>
        <w:tblLayout w:type="fixed"/>
        <w:tblCellMar>
          <w:top w:w="0" w:type="dxa"/>
          <w:left w:w="0" w:type="dxa"/>
          <w:bottom w:w="0" w:type="dxa"/>
          <w:right w:w="0" w:type="dxa"/>
        </w:tblCellMar>
      </w:tblPr>
      <w:tblGrid>
        <w:gridCol w:w="7591"/>
        <w:gridCol w:w="146"/>
        <w:gridCol w:w="466"/>
        <w:gridCol w:w="1229"/>
      </w:tblGrid>
      <w:tr>
        <w:trPr/>
        <w:tc>
          <w:tcPr>
            <w:tcW w:w="75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1, </w:t>
              <w:br/>
              <w:t xml:space="preserve">2025 to </w:t>
              <w:br/>
              <w:t xml:space="preserve">September 2, </w:t>
              <w:br/>
              <w:t>2025</w:t>
            </w:r>
          </w:p>
        </w:tc>
      </w:tr>
      <w:tr>
        <w:trPr/>
        <w:tc>
          <w:tcPr>
            <w:tcW w:w="7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7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(developed technology)</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r>
      <w:tr>
        <w:trPr/>
        <w:tc>
          <w:tcPr>
            <w:tcW w:w="7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historical Interactions’ intangible asset amortization expense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7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cost of revenues</w:t>
            </w:r>
          </w:p>
        </w:tc>
        <w:tc>
          <w:tcPr>
            <w:tcW w:w="146" w:type="dxa"/>
            <w:tcBorders/>
            <w:shd w:fill="CCEEFF" w:val="clear"/>
            <w:vAlign w:val="bottom"/>
          </w:tcPr>
          <w:p>
            <w:pPr>
              <w:pStyle w:val="TableContents"/>
              <w:bidi w:val="0"/>
              <w:spacing w:before="0" w:after="283"/>
              <w:jc w:val="left"/>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Amortization of intangible assets —</w:t>
      </w:r>
    </w:p>
    <w:tbl>
      <w:tblPr>
        <w:tblW w:w="10205" w:type="dxa"/>
        <w:jc w:val="left"/>
        <w:tblInd w:w="0" w:type="dxa"/>
        <w:tblLayout w:type="fixed"/>
        <w:tblCellMar>
          <w:top w:w="0" w:type="dxa"/>
          <w:left w:w="0" w:type="dxa"/>
          <w:bottom w:w="0" w:type="dxa"/>
          <w:right w:w="0" w:type="dxa"/>
        </w:tblCellMar>
      </w:tblPr>
      <w:tblGrid>
        <w:gridCol w:w="8384"/>
        <w:gridCol w:w="146"/>
        <w:gridCol w:w="373"/>
        <w:gridCol w:w="926"/>
        <w:gridCol w:w="376"/>
      </w:tblGrid>
      <w:tr>
        <w:trPr/>
        <w:tc>
          <w:tcPr>
            <w:tcW w:w="83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period from</w:t>
              <w:br/>
              <w:t xml:space="preserve">January 1, </w:t>
              <w:br/>
              <w:t xml:space="preserve">2025 to </w:t>
              <w:br/>
              <w:t xml:space="preserve">September 2, </w:t>
              <w:br/>
              <w:t>2025</w:t>
            </w:r>
          </w:p>
        </w:tc>
      </w:tr>
      <w:tr>
        <w:trPr/>
        <w:tc>
          <w:tcPr>
            <w:tcW w:w="83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83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(customer relationships and trademark/trade name)</w:t>
            </w:r>
          </w:p>
        </w:tc>
        <w:tc>
          <w:tcPr>
            <w:tcW w:w="146"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3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historical Interactions’ intangible asset amortization expense</w:t>
            </w:r>
          </w:p>
        </w:tc>
        <w:tc>
          <w:tcPr>
            <w:tcW w:w="146" w:type="dxa"/>
            <w:tcBorders/>
            <w:vAlign w:val="bottom"/>
          </w:tcPr>
          <w:p>
            <w:pPr>
              <w:pStyle w:val="TableContents"/>
              <w:bidi w:val="0"/>
              <w:spacing w:before="0" w:after="283"/>
              <w:jc w:val="left"/>
              <w:rPr/>
            </w:pPr>
            <w:r>
              <w:rPr/>
              <w:t> </w:t>
            </w:r>
          </w:p>
        </w:tc>
        <w:tc>
          <w:tcPr>
            <w:tcW w:w="3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3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amortization of intangible assets</w:t>
            </w:r>
          </w:p>
        </w:tc>
        <w:tc>
          <w:tcPr>
            <w:tcW w:w="146" w:type="dxa"/>
            <w:tcBorders/>
            <w:shd w:fill="CCEEFF" w:val="clear"/>
            <w:vAlign w:val="bottom"/>
          </w:tcPr>
          <w:p>
            <w:pPr>
              <w:pStyle w:val="TableContents"/>
              <w:bidi w:val="0"/>
              <w:spacing w:before="0" w:after="283"/>
              <w:jc w:val="left"/>
              <w:rPr/>
            </w:pPr>
            <w:r>
              <w:rPr/>
              <w:t> </w:t>
            </w:r>
          </w:p>
        </w:tc>
        <w:tc>
          <w:tcPr>
            <w:tcW w:w="3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elimination of historical deferred commission amortization and capitalized contract expense from sales and marketing expenses, and historical amortization of capitalized software development costs from Cost of revenues.</w:t>
      </w:r>
    </w:p>
    <w:tbl>
      <w:tblPr>
        <w:tblW w:w="3971" w:type="dxa"/>
        <w:jc w:val="left"/>
        <w:tblInd w:w="0" w:type="dxa"/>
        <w:tblLayout w:type="fixed"/>
        <w:tblCellMar>
          <w:top w:w="0" w:type="dxa"/>
          <w:left w:w="0" w:type="dxa"/>
          <w:bottom w:w="0" w:type="dxa"/>
          <w:right w:w="0" w:type="dxa"/>
        </w:tblCellMar>
      </w:tblPr>
      <w:tblGrid>
        <w:gridCol w:w="2131"/>
        <w:gridCol w:w="146"/>
        <w:gridCol w:w="357"/>
        <w:gridCol w:w="979"/>
        <w:gridCol w:w="358"/>
      </w:tblGrid>
      <w:tr>
        <w:trPr/>
        <w:tc>
          <w:tcPr>
            <w:tcW w:w="2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period from</w:t>
            </w:r>
            <w:r>
              <w:rPr>
                <w:rFonts w:ascii="Times New Roman PS Std;serif" w:hAnsi="Times New Roman PS Std;serif"/>
                <w:b/>
                <w:i w:val="false"/>
                <w:caps w:val="false"/>
                <w:smallCaps w:val="false"/>
                <w:sz w:val="18"/>
                <w:u w:val="single"/>
              </w:rPr>
              <w:t xml:space="preserve"> </w:t>
              <w:br/>
            </w:r>
            <w:r>
              <w:rPr>
                <w:rFonts w:ascii="Times New Roman PS Std;serif" w:hAnsi="Times New Roman PS Std;serif"/>
                <w:b/>
                <w:i w:val="false"/>
                <w:caps w:val="false"/>
                <w:smallCaps w:val="false"/>
                <w:sz w:val="18"/>
              </w:rPr>
              <w:t xml:space="preserve">January 1, </w:t>
              <w:br/>
              <w:t xml:space="preserve">2025 to </w:t>
              <w:br/>
              <w:t xml:space="preserve">September 2, </w:t>
              <w:br/>
              <w:t>2025</w:t>
            </w:r>
          </w:p>
        </w:tc>
      </w:tr>
      <w:tr>
        <w:trPr/>
        <w:tc>
          <w:tcPr>
            <w:tcW w:w="2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3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w:t>
            </w:r>
          </w:p>
        </w:tc>
        <w:tc>
          <w:tcPr>
            <w:tcW w:w="3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the reduction of $4.1 million in historical interest expense related to the settlement of Interactions’ debt at closing.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an adjustment to eliminate the historical fair value adjustments of warrant liabilities extinguished as a result of the Acquisition, resulting in a reduction of $1.1 million of historical gains.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elimination of $0.6 million of tax benefit. Prior to the acquisition, Interactions held interest in a partnership and recorded a deferred tax liability associated with the outside basis difference and recorded the corresponding deferred tax expense/benefit as a result of changes to the deferred tax liability. However, upon the Acquisition, the partnership became a single member LLC and the deferred tax liability is no longer needed. Accordingly, no deferred tax expense/benefit would be recorded.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elimination of $0.3 million of loss, from earnings attributable to non-controlling interest due to changes in Interactions’ ownership structure.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Transaction Accounting Adjustments to Unaudited Pro Forma Condensed Combined Balance Sheet and Statement of Operations — LivePerson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preliminary consideration of $271.8 million was determined by reference to the fair value of SoundHound’s common stock on June 25, 2026 of $6.21 per share. The calculation of estimated preliminary consideration is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Preliminary Consideration</w:t>
      </w:r>
    </w:p>
    <w:tbl>
      <w:tblPr>
        <w:tblW w:w="10205" w:type="dxa"/>
        <w:jc w:val="left"/>
        <w:tblInd w:w="0" w:type="dxa"/>
        <w:tblLayout w:type="fixed"/>
        <w:tblCellMar>
          <w:top w:w="0" w:type="dxa"/>
          <w:left w:w="0" w:type="dxa"/>
          <w:bottom w:w="0" w:type="dxa"/>
          <w:right w:w="0" w:type="dxa"/>
        </w:tblCellMar>
      </w:tblPr>
      <w:tblGrid>
        <w:gridCol w:w="5018"/>
        <w:gridCol w:w="146"/>
        <w:gridCol w:w="1530"/>
        <w:gridCol w:w="178"/>
        <w:gridCol w:w="471"/>
        <w:gridCol w:w="966"/>
        <w:gridCol w:w="178"/>
        <w:gridCol w:w="369"/>
        <w:gridCol w:w="1349"/>
      </w:tblGrid>
      <w:tr>
        <w:trPr/>
        <w:tc>
          <w:tcPr>
            <w:tcW w:w="5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78"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78" w:type="dxa"/>
            <w:tcBorders/>
            <w:vAlign w:val="bottom"/>
          </w:tcPr>
          <w:p>
            <w:pPr>
              <w:pStyle w:val="TableContents"/>
              <w:bidi w:val="0"/>
              <w:spacing w:before="0" w:after="283"/>
              <w:jc w:val="left"/>
              <w:rPr/>
            </w:pPr>
            <w:r>
              <w:rPr/>
              <w:t> </w:t>
            </w:r>
          </w:p>
        </w:tc>
        <w:tc>
          <w:tcPr>
            <w:tcW w:w="171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41"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share and per share amounts)</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SoundHound shares issued for settlement of Secured Notes(1)</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37,316,495</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231,735</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SoundHound shares issued to holders of non-TASE Shares(2)</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5,086,246</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31,586</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replacement equity awards for LivePerson’s equity awards(3)</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176,136</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equity consideration for LivePerson’s equity awards settled(4)</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54,423</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cash consideration to holders of TASE Share(5)</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7,181</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4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271,835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SoundHound expects the Secured Notes to be entirely settled in shares of Class A Common Stock. As such, estimated preliminary consideration is equal to the fair value of shares issued to holders of the Secured Notes based on the Total Consideration for the First and Second Lien Secured Notes each divided by the $7.00 floor price as follows:</w:t>
      </w:r>
    </w:p>
    <w:tbl>
      <w:tblPr>
        <w:tblW w:w="9520" w:type="dxa"/>
        <w:jc w:val="left"/>
        <w:tblInd w:w="0" w:type="dxa"/>
        <w:tblLayout w:type="fixed"/>
        <w:tblCellMar>
          <w:top w:w="0" w:type="dxa"/>
          <w:left w:w="0" w:type="dxa"/>
          <w:bottom w:w="0" w:type="dxa"/>
          <w:right w:w="0" w:type="dxa"/>
        </w:tblCellMar>
      </w:tblPr>
      <w:tblGrid>
        <w:gridCol w:w="3676"/>
        <w:gridCol w:w="146"/>
        <w:gridCol w:w="301"/>
        <w:gridCol w:w="1531"/>
        <w:gridCol w:w="146"/>
        <w:gridCol w:w="301"/>
        <w:gridCol w:w="1396"/>
        <w:gridCol w:w="146"/>
        <w:gridCol w:w="301"/>
        <w:gridCol w:w="1576"/>
      </w:tblGrid>
      <w:tr>
        <w:trPr/>
        <w:tc>
          <w:tcPr>
            <w:tcW w:w="3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First Lien</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Second Lien</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Consideration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178,007,734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83,207,733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261,215,467</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Divided by floor price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7.00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7.00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to be issued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25,429,676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11,886,819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37,316,495</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Multiplied by fair value per share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fair value of shares issued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157,918,288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73,817,146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231,735,434</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Common stock consideration is computed based on the Shareholder Consideration Amount of $42.8 million divided by the $7.00 floor multiplied by the quotient of the fully diluted non-TASE Shares divided by the fully diluted shares of LivePerson common stock issued and outstanding, rounded to the nearest whole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Certain Board of Directors’ and vested equity awards of LivePerson will be settled in shares of SoundHound common stock. Such settlement of equity awards represents estimated preliminary consideration.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Cash consideration to TASE shareholders amounting to $7.2 million is computed by the lower of (a) $7.5 million, and (b) the Closing Merger Consideration multiplied by the 10-day VWAP stock price of $6.84 estimated as of June 25, 2026, and further multiplied by the quotient of the fully diluted TASE Shares divided by the fully diluted shares of LivePerson common stock issued and outstanding. The maximum amount of cash that can be granted to TASE shareholders is $7.5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June 25, 2026 was determined to be the most recent practicable date prior to the effective date. As such, June 25, 2026 was the last day of this ten-day volume-weighted period, in which the stock price was determined.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sensitivity analysis on the SoundHound share price was performed to assess the impact on purchase consideration at each end of the collar, or $7 per share and $12 per share, and a change of 30% on the closing date share price of $6.21 estimated as of June 25, 2026, as this represents a reasonable range for share price based on recent volatility. Purchase consideration will not be impacted by stock price volatility within the collar when SoundHound Closing Stock Price and closing date share price match. If the closing share price falls below the floor, purchase consideration will decrease ratably by the shortfall of the share price against the floor. Likewise, if the share price exceeds the cap, purchase consideration will increase ratably by the excess of the share price over the cap. The impact to purchase consideration from LivePerson equity awards when considering a 30% range of outcomes, is immaterial, and has been excluded from the share price sensitivity analysis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change in stock price and estimated consideration when no cash is paid to TASE shareholders:</w:t>
      </w:r>
    </w:p>
    <w:tbl>
      <w:tblPr>
        <w:tblW w:w="10205" w:type="dxa"/>
        <w:jc w:val="left"/>
        <w:tblInd w:w="0" w:type="dxa"/>
        <w:tblLayout w:type="fixed"/>
        <w:tblCellMar>
          <w:top w:w="0" w:type="dxa"/>
          <w:left w:w="0" w:type="dxa"/>
          <w:bottom w:w="0" w:type="dxa"/>
          <w:right w:w="0" w:type="dxa"/>
        </w:tblCellMar>
      </w:tblPr>
      <w:tblGrid>
        <w:gridCol w:w="3657"/>
        <w:gridCol w:w="146"/>
        <w:gridCol w:w="1286"/>
        <w:gridCol w:w="146"/>
        <w:gridCol w:w="434"/>
        <w:gridCol w:w="890"/>
        <w:gridCol w:w="146"/>
        <w:gridCol w:w="397"/>
        <w:gridCol w:w="1318"/>
        <w:gridCol w:w="146"/>
        <w:gridCol w:w="293"/>
        <w:gridCol w:w="1048"/>
        <w:gridCol w:w="298"/>
      </w:tblGrid>
      <w:tr>
        <w:trPr/>
        <w:tc>
          <w:tcPr>
            <w:tcW w:w="36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 Closing Stock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 Price</w:t>
              <w:br/>
              <w:t xml:space="preserve">(June 25, </w:t>
              <w:br/>
              <w:t>2026 +/- 30%)</w:t>
            </w:r>
          </w:p>
        </w:tc>
        <w:tc>
          <w:tcPr>
            <w:tcW w:w="146" w:type="dxa"/>
            <w:tcBorders/>
            <w:vAlign w:val="bottom"/>
          </w:tcPr>
          <w:p>
            <w:pPr>
              <w:pStyle w:val="TableContents"/>
              <w:bidi w:val="0"/>
              <w:spacing w:before="0" w:after="283"/>
              <w:jc w:val="left"/>
              <w:rPr/>
            </w:pPr>
            <w:r>
              <w:rPr/>
              <w:t> </w:t>
            </w:r>
          </w:p>
        </w:tc>
        <w:tc>
          <w:tcPr>
            <w:tcW w:w="17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of </w:t>
              <w:br/>
              <w:t xml:space="preserve">Shares Issued </w:t>
              <w:br/>
              <w:t>(Consideration)</w:t>
            </w:r>
          </w:p>
        </w:tc>
        <w:tc>
          <w:tcPr>
            <w:tcW w:w="146" w:type="dxa"/>
            <w:tcBorders/>
            <w:vAlign w:val="bottom"/>
          </w:tcPr>
          <w:p>
            <w:pPr>
              <w:pStyle w:val="TableContents"/>
              <w:bidi w:val="0"/>
              <w:spacing w:before="0" w:after="283"/>
              <w:jc w:val="left"/>
              <w:rPr/>
            </w:pPr>
            <w:r>
              <w:rPr/>
              <w:t> </w:t>
            </w:r>
          </w:p>
        </w:tc>
        <w:tc>
          <w:tcPr>
            <w:tcW w:w="16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Purchase </w:t>
              <w:br/>
              <w:t>Consideration</w:t>
            </w:r>
          </w:p>
        </w:tc>
      </w:tr>
      <w:tr>
        <w:trPr/>
        <w:tc>
          <w:tcPr>
            <w:tcW w:w="36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02"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share and per share amounts)</w:t>
            </w:r>
          </w:p>
        </w:tc>
      </w:tr>
      <w:tr>
        <w:trPr/>
        <w:tc>
          <w:tcPr>
            <w:tcW w:w="36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Floor – $7 (with a 30% increase in share price)</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43,428,571</w:t>
            </w:r>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350,469</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78,634</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Floor – $7 (with a 30% decrease in share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43,428,571</w:t>
            </w:r>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188,914</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(82,921</w:t>
            </w:r>
          </w:p>
        </w:tc>
        <w:tc>
          <w:tcPr>
            <w:tcW w:w="29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 – $12 (with a 30% increase in share price)</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25,333,334</w:t>
            </w:r>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204,440</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(67,395</w:t>
            </w:r>
          </w:p>
        </w:tc>
        <w:tc>
          <w:tcPr>
            <w:tcW w:w="2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 – $12 (with a 30% decrease in share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25,333,334</w:t>
            </w:r>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110,220</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(161,615</w:t>
            </w:r>
          </w:p>
        </w:tc>
        <w:tc>
          <w:tcPr>
            <w:tcW w:w="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preliminary allocation of the estimated consideration to the identifiable tangible and intangible assets acquired and liabilities assumed of LivePerson based on LivePerson’s consolidated balance sheet as of March 31, 2026, with cash and cash equivalents adjusted for $13.5 million of expected transaction costs by LivePerson, with the excess recorded to goodwill.</w:t>
      </w:r>
    </w:p>
    <w:tbl>
      <w:tblPr>
        <w:tblW w:w="6462" w:type="dxa"/>
        <w:jc w:val="left"/>
        <w:tblInd w:w="0" w:type="dxa"/>
        <w:tblLayout w:type="fixed"/>
        <w:tblCellMar>
          <w:top w:w="0" w:type="dxa"/>
          <w:left w:w="0" w:type="dxa"/>
          <w:bottom w:w="0" w:type="dxa"/>
          <w:right w:w="0" w:type="dxa"/>
        </w:tblCellMar>
      </w:tblPr>
      <w:tblGrid>
        <w:gridCol w:w="4621"/>
        <w:gridCol w:w="146"/>
        <w:gridCol w:w="365"/>
        <w:gridCol w:w="1330"/>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preliminary purchase consideration</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271,835</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30" w:type="dxa"/>
            <w:tcBorders/>
            <w:vAlign w:val="bottom"/>
          </w:tcPr>
          <w:p>
            <w:pPr>
              <w:pStyle w:val="TableContents"/>
              <w:bidi w:val="0"/>
              <w:spacing w:before="0" w:after="283"/>
              <w:jc w:val="left"/>
              <w:rPr/>
            </w:pPr>
            <w:r>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53,928</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25,664</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unbilled receivables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assets(1)</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equipment(2)</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867" w:type="dxa"/>
        <w:jc w:val="left"/>
        <w:tblInd w:w="0" w:type="dxa"/>
        <w:tblLayout w:type="fixed"/>
        <w:tblCellMar>
          <w:top w:w="0" w:type="dxa"/>
          <w:left w:w="0" w:type="dxa"/>
          <w:bottom w:w="0" w:type="dxa"/>
          <w:right w:w="0" w:type="dxa"/>
        </w:tblCellMar>
      </w:tblPr>
      <w:tblGrid>
        <w:gridCol w:w="5026"/>
        <w:gridCol w:w="146"/>
        <w:gridCol w:w="365"/>
        <w:gridCol w:w="1330"/>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assets(3)</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acquired</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225,871</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38,416</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liabilities(3)</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assumed</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106,038</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fair value of net assets acquired</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119,833</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Estimated goodwill(4)</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152,002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Preliminary identifiable intangible assets in the unaudited pro forma condensed combined financial information consists of the following:</w:t>
      </w:r>
    </w:p>
    <w:tbl>
      <w:tblPr>
        <w:tblW w:w="5394" w:type="dxa"/>
        <w:jc w:val="left"/>
        <w:tblInd w:w="0" w:type="dxa"/>
        <w:tblLayout w:type="fixed"/>
        <w:tblCellMar>
          <w:top w:w="0" w:type="dxa"/>
          <w:left w:w="0" w:type="dxa"/>
          <w:bottom w:w="0" w:type="dxa"/>
          <w:right w:w="0" w:type="dxa"/>
        </w:tblCellMar>
      </w:tblPr>
      <w:tblGrid>
        <w:gridCol w:w="2446"/>
        <w:gridCol w:w="146"/>
        <w:gridCol w:w="447"/>
        <w:gridCol w:w="918"/>
        <w:gridCol w:w="146"/>
        <w:gridCol w:w="1291"/>
      </w:tblGrid>
      <w:tr>
        <w:trPr/>
        <w:tc>
          <w:tcPr>
            <w:tcW w:w="24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Preliminary</w:t>
              <w:br/>
              <w:t>Fair Value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2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millions)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 Years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Property and equipment consists primarily of computer equipment, for which the carrying value is assumed to approximate fair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Goodwill represents the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adjustments related to the acquisition of LivePerson included in the unaudited pro forma condensed combined balance sheet as of March 31, 2026 and unaudited pro forma condensed combined statement of operations for the three months ended March 31, 2026, and the year ended December 31, 2025 are as follows: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preliminary purchase consideration of $7.2 million to be settled in cash to holders of the TASE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expected $13.5 million of transaction costs incurred by LivePerson, which are expected to be paid by LivePerson prior to closing of the LivePerson Merger in accordance with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LivePerson’s settlement of the 2026 Notes prior to the acquisition close date for $20.1 million of cash from current portion of long-term debt, along with $373.7 million of Secured Notes settled from long-term debt in shares of SoundHound Common Stock. Also includes the $14.0 million of cash paid by LivePerson for the $6.6 million of excess cash to settle the Secured Notes and the $7.4 million of accrued interest on the Secured Notes.</w:t>
      </w:r>
    </w:p>
    <w:tbl>
      <w:tblPr>
        <w:tblW w:w="7541" w:type="dxa"/>
        <w:jc w:val="left"/>
        <w:tblInd w:w="0" w:type="dxa"/>
        <w:tblLayout w:type="fixed"/>
        <w:tblCellMar>
          <w:top w:w="0" w:type="dxa"/>
          <w:left w:w="0" w:type="dxa"/>
          <w:bottom w:w="0" w:type="dxa"/>
          <w:right w:w="0" w:type="dxa"/>
        </w:tblCellMar>
      </w:tblPr>
      <w:tblGrid>
        <w:gridCol w:w="5701"/>
        <w:gridCol w:w="146"/>
        <w:gridCol w:w="313"/>
        <w:gridCol w:w="1068"/>
        <w:gridCol w:w="313"/>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Expected Settlement of LivePerson Debt</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ended</w:t>
              <w:br/>
              <w:t xml:space="preserve">March 31, </w:t>
              <w:br/>
              <w:t>2026</w:t>
            </w:r>
          </w:p>
        </w:tc>
      </w:tr>
      <w:tr>
        <w:trPr/>
        <w:tc>
          <w:tcPr>
            <w:tcW w:w="5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Excess Cash paid by LivePerson to settle Secured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(6,636</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by LivePerson for accrued interest</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by LivePerson to settle 2026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adjustment to cash and cash equivalents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(34,070</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8"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accrued interest – accrued liability account</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2026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Secured Notes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tbl>
      <w:tblPr>
        <w:tblW w:w="6462" w:type="dxa"/>
        <w:jc w:val="left"/>
        <w:tblInd w:w="0" w:type="dxa"/>
        <w:tblLayout w:type="fixed"/>
        <w:tblCellMar>
          <w:top w:w="0" w:type="dxa"/>
          <w:left w:w="0" w:type="dxa"/>
          <w:bottom w:w="0" w:type="dxa"/>
          <w:right w:w="0" w:type="dxa"/>
        </w:tblCellMar>
      </w:tblPr>
      <w:tblGrid>
        <w:gridCol w:w="4621"/>
        <w:gridCol w:w="146"/>
        <w:gridCol w:w="304"/>
        <w:gridCol w:w="1087"/>
        <w:gridCol w:w="304"/>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goodwill</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goodwill recognized</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152,002</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goodwill</w:t>
            </w:r>
          </w:p>
        </w:tc>
        <w:tc>
          <w:tcPr>
            <w:tcW w:w="146" w:type="dxa"/>
            <w:tcBorders/>
            <w:shd w:fill="CCEEFF" w:val="clear"/>
            <w:vAlign w:val="bottom"/>
          </w:tcPr>
          <w:p>
            <w:pPr>
              <w:pStyle w:val="TableContents"/>
              <w:bidi w:val="0"/>
              <w:spacing w:before="0" w:after="283"/>
              <w:jc w:val="left"/>
              <w:rPr/>
            </w:pPr>
            <w:r>
              <w:rPr/>
              <w:t> </w:t>
            </w:r>
          </w:p>
        </w:tc>
        <w:tc>
          <w:tcPr>
            <w:tcW w:w="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elimination of LivePerson’s historical intangible assets and the recognition of the preliminary estimated fair value of intangible assets acquired in the LivePerson Merger.</w:t>
      </w:r>
    </w:p>
    <w:tbl>
      <w:tblPr>
        <w:tblW w:w="7736" w:type="dxa"/>
        <w:jc w:val="left"/>
        <w:tblInd w:w="0" w:type="dxa"/>
        <w:tblLayout w:type="fixed"/>
        <w:tblCellMar>
          <w:top w:w="0" w:type="dxa"/>
          <w:left w:w="0" w:type="dxa"/>
          <w:bottom w:w="0" w:type="dxa"/>
          <w:right w:w="0" w:type="dxa"/>
        </w:tblCellMar>
      </w:tblPr>
      <w:tblGrid>
        <w:gridCol w:w="5896"/>
        <w:gridCol w:w="146"/>
        <w:gridCol w:w="319"/>
        <w:gridCol w:w="1056"/>
        <w:gridCol w:w="319"/>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intangible assets acquired</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intangible assets, net</w:t>
            </w:r>
          </w:p>
        </w:tc>
        <w:tc>
          <w:tcPr>
            <w:tcW w:w="146"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c>
          <w:tcPr>
            <w:tcW w:w="3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intangible assets, net</w:t>
            </w:r>
          </w:p>
        </w:tc>
        <w:tc>
          <w:tcPr>
            <w:tcW w:w="146" w:type="dxa"/>
            <w:tcBorders/>
            <w:shd w:fill="CCEEFF" w:val="clear"/>
            <w:vAlign w:val="bottom"/>
          </w:tcPr>
          <w:p>
            <w:pPr>
              <w:pStyle w:val="TableContents"/>
              <w:bidi w:val="0"/>
              <w:spacing w:before="0" w:after="283"/>
              <w:jc w:val="left"/>
              <w:rPr/>
            </w:pPr>
            <w:r>
              <w:rPr/>
              <w:t> </w:t>
            </w:r>
          </w:p>
        </w:tc>
        <w:tc>
          <w:tcPr>
            <w:tcW w:w="3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104,498</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determined a preliminary fair value estimate of intangible assets resulting from the preliminary fair value allocation of purchase price. The intangible assets included the following:</w:t>
      </w:r>
    </w:p>
    <w:tbl>
      <w:tblPr>
        <w:tblW w:w="8244" w:type="dxa"/>
        <w:jc w:val="left"/>
        <w:tblInd w:w="0" w:type="dxa"/>
        <w:tblLayout w:type="fixed"/>
        <w:tblCellMar>
          <w:top w:w="0" w:type="dxa"/>
          <w:left w:w="0" w:type="dxa"/>
          <w:bottom w:w="0" w:type="dxa"/>
          <w:right w:w="0" w:type="dxa"/>
        </w:tblCellMar>
      </w:tblPr>
      <w:tblGrid>
        <w:gridCol w:w="5056"/>
        <w:gridCol w:w="146"/>
        <w:gridCol w:w="382"/>
        <w:gridCol w:w="1268"/>
        <w:gridCol w:w="146"/>
        <w:gridCol w:w="1246"/>
      </w:tblGrid>
      <w:tr>
        <w:trPr/>
        <w:tc>
          <w:tcPr>
            <w:tcW w:w="5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fair value of acquired intangible assets</w:t>
            </w:r>
          </w:p>
        </w:tc>
        <w:tc>
          <w:tcPr>
            <w:tcW w:w="146" w:type="dxa"/>
            <w:tcBorders/>
            <w:vAlign w:val="bottom"/>
          </w:tcPr>
          <w:p>
            <w:pPr>
              <w:pStyle w:val="TableContents"/>
              <w:bidi w:val="0"/>
              <w:spacing w:before="0" w:after="283"/>
              <w:jc w:val="left"/>
              <w:rPr/>
            </w:pPr>
            <w:r>
              <w:rPr/>
              <w:t> </w:t>
            </w:r>
          </w:p>
        </w:tc>
        <w:tc>
          <w:tcPr>
            <w:tcW w:w="38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elimination of $20.9 million of LivePerson’s historical contract acquisition costs from other non-current assets, that were not assets as defined by ASC 805 and are considered to be a part of the fair value of customer relationships intangible asset.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elimination of $83.2 million of LivePerson’s historical internal-use software development costs.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Reflects elimination of $1.9 million LivePerson’s historical warrants balance as all warrants are cancelled or extinguished upon the LivePerson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Reflects the total expected transaction costs of $7.1 million incurred by SoundHound through the transaction date on the condensed consolidated balance sheet and on the condensed consolidated statement of operations during the year ended December 31, 2025.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following table summarizes the transaction accounting adjustments impacting the equity balances of LivePerson, as well as new equity issued as consideration for the Merger (in thousands):</w:t>
      </w:r>
    </w:p>
    <w:tbl>
      <w:tblPr>
        <w:tblW w:w="10205" w:type="dxa"/>
        <w:jc w:val="left"/>
        <w:tblInd w:w="0" w:type="dxa"/>
        <w:tblLayout w:type="fixed"/>
        <w:tblCellMar>
          <w:top w:w="0" w:type="dxa"/>
          <w:left w:w="0" w:type="dxa"/>
          <w:bottom w:w="0" w:type="dxa"/>
          <w:right w:w="0" w:type="dxa"/>
        </w:tblCellMar>
      </w:tblPr>
      <w:tblGrid>
        <w:gridCol w:w="3023"/>
        <w:gridCol w:w="146"/>
        <w:gridCol w:w="301"/>
        <w:gridCol w:w="1201"/>
        <w:gridCol w:w="241"/>
        <w:gridCol w:w="146"/>
        <w:gridCol w:w="381"/>
        <w:gridCol w:w="1332"/>
        <w:gridCol w:w="146"/>
        <w:gridCol w:w="301"/>
        <w:gridCol w:w="871"/>
        <w:gridCol w:w="256"/>
        <w:gridCol w:w="146"/>
        <w:gridCol w:w="301"/>
        <w:gridCol w:w="1126"/>
        <w:gridCol w:w="287"/>
      </w:tblGrid>
      <w:tr>
        <w:trPr/>
        <w:tc>
          <w:tcPr>
            <w:tcW w:w="30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LivePerson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historical </w:t>
              <w:br/>
              <w:t>equity(1)</w:t>
            </w:r>
          </w:p>
        </w:tc>
        <w:tc>
          <w:tcPr>
            <w:tcW w:w="146" w:type="dxa"/>
            <w:tcBorders/>
            <w:vAlign w:val="bottom"/>
          </w:tcPr>
          <w:p>
            <w:pPr>
              <w:pStyle w:val="TableContents"/>
              <w:bidi w:val="0"/>
              <w:spacing w:before="0" w:after="283"/>
              <w:jc w:val="left"/>
              <w:rPr/>
            </w:pPr>
            <w:r>
              <w:rPr/>
              <w:t> </w:t>
            </w:r>
          </w:p>
        </w:tc>
        <w:tc>
          <w:tcPr>
            <w:tcW w:w="17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consideration(2)</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costs(3)</w:t>
            </w:r>
          </w:p>
        </w:tc>
        <w:tc>
          <w:tcPr>
            <w:tcW w:w="146" w:type="dxa"/>
            <w:tcBorders/>
            <w:vAlign w:val="bottom"/>
          </w:tcPr>
          <w:p>
            <w:pPr>
              <w:pStyle w:val="TableContents"/>
              <w:bidi w:val="0"/>
              <w:spacing w:before="0" w:after="283"/>
              <w:jc w:val="left"/>
              <w:rPr/>
            </w:pPr>
            <w:r>
              <w:rPr/>
              <w:t> </w:t>
            </w:r>
          </w:p>
        </w:tc>
        <w:tc>
          <w:tcPr>
            <w:tcW w:w="17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Accounting </w:t>
              <w:br/>
              <w:t>Adjustments</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Treasury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Class A Common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264,650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(758,688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1,060,214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Stockholders’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51,496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264,654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(7,107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309,043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the elimination of LivePerson’s historical equity balances as of March 31,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the preliminary equity purchase consideration of $264.7 million as estimated on June 25, 2026. This includes the issuance of 42.6 million Common Shares at $.0001 Par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Reflects expected acquiror transaction costs of $7.1 million.</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acquired intangible assets have been amortized using a straight-line method based on their estimated useful lives as if the LivePerson Merger had been completed on January 1, 2025.</w:t>
      </w:r>
    </w:p>
    <w:tbl>
      <w:tblPr>
        <w:tblW w:w="10205" w:type="dxa"/>
        <w:jc w:val="left"/>
        <w:tblInd w:w="0" w:type="dxa"/>
        <w:tblLayout w:type="fixed"/>
        <w:tblCellMar>
          <w:top w:w="0" w:type="dxa"/>
          <w:left w:w="0" w:type="dxa"/>
          <w:bottom w:w="0" w:type="dxa"/>
          <w:right w:w="0" w:type="dxa"/>
        </w:tblCellMar>
      </w:tblPr>
      <w:tblGrid>
        <w:gridCol w:w="5216"/>
        <w:gridCol w:w="146"/>
        <w:gridCol w:w="468"/>
        <w:gridCol w:w="1159"/>
        <w:gridCol w:w="146"/>
        <w:gridCol w:w="419"/>
        <w:gridCol w:w="1212"/>
        <w:gridCol w:w="146"/>
        <w:gridCol w:w="1293"/>
      </w:tblGrid>
      <w:tr>
        <w:trPr/>
        <w:tc>
          <w:tcPr>
            <w:tcW w:w="52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useful life</w:t>
            </w:r>
          </w:p>
        </w:tc>
      </w:tr>
      <w:tr>
        <w:trPr/>
        <w:tc>
          <w:tcPr>
            <w:tcW w:w="5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52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tcPr>
          <w:p>
            <w:pPr>
              <w:pStyle w:val="TableContents"/>
              <w:bidi w:val="0"/>
              <w:spacing w:before="0" w:after="283"/>
              <w:jc w:val="left"/>
              <w:rPr/>
            </w:pPr>
            <w:r>
              <w:rPr/>
              <w:t> </w:t>
            </w:r>
          </w:p>
        </w:tc>
        <w:tc>
          <w:tcPr>
            <w:tcW w:w="468"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shd w:fill="CCEEFF" w:val="clear"/>
          </w:tcPr>
          <w:p>
            <w:pPr>
              <w:pStyle w:val="TableContents"/>
              <w:bidi w:val="0"/>
              <w:spacing w:before="0" w:after="283"/>
              <w:jc w:val="left"/>
              <w:rPr/>
            </w:pPr>
            <w:r>
              <w:rPr/>
              <w:t> </w:t>
            </w:r>
          </w:p>
        </w:tc>
        <w:tc>
          <w:tcPr>
            <w:tcW w:w="419"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w:t>
            </w:r>
          </w:p>
        </w:tc>
        <w:tc>
          <w:tcPr>
            <w:tcW w:w="146" w:type="dxa"/>
            <w:tcBorders/>
            <w:shd w:fill="CCEEFF" w:val="clear"/>
          </w:tcPr>
          <w:p>
            <w:pPr>
              <w:pStyle w:val="TableContents"/>
              <w:bidi w:val="0"/>
              <w:spacing w:before="0" w:after="283"/>
              <w:jc w:val="left"/>
              <w:rPr/>
            </w:pPr>
            <w:r>
              <w:rPr/>
              <w:t> </w:t>
            </w:r>
          </w:p>
        </w:tc>
        <w:tc>
          <w:tcPr>
            <w:tcW w:w="129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52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tcPr>
          <w:p>
            <w:pPr>
              <w:pStyle w:val="TableContents"/>
              <w:bidi w:val="0"/>
              <w:spacing w:before="0" w:after="283"/>
              <w:jc w:val="left"/>
              <w:rPr/>
            </w:pPr>
            <w:r>
              <w:rPr/>
              <w:t> </w:t>
            </w:r>
          </w:p>
        </w:tc>
        <w:tc>
          <w:tcPr>
            <w:tcW w:w="468"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w:t>
            </w:r>
          </w:p>
        </w:tc>
        <w:tc>
          <w:tcPr>
            <w:tcW w:w="146" w:type="dxa"/>
            <w:tcBorders/>
          </w:tcPr>
          <w:p>
            <w:pPr>
              <w:pStyle w:val="TableContents"/>
              <w:bidi w:val="0"/>
              <w:spacing w:before="0" w:after="283"/>
              <w:jc w:val="left"/>
              <w:rPr/>
            </w:pPr>
            <w:r>
              <w:rPr/>
              <w:t> </w:t>
            </w:r>
          </w:p>
        </w:tc>
        <w:tc>
          <w:tcPr>
            <w:tcW w:w="419"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15,200</w:t>
            </w:r>
          </w:p>
        </w:tc>
        <w:tc>
          <w:tcPr>
            <w:tcW w:w="146" w:type="dxa"/>
            <w:tcBorders/>
          </w:tcPr>
          <w:p>
            <w:pPr>
              <w:pStyle w:val="TableContents"/>
              <w:bidi w:val="0"/>
              <w:spacing w:before="0" w:after="283"/>
              <w:jc w:val="left"/>
              <w:rPr/>
            </w:pPr>
            <w:r>
              <w:rPr/>
              <w:t> </w:t>
            </w:r>
          </w:p>
        </w:tc>
        <w:tc>
          <w:tcPr>
            <w:tcW w:w="129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2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tcPr>
          <w:p>
            <w:pPr>
              <w:pStyle w:val="TableContents"/>
              <w:bidi w:val="0"/>
              <w:spacing w:before="0" w:after="283"/>
              <w:jc w:val="left"/>
              <w:rPr/>
            </w:pPr>
            <w:r>
              <w:rPr/>
              <w:t> </w:t>
            </w:r>
          </w:p>
        </w:tc>
        <w:tc>
          <w:tcPr>
            <w:tcW w:w="46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tcPr>
          <w:p>
            <w:pPr>
              <w:pStyle w:val="TableContents"/>
              <w:bidi w:val="0"/>
              <w:spacing w:before="0" w:after="283"/>
              <w:jc w:val="left"/>
              <w:rPr/>
            </w:pPr>
            <w:r>
              <w:rPr/>
              <w:t> </w:t>
            </w:r>
          </w:p>
        </w:tc>
        <w:tc>
          <w:tcPr>
            <w:tcW w:w="419"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c>
          <w:tcPr>
            <w:tcW w:w="146" w:type="dxa"/>
            <w:tcBorders/>
            <w:shd w:fill="CCEEFF" w:val="clear"/>
          </w:tcPr>
          <w:p>
            <w:pPr>
              <w:pStyle w:val="TableContents"/>
              <w:bidi w:val="0"/>
              <w:spacing w:before="0" w:after="283"/>
              <w:jc w:val="left"/>
              <w:rPr/>
            </w:pPr>
            <w:r>
              <w:rPr/>
              <w:t> </w:t>
            </w:r>
          </w:p>
        </w:tc>
        <w:tc>
          <w:tcPr>
            <w:tcW w:w="129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21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amortization expense for acquired intangible assets</w:t>
            </w:r>
          </w:p>
        </w:tc>
        <w:tc>
          <w:tcPr>
            <w:tcW w:w="146" w:type="dxa"/>
            <w:tcBorders/>
          </w:tcPr>
          <w:p>
            <w:pPr>
              <w:pStyle w:val="TableContents"/>
              <w:bidi w:val="0"/>
              <w:spacing w:before="0" w:after="283"/>
              <w:jc w:val="left"/>
              <w:rPr/>
            </w:pPr>
            <w:r>
              <w:rPr/>
              <w:t> </w:t>
            </w:r>
          </w:p>
        </w:tc>
        <w:tc>
          <w:tcPr>
            <w:tcW w:w="468"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w:t>
            </w:r>
          </w:p>
        </w:tc>
        <w:tc>
          <w:tcPr>
            <w:tcW w:w="146" w:type="dxa"/>
            <w:tcBorders/>
          </w:tcPr>
          <w:p>
            <w:pPr>
              <w:pStyle w:val="TableContents"/>
              <w:bidi w:val="0"/>
              <w:spacing w:before="0" w:after="283"/>
              <w:jc w:val="left"/>
              <w:rPr/>
            </w:pPr>
            <w:r>
              <w:rPr/>
              <w:t> </w:t>
            </w:r>
          </w:p>
        </w:tc>
        <w:tc>
          <w:tcPr>
            <w:tcW w:w="419"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23,943</w:t>
            </w:r>
          </w:p>
        </w:tc>
        <w:tc>
          <w:tcPr>
            <w:tcW w:w="146" w:type="dxa"/>
            <w:tcBorders/>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Cost of revenues —</w:t>
      </w:r>
    </w:p>
    <w:tbl>
      <w:tblPr>
        <w:tblW w:w="10205" w:type="dxa"/>
        <w:jc w:val="left"/>
        <w:tblInd w:w="0" w:type="dxa"/>
        <w:tblLayout w:type="fixed"/>
        <w:tblCellMar>
          <w:top w:w="0" w:type="dxa"/>
          <w:left w:w="0" w:type="dxa"/>
          <w:bottom w:w="0" w:type="dxa"/>
          <w:right w:w="0" w:type="dxa"/>
        </w:tblCellMar>
      </w:tblPr>
      <w:tblGrid>
        <w:gridCol w:w="6593"/>
        <w:gridCol w:w="146"/>
        <w:gridCol w:w="471"/>
        <w:gridCol w:w="1165"/>
        <w:gridCol w:w="146"/>
        <w:gridCol w:w="463"/>
        <w:gridCol w:w="1221"/>
      </w:tblGrid>
      <w:tr>
        <w:trPr/>
        <w:tc>
          <w:tcPr>
            <w:tcW w:w="65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659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(developed technology)</w:t>
            </w:r>
          </w:p>
        </w:tc>
        <w:tc>
          <w:tcPr>
            <w:tcW w:w="146" w:type="dxa"/>
            <w:tcBorders/>
            <w:shd w:fill="CCEEFF" w:val="clear"/>
          </w:tcPr>
          <w:p>
            <w:pPr>
              <w:pStyle w:val="TableContents"/>
              <w:bidi w:val="0"/>
              <w:spacing w:before="0" w:after="283"/>
              <w:jc w:val="left"/>
              <w:rPr/>
            </w:pPr>
            <w:r>
              <w:rPr/>
              <w:t> </w:t>
            </w:r>
          </w:p>
        </w:tc>
        <w:tc>
          <w:tcPr>
            <w:tcW w:w="471"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tcPr>
          <w:p>
            <w:pPr>
              <w:pStyle w:val="TableContents"/>
              <w:bidi w:val="0"/>
              <w:spacing w:before="0" w:after="283"/>
              <w:jc w:val="left"/>
              <w:rPr/>
            </w:pPr>
            <w:r>
              <w:rPr/>
              <w:t> </w:t>
            </w:r>
          </w:p>
        </w:tc>
        <w:tc>
          <w:tcPr>
            <w:tcW w:w="463"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r>
      <w:tr>
        <w:trPr/>
        <w:tc>
          <w:tcPr>
            <w:tcW w:w="6593"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 to cost of revenues</w:t>
            </w:r>
          </w:p>
        </w:tc>
        <w:tc>
          <w:tcPr>
            <w:tcW w:w="146" w:type="dxa"/>
            <w:tcBorders/>
          </w:tcPr>
          <w:p>
            <w:pPr>
              <w:pStyle w:val="TableContents"/>
              <w:bidi w:val="0"/>
              <w:spacing w:before="0" w:after="283"/>
              <w:jc w:val="left"/>
              <w:rPr/>
            </w:pPr>
            <w:r>
              <w:rPr/>
              <w:t> </w:t>
            </w:r>
          </w:p>
        </w:tc>
        <w:tc>
          <w:tcPr>
            <w:tcW w:w="471"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tcPr>
          <w:p>
            <w:pPr>
              <w:pStyle w:val="TableContents"/>
              <w:bidi w:val="0"/>
              <w:spacing w:before="0" w:after="283"/>
              <w:jc w:val="left"/>
              <w:rPr/>
            </w:pPr>
            <w:r>
              <w:rPr/>
              <w:t> </w:t>
            </w:r>
          </w:p>
        </w:tc>
        <w:tc>
          <w:tcPr>
            <w:tcW w:w="463"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Amortization of intangible assets —</w:t>
      </w:r>
    </w:p>
    <w:tbl>
      <w:tblPr>
        <w:tblW w:w="10205" w:type="dxa"/>
        <w:jc w:val="left"/>
        <w:tblInd w:w="0" w:type="dxa"/>
        <w:tblLayout w:type="fixed"/>
        <w:tblCellMar>
          <w:top w:w="0" w:type="dxa"/>
          <w:left w:w="0" w:type="dxa"/>
          <w:bottom w:w="0" w:type="dxa"/>
          <w:right w:w="0" w:type="dxa"/>
        </w:tblCellMar>
      </w:tblPr>
      <w:tblGrid>
        <w:gridCol w:w="6634"/>
        <w:gridCol w:w="146"/>
        <w:gridCol w:w="373"/>
        <w:gridCol w:w="923"/>
        <w:gridCol w:w="316"/>
        <w:gridCol w:w="146"/>
        <w:gridCol w:w="339"/>
        <w:gridCol w:w="983"/>
        <w:gridCol w:w="345"/>
      </w:tblGrid>
      <w:tr>
        <w:trPr/>
        <w:tc>
          <w:tcPr>
            <w:tcW w:w="66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6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1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66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(customer relationship and trademark/trade name)</w:t>
            </w:r>
          </w:p>
        </w:tc>
        <w:tc>
          <w:tcPr>
            <w:tcW w:w="146"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4,086</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16,343</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intangible asset amortization expense</w:t>
            </w:r>
          </w:p>
        </w:tc>
        <w:tc>
          <w:tcPr>
            <w:tcW w:w="146" w:type="dxa"/>
            <w:tcBorders/>
            <w:vAlign w:val="bottom"/>
          </w:tcPr>
          <w:p>
            <w:pPr>
              <w:pStyle w:val="TableContents"/>
              <w:bidi w:val="0"/>
              <w:spacing w:before="0" w:after="283"/>
              <w:jc w:val="left"/>
              <w:rPr/>
            </w:pPr>
            <w:r>
              <w:rPr/>
              <w:t> </w:t>
            </w:r>
          </w:p>
        </w:tc>
        <w:tc>
          <w:tcPr>
            <w:tcW w:w="3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3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amortization of intangible assets</w:t>
            </w:r>
          </w:p>
        </w:tc>
        <w:tc>
          <w:tcPr>
            <w:tcW w:w="146" w:type="dxa"/>
            <w:tcBorders/>
            <w:shd w:fill="CCEEFF" w:val="clear"/>
            <w:vAlign w:val="bottom"/>
          </w:tcPr>
          <w:p>
            <w:pPr>
              <w:pStyle w:val="TableContents"/>
              <w:bidi w:val="0"/>
              <w:spacing w:before="0" w:after="283"/>
              <w:jc w:val="left"/>
              <w:rPr/>
            </w:pPr>
            <w:r>
              <w:rPr/>
              <w:t> </w:t>
            </w:r>
          </w:p>
        </w:tc>
        <w:tc>
          <w:tcPr>
            <w:tcW w:w="3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15,634</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Reflects the elimination of LivePerson’s historical amortization of contract acquisition costs of $4.1 million and $17.3 million, for the three months ended March 31, 2026, and the year ended December 31, 2025, respectively, that were not assets as defined by ASC 805.</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Reflects the elimination of LivePerson’s historical amortization of internal-use software development costs of $3.8 million and $15.9 million, for the three months ended March 31, 2026, and the year ended December 31, 2025, respectively.</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Reflects the reduction of $8.3 million and $31.5 million in historical interest expense for the three months ended March 31, 2026, and the year ended December 31, 2025, respectively, related to the settlement of LivePerson’s debt at closing.</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Reflects the elimination of LivePerson’s historical gain on the change in fair value of debt warrants of $1.1 million and $13.2 million for the three months ended March 31, 2026, and the year ended December 31, 2025, respectively.</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Reflects the elimination of $41.6 million of LivePerson’s historical impairment of goodwill for the year ended December 31, 2025.</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Reflects the elimination of $27.7 million of LivePerson’s historical gain on troubled debt restructuring for the year ended December 31, 2025 associated with the troubled debt restructuring associated with the issuance of the Second Lien Notes.</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entity’s common stockholders is calculated using the historical diluted weighted average shares of SoundHound Common Stock outstanding.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earnings per share computation for the three months ended March 31, 2026:</w:t>
      </w:r>
    </w:p>
    <w:tbl>
      <w:tblPr>
        <w:tblW w:w="7767" w:type="dxa"/>
        <w:jc w:val="left"/>
        <w:tblInd w:w="0" w:type="dxa"/>
        <w:tblLayout w:type="fixed"/>
        <w:tblCellMar>
          <w:top w:w="0" w:type="dxa"/>
          <w:left w:w="0" w:type="dxa"/>
          <w:bottom w:w="0" w:type="dxa"/>
          <w:right w:w="0" w:type="dxa"/>
        </w:tblCellMar>
      </w:tblPr>
      <w:tblGrid>
        <w:gridCol w:w="5581"/>
        <w:gridCol w:w="146"/>
        <w:gridCol w:w="301"/>
        <w:gridCol w:w="1438"/>
        <w:gridCol w:w="301"/>
      </w:tblGrid>
      <w:tr>
        <w:trPr/>
        <w:tc>
          <w:tcPr>
            <w:tcW w:w="5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r>
      <w:tr>
        <w:trPr/>
        <w:tc>
          <w:tcPr>
            <w:tcW w:w="5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832" w:type="dxa"/>
        <w:jc w:val="left"/>
        <w:tblInd w:w="0" w:type="dxa"/>
        <w:tblLayout w:type="fixed"/>
        <w:tblCellMar>
          <w:top w:w="0" w:type="dxa"/>
          <w:left w:w="0" w:type="dxa"/>
          <w:bottom w:w="0" w:type="dxa"/>
          <w:right w:w="0" w:type="dxa"/>
        </w:tblCellMar>
      </w:tblPr>
      <w:tblGrid>
        <w:gridCol w:w="6646"/>
        <w:gridCol w:w="146"/>
        <w:gridCol w:w="312"/>
        <w:gridCol w:w="1416"/>
        <w:gridCol w:w="312"/>
      </w:tblGrid>
      <w:tr>
        <w:trPr/>
        <w:tc>
          <w:tcPr>
            <w:tcW w:w="6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potentially dilutive equivalent shares to net income (loss)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(22,504</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common stockholders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(47,149</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diluted</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March 31, 2026</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421,472,827</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March 31, 2026</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429,783,201</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earnings per share computation for the year ended December 31, 2025:</w:t>
      </w:r>
    </w:p>
    <w:tbl>
      <w:tblPr>
        <w:tblW w:w="8832" w:type="dxa"/>
        <w:jc w:val="left"/>
        <w:tblInd w:w="0" w:type="dxa"/>
        <w:tblLayout w:type="fixed"/>
        <w:tblCellMar>
          <w:top w:w="0" w:type="dxa"/>
          <w:left w:w="0" w:type="dxa"/>
          <w:bottom w:w="0" w:type="dxa"/>
          <w:right w:w="0" w:type="dxa"/>
        </w:tblCellMar>
      </w:tblPr>
      <w:tblGrid>
        <w:gridCol w:w="6646"/>
        <w:gridCol w:w="146"/>
        <w:gridCol w:w="312"/>
        <w:gridCol w:w="1416"/>
        <w:gridCol w:w="312"/>
      </w:tblGrid>
      <w:tr>
        <w:trPr/>
        <w:tc>
          <w:tcPr>
            <w:tcW w:w="6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potentially dilutive equivalent shares to net income (loss)</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(99,512</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common stockholders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(143,235</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diluted</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December 31, 2025</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405,421,412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December 31, 2025</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409,456,342</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6" w:name="T1510"/>
      <w:bookmarkEnd w:id="26"/>
      <w:r>
        <w:rPr>
          <w:rFonts w:ascii="Times New Roman PS Std;serif" w:hAnsi="Times New Roman PS Std;serif"/>
          <w:b/>
          <w:i w:val="false"/>
          <w:caps w:val="false"/>
          <w:smallCaps w:val="false"/>
          <w:sz w:val="20"/>
        </w:rPr>
        <w:t>Annex A</w:t>
      </w:r>
      <w:r>
        <w:rPr>
          <w:caps w:val="false"/>
          <w:smallCaps w:val="false"/>
        </w:rPr>
        <w:t xml:space="preserve"> </w:t>
      </w:r>
    </w:p>
    <w:tbl>
      <w:tblPr>
        <w:tblW w:w="3436" w:type="dxa"/>
        <w:jc w:val="left"/>
        <w:tblInd w:w="0" w:type="dxa"/>
        <w:tblLayout w:type="fixed"/>
        <w:tblCellMar>
          <w:top w:w="0" w:type="dxa"/>
          <w:left w:w="0" w:type="dxa"/>
          <w:bottom w:w="0" w:type="dxa"/>
          <w:right w:w="0" w:type="dxa"/>
        </w:tblCellMar>
      </w:tblPr>
      <w:tblGrid>
        <w:gridCol w:w="3436"/>
      </w:tblGrid>
      <w:tr>
        <w:trPr/>
        <w:tc>
          <w:tcPr>
            <w:tcW w:w="3436" w:type="dxa"/>
            <w:tcBorders/>
          </w:tcPr>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AmendED and RESTATED</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MERGER AGREEMENT</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by and among</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soundhound ai,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lightspeed merger sub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lightspeed Merger Sub II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AND</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LIVEPERSON,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Dated as of JuLY 2,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8081" w:type="dxa"/>
        <w:jc w:val="left"/>
        <w:tblInd w:w="0" w:type="dxa"/>
        <w:tblLayout w:type="fixed"/>
        <w:tblCellMar>
          <w:top w:w="0" w:type="dxa"/>
          <w:left w:w="0" w:type="dxa"/>
          <w:bottom w:w="0" w:type="dxa"/>
          <w:right w:w="0" w:type="dxa"/>
        </w:tblCellMar>
      </w:tblPr>
      <w:tblGrid>
        <w:gridCol w:w="633"/>
        <w:gridCol w:w="170"/>
        <w:gridCol w:w="5901"/>
        <w:gridCol w:w="146"/>
        <w:gridCol w:w="1231"/>
      </w:tblGrid>
      <w:tr>
        <w:trPr/>
        <w:tc>
          <w:tcPr>
            <w:tcW w:w="6704"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670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1 The MergerS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3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and Effective Times of the Mergers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70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70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2 Conversion of Securities IN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3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Securities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for Securities; Surrender of Certificates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with Respect to Unexchanged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Fractional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Company Equity Awards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Company Warrants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A-9</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Closing Statement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Treatment.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Prohibition on Transfer.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70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3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Subsidiaries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A-12</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Filings and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or Events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and Other Employment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Privacy and Security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A-24</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A-25</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Title to Assets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A-26</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A-27</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 Trade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Financial Advisor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or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5"/>
        <w:gridCol w:w="146"/>
        <w:gridCol w:w="8186"/>
        <w:gridCol w:w="146"/>
        <w:gridCol w:w="1232"/>
      </w:tblGrid>
      <w:tr>
        <w:trPr/>
        <w:tc>
          <w:tcPr>
            <w:tcW w:w="8827"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4 Representations and Warranties of Parent and MERGER SUBS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Filings and Consents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Merger Subs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Issuance</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5 Conduct of the company</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the Company Pending the Closing</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6 Additional Covenants of the Parties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A-35</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Preparation of Proxy Statement/Prospectus and Registration Statement; Company Stockholder Meeting</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A-35</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 Confidentiality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A-37</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Non-Solicitation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A-38</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Appropriate Action; Consents; Filings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A-40</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Notices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A-42</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Litigation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A-42</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A-43</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Matters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A-43</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of Directors and Officers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A-44</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A-45</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 Matters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A-45</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Benefits Preservation Plan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Cooperation as to Integration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2026 Notes; Note Restructuring Transactions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Resignations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7 Conditions to Consummation of the MergerS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Each Party Under This Agreement</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Conditions to Obligations of Parent and the Merger Subs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Conditions to Obligations of the Company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A-48</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8 Termination, Amendment and Waiver</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A-49</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A-49</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Termination Fee</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A-50</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9 General Provisions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Non-Survival of Representations and Warranties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and Expenses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Definitions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230" w:type="dxa"/>
        <w:jc w:val="left"/>
        <w:tblInd w:w="0" w:type="dxa"/>
        <w:tblLayout w:type="fixed"/>
        <w:tblCellMar>
          <w:top w:w="0" w:type="dxa"/>
          <w:left w:w="0" w:type="dxa"/>
          <w:bottom w:w="0" w:type="dxa"/>
          <w:right w:w="0" w:type="dxa"/>
        </w:tblCellMar>
      </w:tblPr>
      <w:tblGrid>
        <w:gridCol w:w="541"/>
        <w:gridCol w:w="146"/>
        <w:gridCol w:w="6166"/>
        <w:gridCol w:w="146"/>
        <w:gridCol w:w="1231"/>
      </w:tblGrid>
      <w:tr>
        <w:trPr/>
        <w:tc>
          <w:tcPr>
            <w:tcW w:w="6853"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Terms Defined Elsewhere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A-64</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 Party Beneficiaries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Mutual Drafting; Interpretation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Consent to Jurisdiction; Waiver of Trial by Jury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A-67</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A-67</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9.14</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Modification or Amendment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Extension; Waiver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MERGER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val="false"/>
          <w:i w:val="false"/>
          <w:caps/>
          <w:sz w:val="20"/>
        </w:rPr>
        <w:t xml:space="preserve">AMendED and restated </w:t>
      </w:r>
      <w:r>
        <w:rPr>
          <w:rFonts w:ascii="Times New Roman PS Std;serif" w:hAnsi="Times New Roman PS Std;serif"/>
          <w:b w:val="false"/>
          <w:i w:val="false"/>
          <w:caps w:val="false"/>
          <w:smallCaps w:val="false"/>
          <w:sz w:val="20"/>
        </w:rPr>
        <w:t>MERGER AGREEMENT, dated as of July 2,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by and among SoundHound AI, Inc., a Delaware corporation (the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Lightspeed Merger Sub Inc., a Delaware corporation and an indirect wholly owned Subsidiary of Parent (“</w:t>
      </w:r>
      <w:r>
        <w:rPr>
          <w:rFonts w:ascii="Times New Roman PS Std;serif" w:hAnsi="Times New Roman PS Std;serif"/>
          <w:b w:val="false"/>
          <w:i w:val="false"/>
          <w:caps w:val="false"/>
          <w:smallCaps w:val="false"/>
          <w:sz w:val="20"/>
          <w:u w:val="single"/>
        </w:rPr>
        <w:t>Merger Sub I</w:t>
      </w:r>
      <w:r>
        <w:rPr>
          <w:caps w:val="false"/>
          <w:smallCaps w:val="false"/>
        </w:rPr>
        <w:t>”</w:t>
      </w:r>
      <w:r>
        <w:rPr>
          <w:rFonts w:ascii="Times New Roman PS Std;serif" w:hAnsi="Times New Roman PS Std;serif"/>
          <w:b w:val="false"/>
          <w:i w:val="false"/>
          <w:caps w:val="false"/>
          <w:smallCaps w:val="false"/>
          <w:sz w:val="20"/>
        </w:rPr>
        <w:t>), Lightspeed Merger Sub II Inc., a Delaware corporation and an indirect wholly owned Subsidiary of Parent (“</w:t>
      </w:r>
      <w:r>
        <w:rPr>
          <w:rFonts w:ascii="Times New Roman PS Std;serif" w:hAnsi="Times New Roman PS Std;serif"/>
          <w:b w:val="false"/>
          <w:i w:val="false"/>
          <w:caps w:val="false"/>
          <w:smallCaps w:val="false"/>
          <w:sz w:val="20"/>
          <w:u w:val="single"/>
        </w:rPr>
        <w:t>Merger Sub II</w:t>
      </w:r>
      <w:r>
        <w:rPr>
          <w:caps w:val="false"/>
          <w:smallCaps w:val="false"/>
        </w:rPr>
        <w:t xml:space="preserve">” </w:t>
      </w:r>
      <w:r>
        <w:rPr>
          <w:rFonts w:ascii="Times New Roman PS Std;serif" w:hAnsi="Times New Roman PS Std;serif"/>
          <w:b w:val="false"/>
          <w:i w:val="false"/>
          <w:caps w:val="false"/>
          <w:smallCaps w:val="false"/>
          <w:sz w:val="20"/>
        </w:rPr>
        <w:t>and, together with Merger Sub I, the “</w:t>
      </w:r>
      <w:r>
        <w:rPr>
          <w:rFonts w:ascii="Times New Roman PS Std;serif" w:hAnsi="Times New Roman PS Std;serif"/>
          <w:b w:val="false"/>
          <w:i w:val="false"/>
          <w:caps w:val="false"/>
          <w:smallCaps w:val="false"/>
          <w:sz w:val="20"/>
          <w:u w:val="single"/>
        </w:rPr>
        <w:t>Merger Subs</w:t>
      </w:r>
      <w:r>
        <w:rPr>
          <w:caps w:val="false"/>
          <w:smallCaps w:val="false"/>
        </w:rPr>
        <w:t xml:space="preserve">” </w:t>
      </w:r>
      <w:r>
        <w:rPr>
          <w:rFonts w:ascii="Times New Roman PS Std;serif" w:hAnsi="Times New Roman PS Std;serif"/>
          <w:b w:val="false"/>
          <w:i w:val="false"/>
          <w:caps w:val="false"/>
          <w:smallCaps w:val="false"/>
          <w:sz w:val="20"/>
        </w:rPr>
        <w:t>and the Merger Subs together with Parent, the “</w:t>
      </w:r>
      <w:r>
        <w:rPr>
          <w:rFonts w:ascii="Times New Roman PS Std;serif" w:hAnsi="Times New Roman PS Std;serif"/>
          <w:b w:val="false"/>
          <w:i w:val="false"/>
          <w:caps w:val="false"/>
          <w:smallCaps w:val="false"/>
          <w:sz w:val="20"/>
          <w:u w:val="single"/>
        </w:rPr>
        <w:t>Parent Parties</w:t>
      </w:r>
      <w:r>
        <w:rPr>
          <w:caps w:val="false"/>
          <w:smallCaps w:val="false"/>
        </w:rPr>
        <w:t>”</w:t>
      </w:r>
      <w:r>
        <w:rPr>
          <w:rFonts w:ascii="Times New Roman PS Std;serif" w:hAnsi="Times New Roman PS Std;serif"/>
          <w:b w:val="false"/>
          <w:i w:val="false"/>
          <w:caps w:val="false"/>
          <w:smallCaps w:val="false"/>
          <w:sz w:val="20"/>
        </w:rPr>
        <w:t>), and LivePerson, Inc.,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xml:space="preserve">). All capitalized terms used in this Agreement shall have the meanings assigned to such terms in </w:t>
      </w:r>
      <w:r>
        <w:rPr>
          <w:rFonts w:ascii="Times New Roman PS Std;serif" w:hAnsi="Times New Roman PS Std;serif"/>
          <w:b w:val="false"/>
          <w:i w:val="false"/>
          <w:caps w:val="false"/>
          <w:smallCaps w:val="false"/>
          <w:sz w:val="20"/>
          <w:u w:val="single"/>
        </w:rPr>
        <w:t>Section 9.4</w:t>
      </w:r>
      <w:r>
        <w:rPr>
          <w:caps w:val="false"/>
          <w:smallCaps w:val="false"/>
        </w:rPr>
        <w:t xml:space="preserve"> </w:t>
      </w:r>
      <w:r>
        <w:rPr>
          <w:rFonts w:ascii="Times New Roman PS Std;serif" w:hAnsi="Times New Roman PS Std;serif"/>
          <w:b w:val="false"/>
          <w:i w:val="false"/>
          <w:caps w:val="false"/>
          <w:smallCaps w:val="false"/>
          <w:sz w:val="20"/>
        </w:rPr>
        <w:t>or as otherwise defined elsewhere in this Agreement unless the context clearly indicates otherwise.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Parent, Merger Sub I and the Company entered into that certain Merger Agreement, dated as of April 21, 2026 (the “</w:t>
      </w:r>
      <w:r>
        <w:rPr>
          <w:rFonts w:ascii="Times New Roman PS Std;serif" w:hAnsi="Times New Roman PS Std;serif"/>
          <w:b w:val="false"/>
          <w:i w:val="false"/>
          <w:caps w:val="false"/>
          <w:smallCaps w:val="false"/>
          <w:sz w:val="20"/>
          <w:u w:val="single"/>
        </w:rPr>
        <w:t>Original Agreement</w:t>
      </w:r>
      <w:r>
        <w:rPr>
          <w:caps w:val="false"/>
          <w:smallCaps w:val="false"/>
        </w:rPr>
        <w:t>”</w:t>
      </w:r>
      <w:r>
        <w:rPr>
          <w:rFonts w:ascii="Times New Roman PS Std;serif" w:hAnsi="Times New Roman PS Std;serif"/>
          <w:b w:val="false"/>
          <w:i w:val="false"/>
          <w:caps w:val="false"/>
          <w:smallCaps w:val="false"/>
          <w:sz w:val="20"/>
        </w:rPr>
        <w:t>) pursuant to which, on the terms and subject to the conditions set forth in the Original Agreement, Merger Sub I would merge with and into the Company, and the Company would survive such merger as an indirect wholly owned subsidiary of Parent;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Pursuant to Section 9.15 of the Original Agreement, Parent, Merger Sub I and the Company desire to amend and restate the Original Agreement in its entirety to reflect the terms and conditions set forth 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The parties now intend that, on the terms and subject to the conditions set forth in this Agreement, (a) Merger Sub I be merged with and into the Company (the “</w:t>
      </w:r>
      <w:r>
        <w:rPr>
          <w:rFonts w:ascii="Times New Roman PS Std;serif" w:hAnsi="Times New Roman PS Std;serif"/>
          <w:b w:val="false"/>
          <w:i w:val="false"/>
          <w:caps w:val="false"/>
          <w:smallCaps w:val="false"/>
          <w:sz w:val="20"/>
          <w:u w:val="single"/>
        </w:rPr>
        <w:t>First Merger</w:t>
      </w:r>
      <w:r>
        <w:rPr>
          <w:caps w:val="false"/>
          <w:smallCaps w:val="false"/>
        </w:rPr>
        <w:t>”</w:t>
      </w:r>
      <w:r>
        <w:rPr>
          <w:rFonts w:ascii="Times New Roman PS Std;serif" w:hAnsi="Times New Roman PS Std;serif"/>
          <w:b w:val="false"/>
          <w:i w:val="false"/>
          <w:caps w:val="false"/>
          <w:smallCaps w:val="false"/>
          <w:sz w:val="20"/>
        </w:rPr>
        <w:t>), with the Company continuing as the surviving corporation in the First Merger (the Company, as the surviving entity in the First Merger, sometimes being referred to herein as the “</w:t>
      </w:r>
      <w:r>
        <w:rPr>
          <w:rFonts w:ascii="Times New Roman PS Std;serif" w:hAnsi="Times New Roman PS Std;serif"/>
          <w:b w:val="false"/>
          <w:i w:val="false"/>
          <w:caps w:val="false"/>
          <w:smallCaps w:val="false"/>
          <w:sz w:val="20"/>
          <w:u w:val="single"/>
        </w:rPr>
        <w:t>First Surviving Corporation</w:t>
      </w:r>
      <w:r>
        <w:rPr>
          <w:caps w:val="false"/>
          <w:smallCaps w:val="false"/>
        </w:rPr>
        <w:t>”</w:t>
      </w:r>
      <w:r>
        <w:rPr>
          <w:rFonts w:ascii="Times New Roman PS Std;serif" w:hAnsi="Times New Roman PS Std;serif"/>
          <w:b w:val="false"/>
          <w:i w:val="false"/>
          <w:caps w:val="false"/>
          <w:smallCaps w:val="false"/>
          <w:sz w:val="20"/>
        </w:rPr>
        <w:t>) as an indirect wholly owned Subsidiary of Parent in accordance with the applicable provisions of the General Corporation Law of the State of Delaware (the “</w:t>
      </w:r>
      <w:r>
        <w:rPr>
          <w:rFonts w:ascii="Times New Roman PS Std;serif" w:hAnsi="Times New Roman PS Std;serif"/>
          <w:b w:val="false"/>
          <w:i w:val="false"/>
          <w:caps w:val="false"/>
          <w:smallCaps w:val="false"/>
          <w:sz w:val="20"/>
          <w:u w:val="single"/>
        </w:rPr>
        <w:t>DGCL</w:t>
      </w:r>
      <w:r>
        <w:rPr>
          <w:caps w:val="false"/>
          <w:smallCaps w:val="false"/>
        </w:rPr>
        <w:t>”</w:t>
      </w:r>
      <w:r>
        <w:rPr>
          <w:rFonts w:ascii="Times New Roman PS Std;serif" w:hAnsi="Times New Roman PS Std;serif"/>
          <w:b w:val="false"/>
          <w:i w:val="false"/>
          <w:caps w:val="false"/>
          <w:smallCaps w:val="false"/>
          <w:sz w:val="20"/>
        </w:rPr>
        <w:t>), pursuant to which each share of common stock, par value $0.001 per share, of the Company (“</w:t>
      </w:r>
      <w:r>
        <w:rPr>
          <w:rFonts w:ascii="Times New Roman PS Std;serif" w:hAnsi="Times New Roman PS Std;serif"/>
          <w:b w:val="false"/>
          <w:i w:val="false"/>
          <w:caps w:val="false"/>
          <w:smallCaps w:val="false"/>
          <w:sz w:val="20"/>
          <w:u w:val="single"/>
        </w:rPr>
        <w:t>Company Common Stock</w:t>
      </w:r>
      <w:r>
        <w:rPr>
          <w:caps w:val="false"/>
          <w:smallCaps w:val="false"/>
        </w:rPr>
        <w:t>”</w:t>
      </w:r>
      <w:r>
        <w:rPr>
          <w:rFonts w:ascii="Times New Roman PS Std;serif" w:hAnsi="Times New Roman PS Std;serif"/>
          <w:b w:val="false"/>
          <w:i w:val="false"/>
          <w:caps w:val="false"/>
          <w:smallCaps w:val="false"/>
          <w:sz w:val="20"/>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 PS Std;serif" w:hAnsi="Times New Roman PS Std;serif"/>
          <w:b w:val="false"/>
          <w:i w:val="false"/>
          <w:caps w:val="false"/>
          <w:smallCaps w:val="false"/>
          <w:sz w:val="20"/>
          <w:u w:val="single"/>
        </w:rPr>
        <w:t>Second Merger</w:t>
      </w:r>
      <w:r>
        <w:rPr>
          <w:caps w:val="false"/>
          <w:smallCaps w:val="false"/>
        </w:rPr>
        <w:t>”</w:t>
      </w:r>
      <w:r>
        <w:rPr>
          <w:rFonts w:ascii="Times New Roman PS Std;serif" w:hAnsi="Times New Roman PS Std;serif"/>
          <w:b w:val="false"/>
          <w:i w:val="false"/>
          <w:caps w:val="false"/>
          <w:smallCaps w:val="false"/>
          <w:sz w:val="20"/>
        </w:rPr>
        <w:t>, and together with the First Merger, the “</w:t>
      </w:r>
      <w:r>
        <w:rPr>
          <w:rFonts w:ascii="Times New Roman PS Std;serif" w:hAnsi="Times New Roman PS Std;serif"/>
          <w:b w:val="false"/>
          <w:i w:val="false"/>
          <w:caps w:val="false"/>
          <w:smallCaps w:val="false"/>
          <w:sz w:val="20"/>
          <w:u w:val="single"/>
        </w:rPr>
        <w:t>Mergers</w:t>
      </w:r>
      <w:r>
        <w:rPr>
          <w:caps w:val="false"/>
          <w:smallCaps w:val="false"/>
        </w:rPr>
        <w:t>”</w:t>
      </w:r>
      <w:r>
        <w:rPr>
          <w:rFonts w:ascii="Times New Roman PS Std;serif" w:hAnsi="Times New Roman PS Std;serif"/>
          <w:b w:val="false"/>
          <w:i w:val="false"/>
          <w:caps w:val="false"/>
          <w:smallCaps w:val="false"/>
          <w:sz w:val="20"/>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 PS Std;serif" w:hAnsi="Times New Roman PS Std;serif"/>
          <w:b w:val="false"/>
          <w:i w:val="false"/>
          <w:caps w:val="false"/>
          <w:smallCaps w:val="false"/>
          <w:sz w:val="20"/>
          <w:u w:val="single"/>
        </w:rPr>
        <w:t>Surviving Corporation</w:t>
      </w:r>
      <w:r>
        <w:rPr>
          <w:caps w:val="false"/>
          <w:smallCaps w:val="false"/>
        </w:rPr>
        <w:t>”</w:t>
      </w:r>
      <w:r>
        <w:rPr>
          <w:rFonts w:ascii="Times New Roman PS Std;serif" w:hAnsi="Times New Roman PS Std;serif"/>
          <w:b w:val="false"/>
          <w:i w:val="false"/>
          <w:caps w:val="false"/>
          <w:smallCaps w:val="false"/>
          <w:sz w:val="20"/>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The Board of Directors of the Company (the “</w:t>
      </w:r>
      <w:r>
        <w:rPr>
          <w:rFonts w:ascii="Times New Roman PS Std;serif" w:hAnsi="Times New Roman PS Std;serif"/>
          <w:b w:val="false"/>
          <w:i w:val="false"/>
          <w:caps w:val="false"/>
          <w:smallCaps w:val="false"/>
          <w:sz w:val="20"/>
          <w:u w:val="single"/>
        </w:rPr>
        <w:t>Company Board</w:t>
      </w:r>
      <w:r>
        <w:rPr>
          <w:caps w:val="false"/>
          <w:smallCaps w:val="false"/>
        </w:rPr>
        <w:t>”</w:t>
      </w:r>
      <w:r>
        <w:rPr>
          <w:rFonts w:ascii="Times New Roman PS Std;serif" w:hAnsi="Times New Roman PS Std;serif"/>
          <w:b w:val="false"/>
          <w:i w:val="false"/>
          <w:caps w:val="false"/>
          <w:smallCaps w:val="false"/>
          <w:sz w:val="20"/>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 PS Std;serif" w:hAnsi="Times New Roman PS Std;serif"/>
          <w:b w:val="false"/>
          <w:i w:val="false"/>
          <w:caps w:val="false"/>
          <w:smallCaps w:val="false"/>
          <w:sz w:val="20"/>
          <w:u w:val="single"/>
        </w:rPr>
        <w:t>Company Board Recommendation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The Board of Directors of Parent (the “</w:t>
      </w:r>
      <w:r>
        <w:rPr>
          <w:rFonts w:ascii="Times New Roman PS Std;serif" w:hAnsi="Times New Roman PS Std;serif"/>
          <w:b w:val="false"/>
          <w:i w:val="false"/>
          <w:caps w:val="false"/>
          <w:smallCaps w:val="false"/>
          <w:sz w:val="20"/>
          <w:u w:val="single"/>
        </w:rPr>
        <w:t>Parent Board</w:t>
      </w:r>
      <w:r>
        <w:rPr>
          <w:caps w:val="false"/>
          <w:smallCaps w:val="false"/>
        </w:rPr>
        <w:t>”</w:t>
      </w:r>
      <w:r>
        <w:rPr>
          <w:rFonts w:ascii="Times New Roman PS Std;serif" w:hAnsi="Times New Roman PS Std;serif"/>
          <w:b w:val="false"/>
          <w:i w:val="false"/>
          <w:caps w:val="false"/>
          <w:smallCaps w:val="false"/>
          <w:sz w:val="20"/>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Concurrently with the execution of the Original Agreement, each holder of Secured Notes and Parent entered into a Notes Restructuring Agreement (the “</w:t>
      </w:r>
      <w:r>
        <w:rPr>
          <w:rFonts w:ascii="Times New Roman PS Std;serif" w:hAnsi="Times New Roman PS Std;serif"/>
          <w:b w:val="false"/>
          <w:i w:val="false"/>
          <w:caps w:val="false"/>
          <w:smallCaps w:val="false"/>
          <w:sz w:val="20"/>
          <w:u w:val="single"/>
        </w:rPr>
        <w:t>Notes Restructuring Agreement</w:t>
      </w:r>
      <w:r>
        <w:rPr>
          <w:caps w:val="false"/>
          <w:smallCaps w:val="false"/>
        </w:rPr>
        <w:t xml:space="preserve">” </w:t>
      </w:r>
      <w:r>
        <w:rPr>
          <w:rFonts w:ascii="Times New Roman PS Std;serif" w:hAnsi="Times New Roman PS Std;serif"/>
          <w:b w:val="false"/>
          <w:i w:val="false"/>
          <w:caps w:val="false"/>
          <w:smallCaps w:val="false"/>
          <w:sz w:val="20"/>
        </w:rPr>
        <w:t>and the transactions contemplated by the Notes Restructuring Agreement, the “</w:t>
      </w:r>
      <w:r>
        <w:rPr>
          <w:rFonts w:ascii="Times New Roman PS Std;serif" w:hAnsi="Times New Roman PS Std;serif"/>
          <w:b w:val="false"/>
          <w:i w:val="false"/>
          <w:caps w:val="false"/>
          <w:smallCaps w:val="false"/>
          <w:sz w:val="20"/>
          <w:u w:val="single"/>
        </w:rPr>
        <w:t>Notes Restructuring Transactions</w:t>
      </w:r>
      <w:r>
        <w:rPr>
          <w:caps w:val="false"/>
          <w:smallCaps w:val="false"/>
        </w:rPr>
        <w:t>”</w:t>
      </w:r>
      <w:r>
        <w:rPr>
          <w:rFonts w:ascii="Times New Roman PS Std;serif" w:hAnsi="Times New Roman PS Std;serif"/>
          <w:b w:val="false"/>
          <w:i w:val="false"/>
          <w:caps w:val="false"/>
          <w:smallCaps w:val="false"/>
          <w:sz w:val="20"/>
        </w:rPr>
        <w:t>), pursuant to which, among other actions and matters, such holders agreed to release and deem satisfied in full the Secured Notes for the consideration contemplated thereby.</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1</w:t>
        <w:br/>
      </w:r>
      <w:r>
        <w:rPr>
          <w:rFonts w:ascii="Times New Roman PS Std;serif" w:hAnsi="Times New Roman PS Std;serif"/>
          <w:b/>
          <w:i w:val="false"/>
          <w:caps/>
          <w:sz w:val="20"/>
        </w:rPr>
        <w:t>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The Mergers</w:t>
      </w:r>
      <w:r>
        <w:rPr>
          <w:rFonts w:ascii="Times New Roman PS Std;serif" w:hAnsi="Times New Roman PS Std;serif"/>
          <w:b w:val="false"/>
          <w:i w:val="false"/>
          <w:caps w:val="false"/>
          <w:smallCaps w:val="false"/>
          <w:sz w:val="20"/>
        </w:rPr>
        <w:t>. Upon the terms and subject to the satisfaction or waiver of the conditions set forth in this Agreement and in accordance with the applicable provisions of the DGCL:</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 PS Std;serif" w:hAnsi="Times New Roman PS Std;serif"/>
          <w:b w:val="false"/>
          <w:i w:val="false"/>
          <w:caps w:val="false"/>
          <w:smallCaps w:val="false"/>
          <w:sz w:val="20"/>
          <w:u w:val="single"/>
        </w:rPr>
        <w:t>Intermediate Sub</w:t>
      </w:r>
      <w:r>
        <w:rPr>
          <w:caps w:val="false"/>
          <w:smallCaps w:val="false"/>
        </w:rPr>
        <w:t>”</w:t>
      </w:r>
      <w:r>
        <w:rPr>
          <w:rFonts w:ascii="Times New Roman PS Std;serif" w:hAnsi="Times New Roman PS Std;serif"/>
          <w:b w:val="false"/>
          <w:i w:val="false"/>
          <w:caps w:val="false"/>
          <w:smallCaps w:val="false"/>
          <w:sz w:val="20"/>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 (ii) 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Solely for purposes of Sections 251 and 262 of the DGCL, this Agreement shall constitute separate agreements of merger with respect to the First Merger and the Second Merger.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Closing and Effective Times of the Mergers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closing of the Mergers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PS Std;serif" w:hAnsi="Times New Roman PS Std;serif"/>
          <w:b w:val="false"/>
          <w:i w:val="false"/>
          <w:caps w:val="false"/>
          <w:smallCaps w:val="false"/>
          <w:sz w:val="20"/>
          <w:u w:val="single"/>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On the Closing Date, (i) Parent, Merger Sub I and the Company shall cause a certificate of merger (the “</w:t>
      </w:r>
      <w:r>
        <w:rPr>
          <w:rFonts w:ascii="Times New Roman PS Std;serif" w:hAnsi="Times New Roman PS Std;serif"/>
          <w:b w:val="false"/>
          <w:i w:val="false"/>
          <w:caps w:val="false"/>
          <w:smallCaps w:val="false"/>
          <w:sz w:val="20"/>
          <w:u w:val="single"/>
        </w:rPr>
        <w:t>First Certificate of Merger</w:t>
      </w:r>
      <w:r>
        <w:rPr>
          <w:caps w:val="false"/>
          <w:smallCaps w:val="false"/>
        </w:rPr>
        <w:t>”</w:t>
      </w:r>
      <w:r>
        <w:rPr>
          <w:rFonts w:ascii="Times New Roman PS Std;serif" w:hAnsi="Times New Roman PS Std;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 PS Std;serif" w:hAnsi="Times New Roman PS Std;serif"/>
          <w:b w:val="false"/>
          <w:i w:val="false"/>
          <w:caps w:val="false"/>
          <w:smallCaps w:val="false"/>
          <w:sz w:val="20"/>
          <w:u w:val="single"/>
        </w:rPr>
        <w:t>Second Certificate of Merger</w:t>
      </w:r>
      <w:r>
        <w:rPr>
          <w:caps w:val="false"/>
          <w:smallCaps w:val="false"/>
        </w:rPr>
        <w:t>”</w:t>
      </w:r>
      <w:r>
        <w:rPr>
          <w:rFonts w:ascii="Times New Roman PS Std;serif" w:hAnsi="Times New Roman PS Std;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 PS Std;serif" w:hAnsi="Times New Roman PS Std;serif"/>
          <w:b w:val="false"/>
          <w:i w:val="false"/>
          <w:caps w:val="false"/>
          <w:smallCaps w:val="false"/>
          <w:sz w:val="20"/>
          <w:u w:val="single"/>
        </w:rPr>
        <w:t>First Effective Time</w:t>
      </w:r>
      <w:r>
        <w:rPr>
          <w:caps w:val="false"/>
          <w:smallCaps w:val="false"/>
        </w:rPr>
        <w:t>”</w:t>
      </w:r>
      <w:r>
        <w:rPr>
          <w:rFonts w:ascii="Times New Roman PS Std;serif" w:hAnsi="Times New Roman PS Std;serif"/>
          <w:b w:val="false"/>
          <w:i w:val="false"/>
          <w:caps w:val="false"/>
          <w:smallCaps w:val="false"/>
          <w:sz w:val="20"/>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 PS Std;serif" w:hAnsi="Times New Roman PS Std;serif"/>
          <w:b w:val="false"/>
          <w:i w:val="false"/>
          <w:caps w:val="false"/>
          <w:smallCaps w:val="false"/>
          <w:sz w:val="20"/>
          <w:u w:val="single"/>
        </w:rPr>
        <w:t>Second 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2</w:t>
        <w:br/>
      </w:r>
      <w:r>
        <w:rPr>
          <w:rFonts w:ascii="Times New Roman PS Std;serif" w:hAnsi="Times New Roman PS Std;serif"/>
          <w:b/>
          <w:i w:val="false"/>
          <w:caps/>
          <w:sz w:val="20"/>
        </w:rPr>
        <w:t>Conversion of Securities IN THE MERGER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2.1         </w:t>
      </w:r>
      <w:r>
        <w:rPr>
          <w:rFonts w:ascii="Times New Roman PS Std;serif" w:hAnsi="Times New Roman PS Std;serif"/>
          <w:b w:val="false"/>
          <w:i w:val="false"/>
          <w:caps w:val="false"/>
          <w:smallCaps w:val="false"/>
          <w:sz w:val="20"/>
          <w:u w:val="single"/>
        </w:rPr>
        <w:t>Conversion of Securities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First Effective Time, by virtue of the First Merger and without any action on the part of the Company, Parent, the Merger Subs or the holders of any capital stock of the Company, Parent, or the Merger Subs: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share of Company Common Stock issued and outstanding immediately prior to the First Effective Time (other than Company Cancelled Shares and the TASE Shares) shall be automatically converted into the right to receive the Per Share Merger Consideration.</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in accordance with </w:t>
      </w:r>
      <w:r>
        <w:rPr>
          <w:rFonts w:ascii="Times New Roman PS Std;serif" w:hAnsi="Times New Roman PS Std;serif"/>
          <w:b w:val="false"/>
          <w:i w:val="false"/>
          <w:caps w:val="false"/>
          <w:smallCaps w:val="false"/>
          <w:sz w:val="20"/>
          <w:u w:val="single"/>
        </w:rPr>
        <w:t xml:space="preserve">Section 2.2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(iii)        All shares of Company Common Stock (including TASE Shares) held by (x) the Company as treasury shares, (y) any Company Subsidiary or (z) Parent or any Subsidiary of Parent (a “</w:t>
      </w:r>
      <w:r>
        <w:rPr>
          <w:rFonts w:ascii="Times New Roman PS Std;serif" w:hAnsi="Times New Roman PS Std;serif"/>
          <w:b w:val="false"/>
          <w:i w:val="false"/>
          <w:caps w:val="false"/>
          <w:smallCaps w:val="false"/>
          <w:sz w:val="20"/>
          <w:u w:val="single"/>
        </w:rPr>
        <w:t>Parent Subsidiary</w:t>
      </w:r>
      <w:r>
        <w:rPr>
          <w:caps w:val="false"/>
          <w:smallCaps w:val="false"/>
        </w:rPr>
        <w:t>”</w:t>
      </w:r>
      <w:r>
        <w:rPr>
          <w:rFonts w:ascii="Times New Roman PS Std;serif" w:hAnsi="Times New Roman PS Std;serif"/>
          <w:b w:val="false"/>
          <w:i w:val="false"/>
          <w:caps w:val="false"/>
          <w:smallCaps w:val="false"/>
          <w:sz w:val="20"/>
        </w:rPr>
        <w:t>), in each case, immediately prior to the First Effective Time (collectively, the “</w:t>
      </w:r>
      <w:r>
        <w:rPr>
          <w:rFonts w:ascii="Times New Roman PS Std;serif" w:hAnsi="Times New Roman PS Std;serif"/>
          <w:b w:val="false"/>
          <w:i w:val="false"/>
          <w:caps w:val="false"/>
          <w:smallCaps w:val="false"/>
          <w:sz w:val="20"/>
          <w:u w:val="single"/>
        </w:rPr>
        <w:t>Company Cancelled Shares</w:t>
      </w:r>
      <w:r>
        <w:rPr>
          <w:caps w:val="false"/>
          <w:smallCaps w:val="false"/>
        </w:rPr>
        <w:t>”</w:t>
      </w:r>
      <w:r>
        <w:rPr>
          <w:rFonts w:ascii="Times New Roman PS Std;serif" w:hAnsi="Times New Roman PS Std;serif"/>
          <w:b w:val="false"/>
          <w:i w:val="false"/>
          <w:caps w:val="false"/>
          <w:smallCaps w:val="false"/>
          <w:sz w:val="20"/>
        </w:rPr>
        <w:t>), shall be automatically cancelled and shall cease to exist, and no consideration shall be delivered in exchange therefor.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 TASE Shares issued and outstanding immediately prior to the First Effective Time shall remain issued and outstanding.</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(v)         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 PS Std;serif" w:hAnsi="Times New Roman PS Std;serif"/>
          <w:b w:val="false"/>
          <w:i w:val="false"/>
          <w:caps w:val="false"/>
          <w:smallCaps w:val="false"/>
          <w:sz w:val="20"/>
          <w:u w:val="single"/>
        </w:rPr>
        <w:t>Merger Sub I Merger Shares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Second Effective Time, by virtue of the Second Merger and without any action on the part of the Company, Parent, the Merger Subs or the holders of any capital stock of the Company, Parent, or the Merger Subs: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 PS Std;serif" w:hAnsi="Times New Roman PS Std;serif"/>
          <w:b w:val="false"/>
          <w:i w:val="false"/>
          <w:caps w:val="false"/>
          <w:smallCaps w:val="false"/>
          <w:sz w:val="20"/>
          <w:u w:val="single"/>
        </w:rPr>
        <w:t>Section 2.1(b)(i)(A)</w:t>
      </w:r>
      <w:r>
        <w:rPr>
          <w:caps w:val="false"/>
          <w:smallCaps w:val="false"/>
        </w:rPr>
        <w:t xml:space="preserve"> </w:t>
      </w:r>
      <w:r>
        <w:rPr>
          <w:rFonts w:ascii="Times New Roman PS Std;serif" w:hAnsi="Times New Roman PS Std;serif"/>
          <w:b w:val="false"/>
          <w:i w:val="false"/>
          <w:caps w:val="false"/>
          <w:smallCaps w:val="false"/>
          <w:sz w:val="20"/>
        </w:rPr>
        <w:t xml:space="preserve">and in accordance with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share of common stock, par value $0.01 per share, of Merger Sub II issued and outstanding immediately prior to the Second Effective Time shall be automatically converted into one fully paid and nonassessable share of common stock of the Surviving Corporation.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nothing in this </w:t>
      </w:r>
      <w:r>
        <w:rPr>
          <w:rFonts w:ascii="Times New Roman PS Std;serif" w:hAnsi="Times New Roman PS Std;serif"/>
          <w:b w:val="false"/>
          <w:i w:val="false"/>
          <w:caps w:val="false"/>
          <w:smallCaps w:val="false"/>
          <w:sz w:val="20"/>
          <w:u w:val="single"/>
        </w:rPr>
        <w:t>Section 2.1(c)</w:t>
      </w:r>
      <w:r>
        <w:rPr>
          <w:caps w:val="false"/>
          <w:smallCaps w:val="false"/>
        </w:rPr>
        <w:t xml:space="preserve"> </w:t>
      </w:r>
      <w:r>
        <w:rPr>
          <w:rFonts w:ascii="Times New Roman PS Std;serif" w:hAnsi="Times New Roman PS Std;serif"/>
          <w:b w:val="false"/>
          <w:i w:val="false"/>
          <w:caps w:val="false"/>
          <w:smallCaps w:val="false"/>
          <w:sz w:val="20"/>
        </w:rPr>
        <w:t>shall be construed to permit Parent or the Company to take any action with respect to its securities that is prohibited by the terms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2.2         </w:t>
      </w:r>
      <w:r>
        <w:rPr>
          <w:rFonts w:ascii="Times New Roman PS Std;serif" w:hAnsi="Times New Roman PS Std;serif"/>
          <w:b w:val="false"/>
          <w:i w:val="false"/>
          <w:caps w:val="false"/>
          <w:smallCaps w:val="false"/>
          <w:sz w:val="20"/>
          <w:u w:val="single"/>
        </w:rPr>
        <w:t>Payment for Securities; Surrender of Certificates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Exchange Agent</w:t>
      </w:r>
      <w:r>
        <w:rPr>
          <w:rFonts w:ascii="Times New Roman PS Std;serif" w:hAnsi="Times New Roman PS Std;serif"/>
          <w:b w:val="false"/>
          <w:i w:val="false"/>
          <w:caps w:val="false"/>
          <w:smallCaps w:val="false"/>
          <w:sz w:val="20"/>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Exchange Agent</w:t>
      </w:r>
      <w:r>
        <w:rPr>
          <w:caps w:val="false"/>
          <w:smallCaps w:val="false"/>
        </w:rPr>
        <w:t>”</w:t>
      </w:r>
      <w:r>
        <w:rPr>
          <w:rFonts w:ascii="Times New Roman PS Std;serif" w:hAnsi="Times New Roman PS Std;serif"/>
          <w:b w:val="false"/>
          <w:i w:val="false"/>
          <w:caps w:val="false"/>
          <w:smallCaps w:val="false"/>
          <w:sz w:val="20"/>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(y) an amount of cash sufficient to deliver the payments contemplated by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in each case, to which holders of Company Common Stock shall be entitled at the First Effective Time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and (II) an amount of cash sufficient to deliver the payments contemplated by </w:t>
      </w:r>
      <w:r>
        <w:rPr>
          <w:rFonts w:ascii="Times New Roman PS Std;serif" w:hAnsi="Times New Roman PS Std;serif"/>
          <w:b w:val="false"/>
          <w:i w:val="false"/>
          <w:caps w:val="false"/>
          <w:smallCaps w:val="false"/>
          <w:sz w:val="20"/>
          <w:u w:val="single"/>
        </w:rPr>
        <w:t>Section 2.1(b)(i)(A)</w:t>
      </w:r>
      <w:r>
        <w:rPr>
          <w:caps w:val="false"/>
          <w:smallCaps w:val="false"/>
        </w:rPr>
        <w:t xml:space="preserve"> </w:t>
      </w:r>
      <w:r>
        <w:rPr>
          <w:rFonts w:ascii="Times New Roman PS Std;serif" w:hAnsi="Times New Roman PS Std;serif"/>
          <w:b w:val="false"/>
          <w:i w:val="false"/>
          <w:caps w:val="false"/>
          <w:smallCaps w:val="false"/>
          <w:sz w:val="20"/>
        </w:rPr>
        <w:t xml:space="preserve">to which holders of TASE Shares shall be entitled at the Second Effective Time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 PS Std;serif" w:hAnsi="Times New Roman PS Std;serif"/>
          <w:b w:val="false"/>
          <w:i w:val="false"/>
          <w:caps w:val="false"/>
          <w:smallCaps w:val="false"/>
          <w:sz w:val="20"/>
          <w:u w:val="single"/>
        </w:rPr>
        <w:t xml:space="preserve">Section 2.3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In the event such deposited shares or funds are insufficient to effect the issuances or make the payments contemplated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Parent shall promptly deposit, or cause to be deposited,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PS Std;serif" w:hAnsi="Times New Roman PS Std;serif"/>
          <w:b w:val="false"/>
          <w:i w:val="false"/>
          <w:caps w:val="false"/>
          <w:smallCaps w:val="false"/>
          <w:sz w:val="20"/>
          <w:u w:val="single"/>
        </w:rPr>
        <w:t>Section 2.2(a)</w:t>
      </w:r>
      <w:r>
        <w:rPr>
          <w:caps w:val="false"/>
          <w:smallCaps w:val="false"/>
        </w:rPr>
        <w:t xml:space="preserve"> </w:t>
      </w:r>
      <w:r>
        <w:rPr>
          <w:rFonts w:ascii="Times New Roman PS Std;serif" w:hAnsi="Times New Roman PS Std;serif"/>
          <w:b w:val="false"/>
          <w:i w:val="false"/>
          <w:caps w:val="false"/>
          <w:smallCaps w:val="false"/>
          <w:sz w:val="20"/>
        </w:rPr>
        <w:t xml:space="preserve">shall be the sole and exclusive property of Parent. No part of such earnings shall accrue to the benefit of holders of Company Common Stock (other than by virtue of receipt of the issuances or payments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in each case, pursuant to the terms thereof) and no losses shall alter Parent’s obligation to cause the Exchange Agent to issue the shares or pay the cash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Procedures for Surrender; Treatment of Company Certificated Shares and Company Book-Entry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rPr>
        <w:t>Company Certificated Shares</w:t>
      </w:r>
      <w:r>
        <w:rPr>
          <w:rFonts w:ascii="Times New Roman PS Std;serif" w:hAnsi="Times New Roman PS Std;serif"/>
          <w:b w:val="false"/>
          <w:i w:val="false"/>
          <w:caps w:val="false"/>
          <w:smallCaps w:val="false"/>
          <w:sz w:val="20"/>
        </w:rPr>
        <w:t>. As soon as practicable after the First Effective Time (and in no event later than three (3) Business Days after the First Effective Time), Parent shall cause the Exchange Agent to mail to each Person that was a holder of record of shares of Company Common Stock represented by a certificate (“</w:t>
      </w:r>
      <w:r>
        <w:rPr>
          <w:rFonts w:ascii="Times New Roman PS Std;serif" w:hAnsi="Times New Roman PS Std;serif"/>
          <w:b w:val="false"/>
          <w:i w:val="false"/>
          <w:caps w:val="false"/>
          <w:smallCaps w:val="false"/>
          <w:sz w:val="20"/>
          <w:u w:val="single"/>
        </w:rPr>
        <w:t>Company Certificated Shares</w:t>
      </w:r>
      <w:r>
        <w:rPr>
          <w:caps w:val="false"/>
          <w:smallCaps w:val="false"/>
        </w:rPr>
        <w:t>”</w:t>
      </w:r>
      <w:r>
        <w:rPr>
          <w:rFonts w:ascii="Times New Roman PS Std;serif" w:hAnsi="Times New Roman PS Std;serif"/>
          <w:b w:val="false"/>
          <w:i w:val="false"/>
          <w:caps w:val="false"/>
          <w:smallCaps w:val="false"/>
          <w:sz w:val="20"/>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PS Std;serif" w:hAnsi="Times New Roman PS Std;serif"/>
          <w:b w:val="false"/>
          <w:i w:val="false"/>
          <w:caps w:val="false"/>
          <w:smallCaps w:val="false"/>
          <w:sz w:val="20"/>
          <w:u w:val="single"/>
        </w:rPr>
        <w:t>Section 2.2(f)</w:t>
      </w:r>
      <w:r>
        <w:rPr>
          <w:rFonts w:ascii="Times New Roman PS Std;serif" w:hAnsi="Times New Roman PS Std;serif"/>
          <w:b w:val="false"/>
          <w:i w:val="false"/>
          <w:caps w:val="false"/>
          <w:smallCaps w:val="false"/>
          <w:sz w:val="20"/>
        </w:rPr>
        <w:t xml:space="preserve">) in exchange for the issuance of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Upon surrender of any Company Certificated Shares (or affidavit of loss in lieu of the Company Certificated Shares as provided in </w:t>
      </w:r>
      <w:r>
        <w:rPr>
          <w:rFonts w:ascii="Times New Roman PS Std;serif" w:hAnsi="Times New Roman PS Std;serif"/>
          <w:b w:val="false"/>
          <w:i w:val="false"/>
          <w:caps w:val="false"/>
          <w:smallCaps w:val="false"/>
          <w:sz w:val="20"/>
          <w:u w:val="single"/>
        </w:rPr>
        <w:t>Section 2.2(f)</w:t>
      </w:r>
      <w:r>
        <w:rPr>
          <w:rFonts w:ascii="Times New Roman PS Std;serif" w:hAnsi="Times New Roman PS Std;serif"/>
          <w:b w:val="false"/>
          <w:i w:val="false"/>
          <w:caps w:val="false"/>
          <w:smallCaps w:val="false"/>
          <w:sz w:val="20"/>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(y)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rPr>
        <w:t>Company Book-Entry Shares</w:t>
      </w:r>
      <w:r>
        <w:rPr>
          <w:rFonts w:ascii="Times New Roman PS Std;serif" w:hAnsi="Times New Roman PS Std;serif"/>
          <w:b w:val="false"/>
          <w:i w:val="false"/>
          <w:caps w:val="false"/>
          <w:smallCaps w:val="false"/>
          <w:sz w:val="20"/>
        </w:rPr>
        <w:t>. Notwithstanding anything to the contrary contained in this Agreement, no holder of shares of Company Common Stock held in book-entry form (“</w:t>
      </w:r>
      <w:r>
        <w:rPr>
          <w:rFonts w:ascii="Times New Roman PS Std;serif" w:hAnsi="Times New Roman PS Std;serif"/>
          <w:b w:val="false"/>
          <w:i w:val="false"/>
          <w:caps w:val="false"/>
          <w:smallCaps w:val="false"/>
          <w:sz w:val="20"/>
          <w:u w:val="single"/>
        </w:rPr>
        <w:t>Company Book-Entry Shares</w:t>
      </w:r>
      <w:r>
        <w:rPr>
          <w:caps w:val="false"/>
          <w:smallCaps w:val="false"/>
        </w:rPr>
        <w:t>”</w:t>
      </w:r>
      <w:r>
        <w:rPr>
          <w:rFonts w:ascii="Times New Roman PS Std;serif" w:hAnsi="Times New Roman PS Std;serif"/>
          <w:b w:val="false"/>
          <w:i w:val="false"/>
          <w:caps w:val="false"/>
          <w:smallCaps w:val="false"/>
          <w:sz w:val="20"/>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or Per Share Cash Merger Consideration, as applicable, that such holder is entitled to receive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or any dividends or other distributions (if any) or any cash payment (if any) that such holder is entitled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In lieu thereof, each holder of record of one or more Company Book-Entry Shares held through The Depository Trust Company whose Company Common Stock were converted into the right to receive (I) the Per Share Merger Consideration shall automatically, upon the First Effective Time, be entitled to receive, and Parent shall cause the Exchange Agent to issue and pay, if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(B)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any Company Book-Entry Shares shall forthwith be cancelled, or (II) 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(1) the</w:t>
      </w:r>
      <w:r>
        <w:rPr>
          <w:caps w:val="false"/>
          <w:smallCaps w:val="false"/>
        </w:rPr>
        <w:t xml:space="preserve"> </w:t>
      </w:r>
      <w:r>
        <w:rPr>
          <w:rFonts w:ascii="Times New Roman PS Std;serif" w:hAnsi="Times New Roman PS Std;serif"/>
          <w:b w:val="false"/>
          <w:i w:val="false"/>
          <w:caps w:val="false"/>
          <w:smallCaps w:val="false"/>
          <w:sz w:val="20"/>
        </w:rPr>
        <w:t xml:space="preserve">issuance of the Per Share Merger Consideration pursuant to </w:t>
      </w:r>
      <w:r>
        <w:rPr>
          <w:rFonts w:ascii="Times New Roman PS Std;serif" w:hAnsi="Times New Roman PS Std;serif"/>
          <w:b w:val="false"/>
          <w:i w:val="false"/>
          <w:caps w:val="false"/>
          <w:smallCaps w:val="false"/>
          <w:sz w:val="20"/>
          <w:u w:val="single"/>
        </w:rPr>
        <w:t xml:space="preserve">Section 2.1(a)(i)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respectively) or (2) the payment of the Per Share Cash Merger Consideration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(B) a cash payment for the Per Share Cash Merger Consideration for such Company Book-Entry Shares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and (C)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(II)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each Company Book-Entry Share that is a TASE Share shall be deemed at any time after the Second Effective Time to represent only the right to receive the Per Share Cash Merger Consideration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Transfer Books; No Further Ownership Rights in Shares</w:t>
      </w:r>
      <w:r>
        <w:rPr>
          <w:rFonts w:ascii="Times New Roman PS Std;serif" w:hAnsi="Times New Roman PS Std;serif"/>
          <w:b w:val="false"/>
          <w:i w:val="false"/>
          <w:caps w:val="false"/>
          <w:smallCaps w:val="false"/>
          <w:sz w:val="20"/>
        </w:rPr>
        <w:t xml:space="preserve">. The shares of Parent Common Stock issued upon conversion of shares of Company Common Stock pursuant to and in accordance with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payment of the Per Share Cash Merger Consideration in respect of shares of Company Common Stock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Post-Effective Time Surrender</w:t>
      </w:r>
      <w:r>
        <w:rPr>
          <w:rFonts w:ascii="Times New Roman PS Std;serif" w:hAnsi="Times New Roman PS Std;serif"/>
          <w:b w:val="false"/>
          <w:i w:val="false"/>
          <w:caps w:val="false"/>
          <w:smallCaps w:val="false"/>
          <w:sz w:val="20"/>
        </w:rPr>
        <w:t xml:space="preserve">.If, (i) after the First Effective Time, any Company Certificated Shares (other than TASE Shares) are presented to Parent, the First Surviving Corporation or the Surviving Corporation for any reason, such Company Certificated Shares shall be cancelled and exchanged for the Per Share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Merger Consideration that such holder is entitled to receive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(ii) after the Second Effective Time,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in each case, subject to abandoned property, escheat or other similar Laws.</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Termination of Fund; Abandoned Property; No Liability</w:t>
      </w:r>
      <w:r>
        <w:rPr>
          <w:rFonts w:ascii="Times New Roman PS Std;serif" w:hAnsi="Times New Roman PS Std;serif"/>
          <w:b w:val="false"/>
          <w:i w:val="false"/>
          <w:caps w:val="false"/>
          <w:smallCaps w:val="false"/>
          <w:sz w:val="20"/>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 PS Std;serif" w:hAnsi="Times New Roman PS Std;serif"/>
          <w:b w:val="false"/>
          <w:i w:val="false"/>
          <w:caps w:val="false"/>
          <w:smallCaps w:val="false"/>
          <w:sz w:val="20"/>
          <w:u w:val="single"/>
        </w:rPr>
        <w:t>Section 2.2(b)</w:t>
      </w:r>
      <w:r>
        <w:rPr>
          <w:caps w:val="false"/>
          <w:smallCaps w:val="false"/>
        </w:rPr>
        <w:t xml:space="preserve"> </w:t>
      </w:r>
      <w:r>
        <w:rPr>
          <w:rFonts w:ascii="Times New Roman PS Std;serif" w:hAnsi="Times New Roman PS Std;serif"/>
          <w:b w:val="false"/>
          <w:i w:val="false"/>
          <w:caps w:val="false"/>
          <w:smallCaps w:val="false"/>
          <w:sz w:val="20"/>
        </w:rPr>
        <w:t xml:space="preserve">prior to such time shall thereafter look only to Parent (subject to abandoned property, escheat or other similar Laws) for delivery of the Per Share Merger Consideration that such holder is entitled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any dividends or other distributions (if any) or any cash payment (if any) that such holder has the right to receive with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Per Share Cash Merger Consideration that such holder is entitled to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 or the Per Share Cash Merger Consideration, as applicable, delivered to a public official pursuant to any applicable abandoned property, escheat or similar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Lost, Stolen or Destroyed Certificates</w:t>
      </w:r>
      <w:r>
        <w:rPr>
          <w:rFonts w:ascii="Times New Roman PS Std;serif" w:hAnsi="Times New Roman PS Std;serif"/>
          <w:b w:val="false"/>
          <w:i w:val="false"/>
          <w:caps w:val="false"/>
          <w:smallCaps w:val="false"/>
          <w:sz w:val="20"/>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Per Share Cash Merger Consideration payable in respect thereof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2.3         </w:t>
      </w:r>
      <w:r>
        <w:rPr>
          <w:rFonts w:ascii="Times New Roman PS Std;serif" w:hAnsi="Times New Roman PS Std;serif"/>
          <w:b w:val="false"/>
          <w:i w:val="false"/>
          <w:caps w:val="false"/>
          <w:smallCaps w:val="false"/>
          <w:sz w:val="20"/>
          <w:u w:val="single"/>
        </w:rPr>
        <w:t>Distributions with Respect to Unexchanged Shares</w:t>
      </w:r>
      <w:r>
        <w:rPr>
          <w:rFonts w:ascii="Times New Roman PS Std;serif" w:hAnsi="Times New Roman PS Std;serif"/>
          <w:b w:val="false"/>
          <w:i w:val="false"/>
          <w:caps w:val="false"/>
          <w:smallCaps w:val="false"/>
          <w:sz w:val="20"/>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until such holder shall comply with the provisions of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Subject to escheat, Tax or other applicable Law, following the surrender of any such shares of Company Common Stock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(after giving effect to any required Tax withholdings as provided in </w:t>
      </w:r>
      <w:r>
        <w:rPr>
          <w:rFonts w:ascii="Times New Roman PS Std;serif" w:hAnsi="Times New Roman PS Std;serif"/>
          <w:b w:val="false"/>
          <w:i w:val="false"/>
          <w:caps w:val="false"/>
          <w:smallCaps w:val="false"/>
          <w:sz w:val="20"/>
          <w:u w:val="single"/>
        </w:rPr>
        <w:t>Section 2.9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2.4         </w:t>
      </w:r>
      <w:r>
        <w:rPr>
          <w:rFonts w:ascii="Times New Roman PS Std;serif" w:hAnsi="Times New Roman PS Std;serif"/>
          <w:b w:val="false"/>
          <w:i w:val="false"/>
          <w:caps w:val="false"/>
          <w:smallCaps w:val="false"/>
          <w:sz w:val="20"/>
          <w:u w:val="single"/>
        </w:rPr>
        <w:t>Fractional Shares</w:t>
      </w:r>
      <w:r>
        <w:rPr>
          <w:rFonts w:ascii="Times New Roman PS Std;serif" w:hAnsi="Times New Roman PS Std;serif"/>
          <w:b w:val="false"/>
          <w:i w:val="false"/>
          <w:caps w:val="false"/>
          <w:smallCaps w:val="false"/>
          <w:sz w:val="20"/>
        </w:rPr>
        <w:t xml:space="preserve">. No fractional shares of Parent Common Stock shall be issued upon the conversion of shares of Company Common Stock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that would otherwise have been entitled to receive a fraction of a share of Parent Common Stock (after taking into account all shares of Company Common Stock delivered by such holder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shall receive,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PS Std;serif" w:hAnsi="Times New Roman PS Std;serif"/>
          <w:b w:val="false"/>
          <w:i w:val="false"/>
          <w:caps w:val="false"/>
          <w:smallCaps w:val="false"/>
          <w:sz w:val="20"/>
          <w:u w:val="single"/>
        </w:rPr>
        <w:t>Section 2.4</w:t>
      </w:r>
      <w:r>
        <w:rPr>
          <w:caps w:val="false"/>
          <w:smallCaps w:val="false"/>
        </w:rPr>
        <w:t xml:space="preserve"> </w:t>
      </w:r>
      <w:r>
        <w:rPr>
          <w:rFonts w:ascii="Times New Roman PS Std;serif" w:hAnsi="Times New Roman PS Std;serif"/>
          <w:b w:val="false"/>
          <w:i w:val="false"/>
          <w:caps w:val="false"/>
          <w:smallCaps w:val="false"/>
          <w:sz w:val="20"/>
        </w:rPr>
        <w:t>was not separately bargained-for consideration, but merely represents a mechanical rounding off for purposes of avoiding the expense and inconvenience to Parent that would otherwise be caused by the issuance of fractional shares of Parent Common Stock.</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2.5         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2.6         </w:t>
      </w:r>
      <w:r>
        <w:rPr>
          <w:rFonts w:ascii="Times New Roman PS Std;serif" w:hAnsi="Times New Roman PS Std;serif"/>
          <w:b w:val="false"/>
          <w:i w:val="false"/>
          <w:caps w:val="false"/>
          <w:smallCaps w:val="false"/>
          <w:sz w:val="20"/>
          <w:u w:val="single"/>
        </w:rPr>
        <w:t>Treatment of Company Equity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Company Options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 PS Std;serif" w:hAnsi="Times New Roman PS Std;serif"/>
          <w:b w:val="false"/>
          <w:i w:val="false"/>
          <w:caps w:val="false"/>
          <w:smallCaps w:val="false"/>
          <w:sz w:val="20"/>
          <w:u w:val="single"/>
        </w:rPr>
        <w:t>Continuing Service Provider</w:t>
      </w:r>
      <w:r>
        <w:rPr>
          <w:caps w:val="false"/>
          <w:smallCaps w:val="false"/>
        </w:rPr>
        <w:t>”</w:t>
      </w:r>
      <w:r>
        <w:rPr>
          <w:rFonts w:ascii="Times New Roman PS Std;serif" w:hAnsi="Times New Roman PS Std;serif"/>
          <w:b w:val="false"/>
          <w:i w:val="false"/>
          <w:caps w:val="false"/>
          <w:smallCaps w:val="false"/>
          <w:sz w:val="20"/>
        </w:rPr>
        <w:t xml:space="preserve">), whether or not then vested or exercisable, shall be assumed by Parent and converted into an option to acquire shares of Parent Common Stock in accordance with this </w:t>
      </w:r>
      <w:r>
        <w:rPr>
          <w:rFonts w:ascii="Times New Roman PS Std;serif" w:hAnsi="Times New Roman PS Std;serif"/>
          <w:b w:val="false"/>
          <w:i w:val="false"/>
          <w:caps w:val="false"/>
          <w:smallCaps w:val="false"/>
          <w:sz w:val="20"/>
          <w:u w:val="single"/>
        </w:rPr>
        <w:t>Section 2.6(a)(i)</w:t>
      </w:r>
      <w:r>
        <w:rPr>
          <w:caps w:val="false"/>
          <w:smallCaps w:val="false"/>
        </w:rPr>
        <w:t xml:space="preserve"> </w:t>
      </w:r>
      <w:r>
        <w:rPr>
          <w:rFonts w:ascii="Times New Roman PS Std;serif" w:hAnsi="Times New Roman PS Std;serif"/>
          <w:b w:val="false"/>
          <w:i w:val="false"/>
          <w:caps w:val="false"/>
          <w:smallCaps w:val="false"/>
          <w:sz w:val="20"/>
        </w:rPr>
        <w:t>(each, an “</w:t>
      </w:r>
      <w:r>
        <w:rPr>
          <w:rFonts w:ascii="Times New Roman PS Std;serif" w:hAnsi="Times New Roman PS Std;serif"/>
          <w:b w:val="false"/>
          <w:i w:val="false"/>
          <w:caps w:val="false"/>
          <w:smallCaps w:val="false"/>
          <w:sz w:val="20"/>
          <w:u w:val="single"/>
        </w:rPr>
        <w:t>Assumed Option</w:t>
      </w:r>
      <w:r>
        <w:rPr>
          <w:caps w:val="false"/>
          <w:smallCaps w:val="false"/>
        </w:rPr>
        <w:t>”</w:t>
      </w:r>
      <w:r>
        <w:rPr>
          <w:rFonts w:ascii="Times New Roman PS Std;serif" w:hAnsi="Times New Roman PS Std;serif"/>
          <w:b w:val="false"/>
          <w:i w:val="false"/>
          <w:caps w:val="false"/>
          <w:smallCaps w:val="false"/>
          <w:sz w:val="20"/>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Company RSU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 PS Std;serif" w:hAnsi="Times New Roman PS Std;serif"/>
          <w:b w:val="false"/>
          <w:i w:val="false"/>
          <w:caps w:val="false"/>
          <w:smallCaps w:val="false"/>
          <w:sz w:val="20"/>
          <w:u w:val="single"/>
        </w:rPr>
        <w:t>Section 2.6(b)(i)</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shall be assumed by Parent and converted into a restricted stock unit award covering shares of Parent Common Stock (each, an “</w:t>
      </w:r>
      <w:r>
        <w:rPr>
          <w:rFonts w:ascii="Times New Roman PS Std;serif" w:hAnsi="Times New Roman PS Std;serif"/>
          <w:b w:val="false"/>
          <w:i w:val="false"/>
          <w:caps w:val="false"/>
          <w:smallCaps w:val="false"/>
          <w:sz w:val="20"/>
          <w:u w:val="single"/>
        </w:rPr>
        <w:t>Assumed RSU Award</w:t>
      </w:r>
      <w:r>
        <w:rPr>
          <w:caps w:val="false"/>
          <w:smallCaps w:val="false"/>
        </w:rPr>
        <w:t>”</w:t>
      </w:r>
      <w:r>
        <w:rPr>
          <w:rFonts w:ascii="Times New Roman PS Std;serif" w:hAnsi="Times New Roman PS Std;serif"/>
          <w:b w:val="false"/>
          <w:i w:val="false"/>
          <w:caps w:val="false"/>
          <w:smallCaps w:val="false"/>
          <w:sz w:val="20"/>
        </w:rPr>
        <w:t xml:space="preserve">) in accordance with this </w:t>
      </w:r>
      <w:r>
        <w:rPr>
          <w:rFonts w:ascii="Times New Roman PS Std;serif" w:hAnsi="Times New Roman PS Std;serif"/>
          <w:b w:val="false"/>
          <w:i w:val="false"/>
          <w:caps w:val="false"/>
          <w:smallCaps w:val="false"/>
          <w:sz w:val="20"/>
          <w:u w:val="single"/>
        </w:rPr>
        <w:t>Section 2.6(b)(ii)</w:t>
      </w:r>
      <w:r>
        <w:rPr>
          <w:rFonts w:ascii="Times New Roman PS Std;serif" w:hAnsi="Times New Roman PS Std;serif"/>
          <w:b w:val="false"/>
          <w:i w:val="false"/>
          <w:caps w:val="false"/>
          <w:smallCaps w:val="false"/>
          <w:sz w:val="20"/>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First Effective Time multiplied by (ii) the Per Share Merger Consideration.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Certain Non-US Awards</w:t>
      </w:r>
      <w:r>
        <w:rPr>
          <w:rFonts w:ascii="Times New Roman PS Std;serif" w:hAnsi="Times New Roman PS Std;serif"/>
          <w:b w:val="false"/>
          <w:i w:val="false"/>
          <w:caps w:val="false"/>
          <w:smallCaps w:val="false"/>
          <w:sz w:val="20"/>
        </w:rPr>
        <w:t xml:space="preserve">. Notwithstanding anything to the contrary contained in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xml:space="preserve">, if Parent determines that, for holders of Company Equity Awards employed outside of the United States, the treatment of Company Equity Awards prescribed by this </w:t>
      </w:r>
      <w:r>
        <w:rPr>
          <w:rFonts w:ascii="Times New Roman PS Std;serif" w:hAnsi="Times New Roman PS Std;serif"/>
          <w:b w:val="false"/>
          <w:i w:val="false"/>
          <w:caps w:val="false"/>
          <w:smallCaps w:val="false"/>
          <w:sz w:val="20"/>
          <w:u w:val="single"/>
        </w:rPr>
        <w:t>Section 2.6</w:t>
      </w:r>
      <w:r>
        <w:rPr>
          <w:caps w:val="false"/>
          <w:smallCaps w:val="false"/>
        </w:rPr>
        <w:t xml:space="preserve"> </w:t>
      </w:r>
      <w:r>
        <w:rPr>
          <w:rFonts w:ascii="Times New Roman PS Std;serif" w:hAnsi="Times New Roman PS Std;serif"/>
          <w:b w:val="false"/>
          <w:i w:val="false"/>
          <w:caps w:val="false"/>
          <w:smallCaps w:val="false"/>
          <w:sz w:val="20"/>
        </w:rPr>
        <w:t>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Company ESPP</w:t>
      </w:r>
      <w:r>
        <w:rPr>
          <w:rFonts w:ascii="Times New Roman PS Std;serif" w:hAnsi="Times New Roman PS Std;serif"/>
          <w:b w:val="false"/>
          <w:i w:val="false"/>
          <w:caps w:val="false"/>
          <w:smallCaps w:val="false"/>
          <w:sz w:val="20"/>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 PS Std;serif" w:hAnsi="Times New Roman PS Std;serif"/>
          <w:b w:val="false"/>
          <w:i w:val="false"/>
          <w:caps w:val="false"/>
          <w:smallCaps w:val="false"/>
          <w:sz w:val="20"/>
          <w:u w:val="single"/>
        </w:rPr>
        <w:t>Current ESPP Offering Periods</w:t>
      </w:r>
      <w:r>
        <w:rPr>
          <w:caps w:val="false"/>
          <w:smallCaps w:val="false"/>
        </w:rPr>
        <w:t>”</w:t>
      </w:r>
      <w:r>
        <w:rPr>
          <w:rFonts w:ascii="Times New Roman PS Std;serif" w:hAnsi="Times New Roman PS Std;serif"/>
          <w:b w:val="false"/>
          <w:i w:val="false"/>
          <w:caps w:val="false"/>
          <w:smallCaps w:val="false"/>
          <w:sz w:val="20"/>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 (3) Business Days prior to the Closing Date.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Other 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          Prior to the First Effective Time, the Company shall pass such resolutions and take such other actions as are necessary so as to cause the treatment of the Company Equity Awards and the Company ESPP as contemplated by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2.7         </w:t>
      </w:r>
      <w:r>
        <w:rPr>
          <w:rFonts w:ascii="Times New Roman PS Std;serif" w:hAnsi="Times New Roman PS Std;serif"/>
          <w:b w:val="false"/>
          <w:i w:val="false"/>
          <w:caps w:val="false"/>
          <w:smallCaps w:val="false"/>
          <w:sz w:val="20"/>
          <w:u w:val="single"/>
        </w:rPr>
        <w:t>Treatment of Company Warrants</w:t>
      </w:r>
      <w:r>
        <w:rPr>
          <w:rFonts w:ascii="Times New Roman PS Std;serif" w:hAnsi="Times New Roman PS Std;serif"/>
          <w:b w:val="false"/>
          <w:i w:val="false"/>
          <w:caps w:val="false"/>
          <w:smallCaps w:val="false"/>
          <w:sz w:val="20"/>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2.8         </w:t>
      </w:r>
      <w:r>
        <w:rPr>
          <w:rFonts w:ascii="Times New Roman PS Std;serif" w:hAnsi="Times New Roman PS Std;serif"/>
          <w:b w:val="false"/>
          <w:i w:val="false"/>
          <w:caps w:val="false"/>
          <w:smallCaps w:val="false"/>
          <w:sz w:val="20"/>
          <w:u w:val="single"/>
        </w:rPr>
        <w:t>Estimated Closing Statement</w:t>
      </w:r>
      <w:r>
        <w:rPr>
          <w:rFonts w:ascii="Times New Roman PS Std;serif" w:hAnsi="Times New Roman PS Std;serif"/>
          <w:b w:val="false"/>
          <w:i w:val="false"/>
          <w:caps w:val="false"/>
          <w:smallCaps w:val="false"/>
          <w:sz w:val="20"/>
        </w:rPr>
        <w:t>. No earlier than twenty (20) Business Days nor later than fifteen (15) Business Days prior to the Closing Date, the Company shall deliver to Parent a statement (the “</w:t>
      </w:r>
      <w:r>
        <w:rPr>
          <w:rFonts w:ascii="Times New Roman PS Std;serif" w:hAnsi="Times New Roman PS Std;serif"/>
          <w:b w:val="false"/>
          <w:i w:val="false"/>
          <w:caps w:val="false"/>
          <w:smallCaps w:val="false"/>
          <w:sz w:val="20"/>
          <w:u w:val="single"/>
        </w:rPr>
        <w:t>Estimated Closing Statement</w:t>
      </w:r>
      <w:r>
        <w:rPr>
          <w:caps w:val="false"/>
          <w:smallCaps w:val="false"/>
        </w:rPr>
        <w:t>”</w:t>
      </w:r>
      <w:r>
        <w:rPr>
          <w:rFonts w:ascii="Times New Roman PS Std;serif" w:hAnsi="Times New Roman PS Std;serif"/>
          <w:b w:val="false"/>
          <w:i w:val="false"/>
          <w:caps w:val="false"/>
          <w:smallCaps w:val="false"/>
          <w:sz w:val="20"/>
        </w:rPr>
        <w:t xml:space="preserve">),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pPr>
      <w:r>
        <w:rPr>
          <w:rFonts w:ascii="Times New Roman PS Std;serif" w:hAnsi="Times New Roman PS Std;serif"/>
          <w:b w:val="false"/>
          <w:i w:val="false"/>
          <w:caps w:val="false"/>
          <w:smallCaps w:val="false"/>
          <w:sz w:val="20"/>
        </w:rPr>
        <w:t>prior to the Closing Date. Subject to such good faith consultation by the Company and any updates to the Estimated Closing Statement resulting therefrom, the Company Cash Balance set forth in the Estimated Closing Statement as of such fifth (5</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prior to the Closing Date shall be deemed the final Company Cash Balance for purposes of calculating the Aggregate Consideration Amount.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2.9         </w:t>
      </w:r>
      <w:r>
        <w:rPr>
          <w:rFonts w:ascii="Times New Roman PS Std;serif" w:hAnsi="Times New Roman PS Std;serif"/>
          <w:b w:val="false"/>
          <w:i w:val="false"/>
          <w:caps w:val="false"/>
          <w:smallCaps w:val="false"/>
          <w:sz w:val="20"/>
          <w:u w:val="single"/>
        </w:rPr>
        <w:t>Withholding Rights</w:t>
      </w:r>
      <w:r>
        <w:rPr>
          <w:rFonts w:ascii="Times New Roman PS Std;serif" w:hAnsi="Times New Roman PS Std;serif"/>
          <w:b w:val="false"/>
          <w:i w:val="false"/>
          <w:caps w:val="false"/>
          <w:smallCaps w:val="false"/>
          <w:sz w:val="20"/>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Merger Sub I, Merger Sub II, the Company, the First Surviving Corporation,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2.10       </w:t>
      </w:r>
      <w:r>
        <w:rPr>
          <w:rFonts w:ascii="Times New Roman PS Std;serif" w:hAnsi="Times New Roman PS Std;serif"/>
          <w:b w:val="false"/>
          <w:i w:val="false"/>
          <w:caps w:val="false"/>
          <w:smallCaps w:val="false"/>
          <w:sz w:val="20"/>
          <w:u w:val="single"/>
        </w:rPr>
        <w:t>Tax Treatment</w:t>
      </w:r>
      <w:r>
        <w:rPr>
          <w:rFonts w:ascii="Times New Roman PS Std;serif" w:hAnsi="Times New Roman PS Std;serif"/>
          <w:b w:val="false"/>
          <w:i w:val="false"/>
          <w:caps w:val="false"/>
          <w:smallCaps w:val="false"/>
          <w:sz w:val="20"/>
        </w:rPr>
        <w:t>.Each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 PS Std;serif" w:hAnsi="Times New Roman PS Std;serif"/>
          <w:b w:val="false"/>
          <w:i w:val="false"/>
          <w:caps w:val="false"/>
          <w:smallCaps w:val="false"/>
          <w:sz w:val="20"/>
          <w:u w:val="single"/>
        </w:rPr>
        <w:t>Intended Tax Treatment</w:t>
      </w:r>
      <w:r>
        <w:rPr>
          <w:caps w:val="false"/>
          <w:smallCaps w:val="false"/>
        </w:rPr>
        <w:t>”</w:t>
      </w:r>
      <w:r>
        <w:rPr>
          <w:rFonts w:ascii="Times New Roman PS Std;serif" w:hAnsi="Times New Roman PS Std;serif"/>
          <w:b w:val="false"/>
          <w:i w:val="false"/>
          <w:caps w:val="false"/>
          <w:smallCaps w:val="false"/>
          <w:sz w:val="20"/>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2.11       </w:t>
      </w:r>
      <w:r>
        <w:rPr>
          <w:rFonts w:ascii="Times New Roman PS Std;serif" w:hAnsi="Times New Roman PS Std;serif"/>
          <w:b w:val="false"/>
          <w:i w:val="false"/>
          <w:caps w:val="false"/>
          <w:smallCaps w:val="false"/>
          <w:sz w:val="20"/>
          <w:u w:val="single"/>
        </w:rPr>
        <w:t>Appraisal Rights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 PS Std;serif" w:hAnsi="Times New Roman PS Std;serif"/>
          <w:b w:val="false"/>
          <w:i w:val="false"/>
          <w:caps w:val="false"/>
          <w:smallCaps w:val="false"/>
          <w:sz w:val="20"/>
          <w:u w:val="single"/>
        </w:rPr>
        <w:t>Dissenting Shares</w:t>
      </w:r>
      <w:r>
        <w:rPr>
          <w:caps w:val="false"/>
          <w:smallCaps w:val="false"/>
        </w:rPr>
        <w:t>”</w:t>
      </w:r>
      <w:r>
        <w:rPr>
          <w:rFonts w:ascii="Times New Roman PS Std;serif" w:hAnsi="Times New Roman PS Std;serif"/>
          <w:b w:val="false"/>
          <w:i w:val="false"/>
          <w:caps w:val="false"/>
          <w:smallCaps w:val="false"/>
          <w:sz w:val="20"/>
        </w:rPr>
        <w:t>) pursuant to, and who have complied in all respects with, Section 262 of the DGCL (the “</w:t>
      </w:r>
      <w:r>
        <w:rPr>
          <w:rFonts w:ascii="Times New Roman PS Std;serif" w:hAnsi="Times New Roman PS Std;serif"/>
          <w:b w:val="false"/>
          <w:i w:val="false"/>
          <w:caps w:val="false"/>
          <w:smallCaps w:val="false"/>
          <w:sz w:val="20"/>
          <w:u w:val="single"/>
        </w:rPr>
        <w:t>Appraisal Rights</w:t>
      </w:r>
      <w:r>
        <w:rPr>
          <w:caps w:val="false"/>
          <w:smallCaps w:val="false"/>
        </w:rPr>
        <w:t>”</w:t>
      </w:r>
      <w:r>
        <w:rPr>
          <w:rFonts w:ascii="Times New Roman PS Std;serif" w:hAnsi="Times New Roman PS Std;serif"/>
          <w:b w:val="false"/>
          <w:i w:val="false"/>
          <w:caps w:val="false"/>
          <w:smallCaps w:val="false"/>
          <w:sz w:val="20"/>
        </w:rPr>
        <w:t xml:space="preserve">) shall not be converted into the right to receive the Per Share Cash Merger Consideration payable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sz w:val="20"/>
        </w:rPr>
        <w:t xml:space="preserve">, </w:t>
      </w:r>
      <w:r>
        <w:rPr>
          <w:rFonts w:ascii="Times New Roman PS Std;serif" w:hAnsi="Times New Roman PS Std;serif"/>
          <w:b w:val="false"/>
          <w:i w:val="false"/>
          <w:caps w:val="false"/>
          <w:smallCaps w:val="false"/>
          <w:sz w:val="20"/>
        </w:rPr>
        <w:t>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With respect to any demand made by a holder of TASE Shares pursuant to and in accordance with this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2.12          </w:t>
      </w:r>
      <w:r>
        <w:rPr>
          <w:rFonts w:ascii="Times New Roman PS Std;serif" w:hAnsi="Times New Roman PS Std;serif"/>
          <w:b w:val="false"/>
          <w:i w:val="false"/>
          <w:caps w:val="false"/>
          <w:smallCaps w:val="false"/>
          <w:sz w:val="20"/>
          <w:u w:val="single"/>
        </w:rPr>
        <w:t>Prohibition on Transfer</w:t>
      </w:r>
      <w:r>
        <w:rPr>
          <w:rFonts w:ascii="Times New Roman PS Std;serif" w:hAnsi="Times New Roman PS Std;serif"/>
          <w:b w:val="false"/>
          <w:i w:val="false"/>
          <w:caps w:val="false"/>
          <w:smallCaps w:val="false"/>
          <w:sz w:val="20"/>
        </w:rPr>
        <w:t>.To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3</w:t>
        <w:br/>
      </w:r>
      <w:r>
        <w:rPr>
          <w:rFonts w:ascii="Times New Roman PS Std;serif" w:hAnsi="Times New Roman PS Std;serif"/>
          <w:b/>
          <w:i w:val="false"/>
          <w:caps/>
          <w:sz w:val="20"/>
        </w:rPr>
        <w:t>Representations and Warranties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Except (a) as set forth in the disclosure schedule delivered by the Company to Parent (the “</w:t>
      </w:r>
      <w:r>
        <w:rPr>
          <w:rFonts w:ascii="Times New Roman PS Std;serif" w:hAnsi="Times New Roman PS Std;serif"/>
          <w:b w:val="false"/>
          <w:i w:val="false"/>
          <w:caps w:val="false"/>
          <w:smallCaps w:val="false"/>
          <w:sz w:val="20"/>
          <w:u w:val="single"/>
        </w:rPr>
        <w:t>Company Disclosure Schedule</w:t>
      </w:r>
      <w:r>
        <w:rPr>
          <w:caps w:val="false"/>
          <w:smallCaps w:val="false"/>
        </w:rPr>
        <w:t>”</w:t>
      </w:r>
      <w:r>
        <w:rPr>
          <w:rFonts w:ascii="Times New Roman PS Std;serif" w:hAnsi="Times New Roman PS Std;serif"/>
          <w:b w:val="false"/>
          <w:i w:val="false"/>
          <w:caps w:val="false"/>
          <w:smallCaps w:val="false"/>
          <w:sz w:val="20"/>
        </w:rPr>
        <w:t xml:space="preserve">) concurrent with the execution of the Original Agreement (with specific reference to the representations and warranties in this </w:t>
      </w:r>
      <w:r>
        <w:rPr>
          <w:rFonts w:ascii="Times New Roman PS Std;serif" w:hAnsi="Times New Roman PS Std;serif"/>
          <w:b w:val="false"/>
          <w:i w:val="false"/>
          <w:caps w:val="false"/>
          <w:smallCaps w:val="false"/>
          <w:sz w:val="20"/>
          <w:u w:val="single"/>
        </w:rPr>
        <w:t>Article 3</w:t>
      </w:r>
      <w:r>
        <w:rPr>
          <w:caps w:val="false"/>
          <w:smallCaps w:val="false"/>
        </w:rPr>
        <w:t xml:space="preserve"> </w:t>
      </w:r>
      <w:r>
        <w:rPr>
          <w:rFonts w:ascii="Times New Roman PS Std;serif" w:hAnsi="Times New Roman PS Std;serif"/>
          <w:b w:val="false"/>
          <w:i w:val="false"/>
          <w:caps w:val="false"/>
          <w:smallCaps w:val="false"/>
          <w:sz w:val="20"/>
        </w:rPr>
        <w:t xml:space="preserve">to which the information in such schedule relates);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 PS Std;serif" w:hAnsi="Times New Roman PS Std;serif"/>
          <w:b w:val="false"/>
          <w:i w:val="false"/>
          <w:caps w:val="false"/>
          <w:smallCaps w:val="false"/>
          <w:sz w:val="20"/>
          <w:u w:val="single"/>
        </w:rPr>
        <w:t>Sections 3.1</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3.5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3.8(b)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3.23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3.26</w:t>
      </w:r>
      <w:r>
        <w:rPr>
          <w:caps w:val="false"/>
          <w:smallCaps w:val="false"/>
        </w:rPr>
        <w:t xml:space="preserve"> </w:t>
      </w:r>
      <w:r>
        <w:rPr>
          <w:rFonts w:ascii="Times New Roman PS Std;serif" w:hAnsi="Times New Roman PS Std;serif"/>
          <w:b w:val="false"/>
          <w:i w:val="false"/>
          <w:caps w:val="false"/>
          <w:smallCaps w:val="false"/>
          <w:sz w:val="20"/>
        </w:rPr>
        <w:t>which the Company hereby represents and warrants to Parent as of the date hereof, as follows: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3.1         </w:t>
      </w:r>
      <w:r>
        <w:rPr>
          <w:rFonts w:ascii="Times New Roman PS Std;serif" w:hAnsi="Times New Roman PS Std;serif"/>
          <w:b w:val="false"/>
          <w:i w:val="false"/>
          <w:caps w:val="false"/>
          <w:smallCaps w:val="false"/>
          <w:sz w:val="20"/>
          <w:u w:val="single"/>
        </w:rPr>
        <w:t>Organization and Qualification; 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and each of its Subsidiaries (each, a “</w:t>
      </w:r>
      <w:r>
        <w:rPr>
          <w:rFonts w:ascii="Times New Roman PS Std;serif" w:hAnsi="Times New Roman PS Std;serif"/>
          <w:b w:val="false"/>
          <w:i w:val="false"/>
          <w:caps w:val="false"/>
          <w:smallCaps w:val="false"/>
          <w:sz w:val="20"/>
          <w:u w:val="single"/>
        </w:rPr>
        <w:t>Company Subsidiary</w:t>
      </w:r>
      <w:r>
        <w:rPr>
          <w:caps w:val="false"/>
          <w:smallCaps w:val="false"/>
        </w:rPr>
        <w:t>”</w:t>
      </w:r>
      <w:r>
        <w:rPr>
          <w:rFonts w:ascii="Times New Roman PS Std;serif" w:hAnsi="Times New Roman PS Std;serif"/>
          <w:b w:val="false"/>
          <w:i w:val="false"/>
          <w:caps w:val="false"/>
          <w:smallCaps w:val="false"/>
          <w:sz w:val="20"/>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Company has made available or caused to be made available to Parent true and complete copies of (i) any amendments to the Fourth Amended and Restated Certificate of Incorporation of the Company (the “</w:t>
      </w:r>
      <w:r>
        <w:rPr>
          <w:rFonts w:ascii="Times New Roman PS Std;serif" w:hAnsi="Times New Roman PS Std;serif"/>
          <w:b w:val="false"/>
          <w:i w:val="false"/>
          <w:caps w:val="false"/>
          <w:smallCaps w:val="false"/>
          <w:sz w:val="20"/>
          <w:u w:val="single"/>
        </w:rPr>
        <w:t>Company Charter</w:t>
      </w:r>
      <w:r>
        <w:rPr>
          <w:caps w:val="false"/>
          <w:smallCaps w:val="false"/>
        </w:rPr>
        <w:t>”</w:t>
      </w:r>
      <w:r>
        <w:rPr>
          <w:rFonts w:ascii="Times New Roman PS Std;serif" w:hAnsi="Times New Roman PS Std;serif"/>
          <w:b w:val="false"/>
          <w:i w:val="false"/>
          <w:caps w:val="false"/>
          <w:smallCaps w:val="false"/>
          <w:sz w:val="20"/>
        </w:rPr>
        <w:t>) not filed prior to the date hereof with the SEC, (ii) any amendments to the Fourth Amended and Restated By-Laws of the Company (the “</w:t>
      </w:r>
      <w:r>
        <w:rPr>
          <w:rFonts w:ascii="Times New Roman PS Std;serif" w:hAnsi="Times New Roman PS Std;serif"/>
          <w:b w:val="false"/>
          <w:i w:val="false"/>
          <w:caps w:val="false"/>
          <w:smallCaps w:val="false"/>
          <w:sz w:val="20"/>
          <w:u w:val="single"/>
        </w:rPr>
        <w:t>Company Bylaws</w:t>
      </w:r>
      <w:r>
        <w:rPr>
          <w:caps w:val="false"/>
          <w:smallCaps w:val="false"/>
        </w:rPr>
        <w:t>”</w:t>
      </w:r>
      <w:r>
        <w:rPr>
          <w:rFonts w:ascii="Times New Roman PS Std;serif" w:hAnsi="Times New Roman PS Std;serif"/>
          <w:b w:val="false"/>
          <w:i w:val="false"/>
          <w:caps w:val="false"/>
          <w:smallCaps w:val="false"/>
          <w:sz w:val="20"/>
        </w:rPr>
        <w:t>) not filed prior to the date hereof with the SEC and (iii) the certificates of incorporation and bylaws, or equivalent organizational or governing documents, of each Company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Section 3.1(c)</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authorized capital stock of the Company consists of (i) 20,000,000 shares of Company Common Stock, of which, as of the close of business on April 17, 2026 (the “</w:t>
      </w:r>
      <w:r>
        <w:rPr>
          <w:rFonts w:ascii="Times New Roman PS Std;serif" w:hAnsi="Times New Roman PS Std;serif"/>
          <w:b w:val="false"/>
          <w:i w:val="false"/>
          <w:caps w:val="false"/>
          <w:smallCaps w:val="false"/>
          <w:sz w:val="20"/>
          <w:u w:val="single"/>
        </w:rPr>
        <w:t>Company Capitalization Date</w:t>
      </w:r>
      <w:r>
        <w:rPr>
          <w:caps w:val="false"/>
          <w:smallCaps w:val="false"/>
        </w:rPr>
        <w:t>”</w:t>
      </w:r>
      <w:r>
        <w:rPr>
          <w:rFonts w:ascii="Times New Roman PS Std;serif" w:hAnsi="Times New Roman PS Std;serif"/>
          <w:b w:val="false"/>
          <w:i w:val="false"/>
          <w:caps w:val="false"/>
          <w:smallCaps w:val="false"/>
          <w:sz w:val="20"/>
        </w:rPr>
        <w:t>), there were 12,135,767 shares of Company Common Stock issued and outstanding and (ii) 5,000,000 shares of Preferred Stock, par value $0.001 per share, of the Company (“</w:t>
      </w:r>
      <w:r>
        <w:rPr>
          <w:rFonts w:ascii="Times New Roman PS Std;serif" w:hAnsi="Times New Roman PS Std;serif"/>
          <w:b w:val="false"/>
          <w:i w:val="false"/>
          <w:caps w:val="false"/>
          <w:smallCaps w:val="false"/>
          <w:sz w:val="20"/>
          <w:u w:val="single"/>
        </w:rPr>
        <w:t>Company Preferred Stock</w:t>
      </w:r>
      <w:r>
        <w:rPr>
          <w:caps w:val="false"/>
          <w:smallCaps w:val="false"/>
        </w:rPr>
        <w:t xml:space="preserve">” </w:t>
      </w:r>
      <w:r>
        <w:rPr>
          <w:rFonts w:ascii="Times New Roman PS Std;serif" w:hAnsi="Times New Roman PS Std;serif"/>
          <w:b w:val="false"/>
          <w:i w:val="false"/>
          <w:caps w:val="false"/>
          <w:smallCaps w:val="false"/>
          <w:sz w:val="20"/>
        </w:rPr>
        <w:t>and together with the Company Common Stock, the “</w:t>
      </w:r>
      <w:r>
        <w:rPr>
          <w:rFonts w:ascii="Times New Roman PS Std;serif" w:hAnsi="Times New Roman PS Std;serif"/>
          <w:b w:val="false"/>
          <w:i w:val="false"/>
          <w:caps w:val="false"/>
          <w:smallCaps w:val="false"/>
          <w:sz w:val="20"/>
          <w:u w:val="single"/>
        </w:rPr>
        <w:t>Company Stock</w:t>
      </w:r>
      <w:r>
        <w:rPr>
          <w:caps w:val="false"/>
          <w:smallCaps w:val="false"/>
        </w:rPr>
        <w:t>”</w:t>
      </w:r>
      <w:r>
        <w:rPr>
          <w:rFonts w:ascii="Times New Roman PS Std;serif" w:hAnsi="Times New Roman PS Std;serif"/>
          <w:b w:val="false"/>
          <w:i w:val="false"/>
          <w:caps w:val="false"/>
          <w:smallCaps w:val="false"/>
          <w:sz w:val="20"/>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 PS Std;serif" w:hAnsi="Times New Roman PS Std;serif"/>
          <w:b w:val="false"/>
          <w:i w:val="false"/>
          <w:caps w:val="false"/>
          <w:smallCaps w:val="false"/>
          <w:sz w:val="20"/>
          <w:u w:val="single"/>
        </w:rPr>
        <w:t>Section 3.2(b)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Except for Equity Interests set forth in </w:t>
      </w:r>
      <w:r>
        <w:rPr>
          <w:rFonts w:ascii="Times New Roman PS Std;serif" w:hAnsi="Times New Roman PS Std;serif"/>
          <w:b w:val="false"/>
          <w:i w:val="false"/>
          <w:caps w:val="false"/>
          <w:smallCaps w:val="false"/>
          <w:sz w:val="20"/>
          <w:u w:val="single"/>
        </w:rPr>
        <w:t>Section 3.2(b)</w:t>
      </w:r>
      <w:r>
        <w:rPr>
          <w:rFonts w:ascii="Times New Roman PS Std;serif" w:hAnsi="Times New Roman PS Std;serif"/>
          <w:b w:val="false"/>
          <w:i w:val="false"/>
          <w:caps w:val="false"/>
          <w:smallCaps w:val="false"/>
          <w:sz w:val="20"/>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PS Std;serif" w:hAnsi="Times New Roman PS Std;serif"/>
          <w:b w:val="false"/>
          <w:i w:val="false"/>
          <w:caps w:val="false"/>
          <w:smallCaps w:val="false"/>
          <w:sz w:val="20"/>
          <w:u w:val="single"/>
        </w:rPr>
        <w:t>Company Rights</w:t>
      </w:r>
      <w:r>
        <w:rPr>
          <w:caps w:val="false"/>
          <w:smallCaps w:val="false"/>
        </w:rPr>
        <w:t>”</w:t>
      </w:r>
      <w:r>
        <w:rPr>
          <w:rFonts w:ascii="Times New Roman PS Std;serif" w:hAnsi="Times New Roman PS Std;serif"/>
          <w:b w:val="false"/>
          <w:i w:val="false"/>
          <w:caps w:val="false"/>
          <w:smallCaps w:val="false"/>
          <w:sz w:val="20"/>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3.3         </w:t>
      </w:r>
      <w:r>
        <w:rPr>
          <w:rFonts w:ascii="Times New Roman PS Std;serif" w:hAnsi="Times New Roman PS Std;serif"/>
          <w:b w:val="false"/>
          <w:i w:val="false"/>
          <w:caps w:val="false"/>
          <w:smallCaps w:val="false"/>
          <w:sz w:val="20"/>
          <w:u w:val="single"/>
        </w:rPr>
        <w:t>Authority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PS Std;serif" w:hAnsi="Times New Roman PS Std;serif"/>
          <w:b w:val="false"/>
          <w:i w:val="false"/>
          <w:caps w:val="false"/>
          <w:smallCaps w:val="false"/>
          <w:sz w:val="20"/>
          <w:u w:val="single"/>
        </w:rPr>
        <w:t>Required Company Vote</w:t>
      </w:r>
      <w:r>
        <w:rPr>
          <w:caps w:val="false"/>
          <w:smallCaps w:val="false"/>
        </w:rPr>
        <w:t>”</w:t>
      </w:r>
      <w:r>
        <w:rPr>
          <w:rFonts w:ascii="Times New Roman PS Std;serif" w:hAnsi="Times New Roman PS Std;serif"/>
          <w:b w:val="false"/>
          <w:i w:val="false"/>
          <w:caps w:val="false"/>
          <w:smallCaps w:val="false"/>
          <w:sz w:val="20"/>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PS Std;serif" w:hAnsi="Times New Roman PS Std;serif"/>
          <w:b w:val="false"/>
          <w:i w:val="false"/>
          <w:caps w:val="false"/>
          <w:smallCaps w:val="false"/>
          <w:sz w:val="20"/>
          <w:u w:val="single"/>
        </w:rPr>
        <w:t>Enforceability Limitations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 (the “</w:t>
      </w:r>
      <w:r>
        <w:rPr>
          <w:rFonts w:ascii="Times New Roman PS Std;serif" w:hAnsi="Times New Roman PS Std;serif"/>
          <w:b w:val="false"/>
          <w:i w:val="false"/>
          <w:caps w:val="false"/>
          <w:smallCaps w:val="false"/>
          <w:sz w:val="20"/>
          <w:u w:val="single"/>
        </w:rPr>
        <w:t>Tax Benefits Preservation Plan Waiver</w:t>
      </w:r>
      <w:r>
        <w:rPr>
          <w:caps w:val="false"/>
          <w:smallCaps w:val="false"/>
        </w:rPr>
        <w:t>”</w:t>
      </w:r>
      <w:r>
        <w:rPr>
          <w:rFonts w:ascii="Times New Roman PS Std;serif" w:hAnsi="Times New Roman PS Std;serif"/>
          <w:b w:val="false"/>
          <w:i w:val="false"/>
          <w:caps w:val="false"/>
          <w:smallCaps w:val="false"/>
          <w:sz w:val="20"/>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3.4         </w:t>
      </w:r>
      <w:r>
        <w:rPr>
          <w:rFonts w:ascii="Times New Roman PS Std;serif" w:hAnsi="Times New Roman PS Std;serif"/>
          <w:b w:val="false"/>
          <w:i w:val="false"/>
          <w:caps w:val="false"/>
          <w:smallCaps w:val="false"/>
          <w:sz w:val="20"/>
          <w:u w:val="single"/>
        </w:rPr>
        <w:t>No Conflict</w:t>
      </w:r>
      <w:r>
        <w:rPr>
          <w:rFonts w:ascii="Times New Roman PS Std;serif" w:hAnsi="Times New Roman PS Std;serif"/>
          <w:b w:val="false"/>
          <w:i w:val="false"/>
          <w:caps w:val="false"/>
          <w:smallCaps w:val="false"/>
          <w:sz w:val="20"/>
        </w:rPr>
        <w:t xml:space="preserve">.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PS Std;serif" w:hAnsi="Times New Roman PS Std;serif"/>
          <w:b w:val="false"/>
          <w:i w:val="false"/>
          <w:caps w:val="false"/>
          <w:smallCaps w:val="false"/>
          <w:sz w:val="20"/>
          <w:u w:val="single"/>
        </w:rPr>
        <w:t>Section 3.5</w:t>
      </w:r>
      <w:r>
        <w:rPr>
          <w:caps w:val="false"/>
          <w:smallCaps w:val="false"/>
        </w:rPr>
        <w:t xml:space="preserve"> </w:t>
      </w:r>
      <w:r>
        <w:rPr>
          <w:rFonts w:ascii="Times New Roman PS Std;serif" w:hAnsi="Times New Roman PS Std;serif"/>
          <w:b w:val="false"/>
          <w:i w:val="false"/>
          <w:caps w:val="false"/>
          <w:smallCaps w:val="false"/>
          <w:sz w:val="20"/>
        </w:rPr>
        <w:t xml:space="preserve">have been obtained and all filings and notifications described in </w:t>
      </w:r>
      <w:r>
        <w:rPr>
          <w:rFonts w:ascii="Times New Roman PS Std;serif" w:hAnsi="Times New Roman PS Std;serif"/>
          <w:b w:val="false"/>
          <w:i w:val="false"/>
          <w:caps w:val="false"/>
          <w:smallCaps w:val="false"/>
          <w:sz w:val="20"/>
          <w:u w:val="single"/>
        </w:rPr>
        <w:t>Section 3.5</w:t>
      </w:r>
      <w:r>
        <w:rPr>
          <w:caps w:val="false"/>
          <w:smallCaps w:val="false"/>
        </w:rPr>
        <w:t xml:space="preserve"> </w:t>
      </w:r>
      <w:r>
        <w:rPr>
          <w:rFonts w:ascii="Times New Roman PS Std;serif" w:hAnsi="Times New Roman PS Std;serif"/>
          <w:b w:val="false"/>
          <w:i w:val="false"/>
          <w:caps w:val="false"/>
          <w:smallCaps w:val="false"/>
          <w:sz w:val="20"/>
        </w:rPr>
        <w:t>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w:t>
      </w:r>
      <w:r>
        <w:rPr>
          <w:caps w:val="false"/>
          <w:smallCaps w:val="false"/>
        </w:rPr>
        <w:t xml:space="preserve"> </w:t>
      </w:r>
      <w:r>
        <w:rPr>
          <w:rFonts w:ascii="Times New Roman PS Std;serif" w:hAnsi="Times New Roman PS Std;serif"/>
          <w:b w:val="false"/>
          <w:i w:val="false"/>
          <w:caps w:val="false"/>
          <w:smallCaps w:val="false"/>
          <w:sz w:val="20"/>
        </w:rPr>
        <w:t>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3.5         </w:t>
      </w:r>
      <w:r>
        <w:rPr>
          <w:rFonts w:ascii="Times New Roman PS Std;serif" w:hAnsi="Times New Roman PS Std;serif"/>
          <w:b w:val="false"/>
          <w:i w:val="false"/>
          <w:caps w:val="false"/>
          <w:smallCaps w:val="false"/>
          <w:sz w:val="20"/>
          <w:u w:val="single"/>
        </w:rPr>
        <w:t>Required Filings and Consents</w:t>
      </w:r>
      <w:r>
        <w:rPr>
          <w:rFonts w:ascii="Times New Roman PS Std;serif" w:hAnsi="Times New Roman PS Std;serif"/>
          <w:b w:val="false"/>
          <w:i w:val="false"/>
          <w:caps w:val="false"/>
          <w:smallCaps w:val="false"/>
          <w:sz w:val="20"/>
        </w:rPr>
        <w:t xml:space="preserve">. Assuming the accuracy of the representations and warranties of the Parent Parties in </w:t>
      </w:r>
      <w:r>
        <w:rPr>
          <w:rFonts w:ascii="Times New Roman PS Std;serif" w:hAnsi="Times New Roman PS Std;serif"/>
          <w:b w:val="false"/>
          <w:i w:val="false"/>
          <w:caps w:val="false"/>
          <w:smallCaps w:val="false"/>
          <w:sz w:val="20"/>
          <w:u w:val="single"/>
        </w:rPr>
        <w:t>Section 4.4</w:t>
      </w:r>
      <w:r>
        <w:rPr>
          <w:rFonts w:ascii="Times New Roman PS Std;serif" w:hAnsi="Times New Roman PS Std;serif"/>
          <w:b w:val="false"/>
          <w:i w:val="false"/>
          <w:caps w:val="false"/>
          <w:smallCaps w:val="false"/>
          <w:sz w:val="20"/>
        </w:rPr>
        <w:t xml:space="preserve">,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3.6         </w:t>
      </w:r>
      <w:r>
        <w:rPr>
          <w:rFonts w:ascii="Times New Roman PS Std;serif" w:hAnsi="Times New Roman PS Std;serif"/>
          <w:b w:val="false"/>
          <w:i w:val="false"/>
          <w:caps w:val="false"/>
          <w:smallCaps w:val="false"/>
          <w:sz w:val="20"/>
          <w:u w:val="single"/>
        </w:rPr>
        <w:t>Compliance With Law</w:t>
      </w:r>
      <w:r>
        <w:rPr>
          <w:rFonts w:ascii="Times New Roman PS Std;serif" w:hAnsi="Times New Roman PS Std;serif"/>
          <w:b w:val="false"/>
          <w:i w:val="false"/>
          <w:caps w:val="false"/>
          <w:smallCaps w:val="false"/>
          <w:sz w:val="20"/>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3.7         </w:t>
      </w:r>
      <w:r>
        <w:rPr>
          <w:rFonts w:ascii="Times New Roman PS Std;serif" w:hAnsi="Times New Roman PS Std;serif"/>
          <w:b w:val="false"/>
          <w:i w:val="false"/>
          <w:caps w:val="false"/>
          <w:smallCaps w:val="false"/>
          <w:sz w:val="20"/>
          <w:u w:val="single"/>
        </w:rPr>
        <w:t>SEC Filings;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PS Std;serif" w:hAnsi="Times New Roman PS Std;serif"/>
          <w:b w:val="false"/>
          <w:i w:val="false"/>
          <w:caps w:val="false"/>
          <w:smallCaps w:val="false"/>
          <w:sz w:val="20"/>
          <w:u w:val="single"/>
        </w:rPr>
        <w:t>Company SEC Documents</w:t>
      </w:r>
      <w:r>
        <w:rPr>
          <w:caps w:val="false"/>
          <w:smallCaps w:val="false"/>
        </w:rPr>
        <w:t>”</w:t>
      </w:r>
      <w:r>
        <w:rPr>
          <w:rFonts w:ascii="Times New Roman PS Std;serif" w:hAnsi="Times New Roman PS Std;serif"/>
          <w:b w:val="false"/>
          <w:i w:val="false"/>
          <w:caps w:val="false"/>
          <w:smallCaps w:val="false"/>
          <w:sz w:val="20"/>
        </w:rPr>
        <w:t>) or with the ISA under the Israeli Securities Laws since January 1, 2024 (the “</w:t>
      </w:r>
      <w:r>
        <w:rPr>
          <w:rFonts w:ascii="Times New Roman PS Std;serif" w:hAnsi="Times New Roman PS Std;serif"/>
          <w:b w:val="false"/>
          <w:i w:val="false"/>
          <w:caps w:val="false"/>
          <w:smallCaps w:val="false"/>
          <w:sz w:val="20"/>
          <w:u w:val="single"/>
        </w:rPr>
        <w:t>Company ISA Documents</w:t>
      </w:r>
      <w:r>
        <w:rPr>
          <w:caps w:val="false"/>
          <w:smallCaps w:val="false"/>
        </w:rPr>
        <w:t>”</w:t>
      </w:r>
      <w:r>
        <w:rPr>
          <w:rFonts w:ascii="Times New Roman PS Std;serif" w:hAnsi="Times New Roman PS Std;serif"/>
          <w:b w:val="false"/>
          <w:i w:val="false"/>
          <w:caps w:val="false"/>
          <w:smallCaps w:val="false"/>
          <w:sz w:val="20"/>
        </w:rPr>
        <w:t>). No Company Subsidiary is required to make any filings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The consolidated financial statements of the Company included in the Company SEC Documents (including, in each case, any notes or schedules thereto) (the “</w:t>
      </w:r>
      <w:r>
        <w:rPr>
          <w:rFonts w:ascii="Times New Roman PS Std;serif" w:hAnsi="Times New Roman PS Std;serif"/>
          <w:b w:val="false"/>
          <w:i w:val="false"/>
          <w:caps w:val="false"/>
          <w:smallCaps w:val="false"/>
          <w:sz w:val="20"/>
          <w:u w:val="single"/>
        </w:rPr>
        <w:t>Company Financial Statements</w:t>
      </w:r>
      <w:r>
        <w:rPr>
          <w:caps w:val="false"/>
          <w:smallCaps w:val="false"/>
        </w:rPr>
        <w:t>”</w:t>
      </w:r>
      <w:r>
        <w:rPr>
          <w:rFonts w:ascii="Times New Roman PS Std;serif" w:hAnsi="Times New Roman PS Std;serif"/>
          <w:b w:val="false"/>
          <w:i w:val="false"/>
          <w:caps w:val="false"/>
          <w:smallCaps w:val="false"/>
          <w:sz w:val="20"/>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3.8         </w:t>
      </w:r>
      <w:r>
        <w:rPr>
          <w:rFonts w:ascii="Times New Roman PS Std;serif" w:hAnsi="Times New Roman PS Std;serif"/>
          <w:b w:val="false"/>
          <w:i w:val="false"/>
          <w:caps w:val="false"/>
          <w:smallCaps w:val="false"/>
          <w:sz w:val="20"/>
          <w:u w:val="single"/>
        </w:rPr>
        <w:t>Absence of Certain Changes or Events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Since January 1, 2025 through the date hereof, there has not been any Company Material Adverse Effect or any change, event or development, that had or would reasonably be expected to have, individually or in the aggregate,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Since January 1, 2026 through the date of the Original Agreement, there has not been any action taken by the Company or any Company Subsidiary that, if taken during the</w:t>
      </w:r>
      <w:r>
        <w:rPr>
          <w:caps w:val="false"/>
          <w:smallCaps w:val="false"/>
        </w:rPr>
        <w:t xml:space="preserve"> </w:t>
      </w:r>
      <w:r>
        <w:rPr>
          <w:rFonts w:ascii="Times New Roman PS Std;serif" w:hAnsi="Times New Roman PS Std;serif"/>
          <w:b w:val="false"/>
          <w:i w:val="false"/>
          <w:caps w:val="false"/>
          <w:smallCaps w:val="false"/>
          <w:sz w:val="20"/>
        </w:rPr>
        <w:t xml:space="preserve">period between the date hereof through the Second Effective Time, would constitute a breach of </w:t>
      </w:r>
      <w:r>
        <w:rPr>
          <w:rFonts w:ascii="Times New Roman PS Std;serif" w:hAnsi="Times New Roman PS Std;serif"/>
          <w:b w:val="false"/>
          <w:i w:val="false"/>
          <w:caps w:val="false"/>
          <w:smallCaps w:val="false"/>
          <w:sz w:val="20"/>
          <w:u w:val="single"/>
        </w:rPr>
        <w:t>Sections 5.1(a)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5.1(o)</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5.1(q)</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3.9         </w:t>
      </w:r>
      <w:r>
        <w:rPr>
          <w:rFonts w:ascii="Times New Roman PS Std;serif" w:hAnsi="Times New Roman PS Std;serif"/>
          <w:b w:val="false"/>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w:t>
      </w:r>
      <w:r>
        <w:rPr>
          <w:rFonts w:ascii="Times New Roman PS Std;serif" w:hAnsi="Times New Roman PS Std;serif"/>
          <w:b w:val="false"/>
          <w:i w:val="false"/>
          <w:caps w:val="false"/>
          <w:smallCaps w:val="false"/>
          <w:sz w:val="20"/>
          <w:u w:val="single"/>
        </w:rPr>
        <w:t xml:space="preserve">Section 3.9(a) </w:t>
      </w:r>
      <w:r>
        <w:rPr>
          <w:rFonts w:ascii="Times New Roman PS Std;serif" w:hAnsi="Times New Roman PS Std;serif"/>
          <w:b w:val="false"/>
          <w:i w:val="false"/>
          <w:caps w:val="false"/>
          <w:smallCaps w:val="false"/>
          <w:sz w:val="20"/>
        </w:rPr>
        <w:t>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PS Std;serif" w:hAnsi="Times New Roman PS Std;serif"/>
          <w:b w:val="false"/>
          <w:i w:val="false"/>
          <w:caps w:val="false"/>
          <w:smallCaps w:val="false"/>
          <w:sz w:val="20"/>
          <w:u w:val="single"/>
        </w:rPr>
        <w:t>Non-U.S. Company Benefit Plan</w:t>
      </w:r>
      <w:r>
        <w:rPr>
          <w:caps w:val="false"/>
          <w:smallCaps w:val="false"/>
        </w:rPr>
        <w:t>”</w:t>
      </w:r>
      <w:r>
        <w:rPr>
          <w:rFonts w:ascii="Times New Roman PS Std;serif" w:hAnsi="Times New Roman PS Std;serif"/>
          <w:b w:val="false"/>
          <w:i w:val="false"/>
          <w:caps w:val="false"/>
          <w:smallCaps w:val="false"/>
          <w:sz w:val="20"/>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PS Std;serif" w:hAnsi="Times New Roman PS Std;serif"/>
          <w:b w:val="false"/>
          <w:i w:val="false"/>
          <w:caps w:val="false"/>
          <w:smallCaps w:val="false"/>
          <w:sz w:val="20"/>
          <w:u w:val="single"/>
        </w:rPr>
        <w:t>COBRA</w:t>
      </w:r>
      <w:r>
        <w:rPr>
          <w:caps w:val="false"/>
          <w:smallCaps w:val="false"/>
        </w:rPr>
        <w:t>”</w:t>
      </w:r>
      <w:r>
        <w:rPr>
          <w:rFonts w:ascii="Times New Roman PS Std;serif" w:hAnsi="Times New Roman PS Std;serif"/>
          <w:b w:val="false"/>
          <w:i w:val="false"/>
          <w:caps w:val="false"/>
          <w:smallCaps w:val="false"/>
          <w:sz w:val="20"/>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w:t>
      </w:r>
      <w:r>
        <w:rPr>
          <w:caps w:val="false"/>
          <w:smallCaps w:val="false"/>
        </w:rPr>
        <w:t xml:space="preserve"> </w:t>
      </w:r>
      <w:r>
        <w:rPr>
          <w:rFonts w:ascii="Times New Roman PS Std;serif" w:hAnsi="Times New Roman PS Std;serif"/>
          <w:b w:val="false"/>
          <w:i w:val="false"/>
          <w:caps w:val="false"/>
          <w:smallCaps w:val="false"/>
          <w:sz w:val="20"/>
        </w:rPr>
        <w:t>or (iv) result in the payment of any “excess parachute payments” within the meaning of Section 280G of the Code.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3.10       </w:t>
      </w:r>
      <w:r>
        <w:rPr>
          <w:rFonts w:ascii="Times New Roman PS Std;serif" w:hAnsi="Times New Roman PS Std;serif"/>
          <w:b w:val="false"/>
          <w:i w:val="false"/>
          <w:caps w:val="false"/>
          <w:smallCaps w:val="false"/>
          <w:sz w:val="20"/>
          <w:u w:val="single"/>
        </w:rPr>
        <w:t>Labor and Other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3.10(a)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correct, and complete list of all employees of the Company and the Company Subsidiaries, including for each such employee their (i) name or identification number, (ii) 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3.10(b)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PS Std;serif" w:hAnsi="Times New Roman PS Std;serif"/>
          <w:b w:val="false"/>
          <w:i w:val="false"/>
          <w:caps w:val="false"/>
          <w:smallCaps w:val="false"/>
          <w:sz w:val="20"/>
          <w:u w:val="single"/>
        </w:rPr>
        <w:t>WARN Act</w:t>
      </w:r>
      <w:r>
        <w:rPr>
          <w:caps w:val="false"/>
          <w:smallCaps w:val="false"/>
        </w:rPr>
        <w:t>”</w:t>
      </w:r>
      <w:r>
        <w:rPr>
          <w:rFonts w:ascii="Times New Roman PS Std;serif" w:hAnsi="Times New Roman PS Std;serif"/>
          <w:b w:val="false"/>
          <w:i w:val="false"/>
          <w:caps w:val="false"/>
          <w:smallCaps w:val="false"/>
          <w:sz w:val="20"/>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Knowledge of the Company, no current employee with a position at the Vice President level or higher, intends to terminate his or her employment or retire prior to the one-year anniversary of the Closing.</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(j)          Solely with respect to employees of the Company or any Company Subsidiary who reside or work in Israel (“</w:t>
      </w:r>
      <w:r>
        <w:rPr>
          <w:rFonts w:ascii="Times New Roman PS Std;serif" w:hAnsi="Times New Roman PS Std;serif"/>
          <w:b w:val="false"/>
          <w:i w:val="false"/>
          <w:caps w:val="false"/>
          <w:smallCaps w:val="false"/>
          <w:sz w:val="20"/>
          <w:u w:val="single"/>
        </w:rPr>
        <w:t>Israeli Employees</w:t>
      </w:r>
      <w:r>
        <w:rPr>
          <w:caps w:val="false"/>
          <w:smallCaps w:val="false"/>
        </w:rPr>
        <w:t>”</w:t>
      </w:r>
      <w:r>
        <w:rPr>
          <w:rFonts w:ascii="Times New Roman PS Std;serif" w:hAnsi="Times New Roman PS Std;serif"/>
          <w:b w:val="false"/>
          <w:i w:val="false"/>
          <w:caps w:val="false"/>
          <w:smallCaps w:val="false"/>
          <w:sz w:val="20"/>
        </w:rPr>
        <w:t>): (i) neither the Company nor any Company Subsidiary has or is subject to, and no Israeli Employee of the Company or any Company Subsidiary benefits from, any extension order (</w:t>
      </w:r>
      <w:r>
        <w:rPr>
          <w:rFonts w:ascii="Times New Roman PS Std;serif" w:hAnsi="Times New Roman PS Std;serif"/>
          <w:b w:val="false"/>
          <w:i/>
          <w:sz w:val="20"/>
        </w:rPr>
        <w:t>tzavei harchava</w:t>
      </w:r>
      <w:r>
        <w:rPr>
          <w:rFonts w:ascii="Times New Roman PS Std;serif" w:hAnsi="Times New Roman PS Std;serif"/>
          <w:b w:val="false"/>
          <w:i w:val="false"/>
          <w:caps w:val="false"/>
          <w:smallCaps w:val="false"/>
          <w:sz w:val="20"/>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PS Std;serif" w:hAnsi="Times New Roman PS Std;serif"/>
          <w:b w:val="false"/>
          <w:i w:val="false"/>
          <w:caps w:val="false"/>
          <w:smallCaps w:val="false"/>
          <w:sz w:val="20"/>
          <w:u w:val="single"/>
        </w:rPr>
        <w:t>Section 14 Arrangement</w:t>
      </w:r>
      <w:r>
        <w:rPr>
          <w:caps w:val="false"/>
          <w:smallCaps w:val="false"/>
        </w:rPr>
        <w:t>”</w:t>
      </w:r>
      <w:r>
        <w:rPr>
          <w:rFonts w:ascii="Times New Roman PS Std;serif" w:hAnsi="Times New Roman PS Std;serif"/>
          <w:b w:val="false"/>
          <w:i w:val="false"/>
          <w:caps w:val="false"/>
          <w:smallCaps w:val="false"/>
          <w:sz w:val="20"/>
        </w:rPr>
        <w:t xml:space="preserve">)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3.11       </w:t>
      </w:r>
      <w:r>
        <w:rPr>
          <w:rFonts w:ascii="Times New Roman PS Std;serif" w:hAnsi="Times New Roman PS Std;serif"/>
          <w:b w:val="false"/>
          <w:i w:val="false"/>
          <w:caps w:val="false"/>
          <w:smallCaps w:val="false"/>
          <w:sz w:val="20"/>
          <w:u w:val="single"/>
        </w:rPr>
        <w:t>Contracts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pStyle w:val="TextBody"/>
        <w:keepNext w:val="true"/>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relating to indebtedness for borrowed money or any financial guaranty (including any guaranty by the Company or any Company Subsidiary of any obligations of any third party), in each case pertaining to indebtedness in excess of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Collective Bargaining Agreement;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any Contract with any Person that is one of the top 20 customers of the Company and the Company Subsidiaries (as measured by total revenue for the fiscal year ending December 31, 2025);</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any Contract with any Person that is one of the top 20 vendors of the Company and the Company Subsidiaries (as measured by expenditures for the fiscal year ending December 31, 2025);</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lease or sublease with respect to the Company Leased Real Property that is material to the conduct of the Company’s and the Company Subsidiaries’ business as currently conducted;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any settlement agreement or similar Contract restricting in any material respect the operations or conduct of the Company or any Company Subsidiary or any of their respective affiliates (including Parent or any Parent Subsidiary after the First Effective Time);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any Contract (including any side letter) governing or amending, modifying, supplementing or otherwise relating to the 2026 Notes or the Secured Notes;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any Contract that contains any exclusivity rights or “most favored nations” provisions or minimum use, supply or display requirements that are binding on the Company or any Company Subsidiary (including Parent or any Parent Subsidiary after the First Effective Time);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any Contract between the Company or any Company Subsidiary, on the one hand, and any Governmental Entity or prime contractor or subcontractor of a Governmental Entity, on the other hand;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any Contract that by its terms expressly obligates the Company or any Company Subsidiary to make any capital investment or capital expenditure outside the ordinary course of business and in excess of $250,000; and</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any other “material contract” (as such term is defined in Item 601(b)(10) of Regulation S-K of the SEC), other than a Company Benefit Plan.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Each Contract of the type described in this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is referred to herein as a “</w:t>
      </w:r>
      <w:r>
        <w:rPr>
          <w:rFonts w:ascii="Times New Roman PS Std;serif" w:hAnsi="Times New Roman PS Std;serif"/>
          <w:b w:val="false"/>
          <w:i w:val="false"/>
          <w:caps w:val="false"/>
          <w:smallCaps w:val="false"/>
          <w:sz w:val="20"/>
          <w:u w:val="single"/>
        </w:rPr>
        <w:t>Company Material Contract</w:t>
      </w:r>
      <w:r>
        <w:rPr>
          <w:rFonts w:ascii="Times New Roman PS Std;serif" w:hAnsi="Times New Roman PS Std;serif"/>
          <w:b w:val="false"/>
          <w:i w:val="false"/>
          <w:caps w:val="false"/>
          <w:smallCaps w:val="false"/>
          <w:sz w:val="20"/>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3.12       </w:t>
      </w:r>
      <w:r>
        <w:rPr>
          <w:rFonts w:ascii="Times New Roman PS Std;serif" w:hAnsi="Times New Roman PS Std;serif"/>
          <w:b w:val="false"/>
          <w:i w:val="false"/>
          <w:caps w:val="false"/>
          <w:smallCaps w:val="false"/>
          <w:sz w:val="20"/>
          <w:u w:val="single"/>
        </w:rPr>
        <w:t>Permits</w:t>
      </w:r>
      <w:r>
        <w:rPr>
          <w:rFonts w:ascii="Times New Roman PS Std;serif" w:hAnsi="Times New Roman PS Std;serif"/>
          <w:b w:val="false"/>
          <w:i w:val="false"/>
          <w:caps w:val="false"/>
          <w:smallCaps w:val="false"/>
          <w:sz w:val="20"/>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PS Std;serif" w:hAnsi="Times New Roman PS Std;serif"/>
          <w:b w:val="false"/>
          <w:i w:val="false"/>
          <w:caps w:val="false"/>
          <w:smallCaps w:val="false"/>
          <w:sz w:val="20"/>
          <w:u w:val="single"/>
        </w:rPr>
        <w:t>Company Permits</w:t>
      </w:r>
      <w:r>
        <w:rPr>
          <w:caps w:val="false"/>
          <w:smallCaps w:val="false"/>
        </w:rPr>
        <w:t>”</w:t>
      </w:r>
      <w:r>
        <w:rPr>
          <w:rFonts w:ascii="Times New Roman PS Std;serif" w:hAnsi="Times New Roman PS Std;serif"/>
          <w:b w:val="false"/>
          <w:i w:val="false"/>
          <w:caps w:val="false"/>
          <w:smallCaps w:val="false"/>
          <w:sz w:val="20"/>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3.13       </w:t>
      </w:r>
      <w:r>
        <w:rPr>
          <w:rFonts w:ascii="Times New Roman PS Std;serif" w:hAnsi="Times New Roman PS Std;serif"/>
          <w:b w:val="false"/>
          <w:i w:val="false"/>
          <w:caps w:val="false"/>
          <w:smallCaps w:val="false"/>
          <w:sz w:val="20"/>
          <w:u w:val="single"/>
        </w:rPr>
        <w:t>Litigation</w:t>
      </w:r>
      <w:r>
        <w:rPr>
          <w:rFonts w:ascii="Times New Roman PS Std;serif" w:hAnsi="Times New Roman PS Std;serif"/>
          <w:b w:val="false"/>
          <w:i w:val="false"/>
          <w:caps w:val="false"/>
          <w:smallCaps w:val="false"/>
          <w:sz w:val="20"/>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3.14       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xml:space="preserve">.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3.15       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3.15(a)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PS Std;serif" w:hAnsi="Times New Roman PS Std;serif"/>
          <w:b w:val="false"/>
          <w:i w:val="false"/>
          <w:caps w:val="false"/>
          <w:smallCaps w:val="false"/>
          <w:sz w:val="20"/>
          <w:u w:val="single"/>
        </w:rPr>
        <w:t>Company Registered Intellectual Property</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have, individually or in the aggregate, a Company Material Adverse Effect, (i) 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 (i) 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(j)          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PS Std;serif" w:hAnsi="Times New Roman PS Std;serif"/>
          <w:b w:val="false"/>
          <w:i w:val="false"/>
          <w:caps w:val="false"/>
          <w:smallCaps w:val="false"/>
          <w:sz w:val="20"/>
          <w:u w:val="single"/>
        </w:rPr>
        <w:t>Company IT Assets</w:t>
      </w:r>
      <w:r>
        <w:rPr>
          <w:caps w:val="false"/>
          <w:smallCaps w:val="false"/>
        </w:rPr>
        <w:t>”</w:t>
      </w:r>
      <w:r>
        <w:rPr>
          <w:rFonts w:ascii="Times New Roman PS Std;serif" w:hAnsi="Times New Roman PS Std;serif"/>
          <w:b w:val="false"/>
          <w:i w:val="false"/>
          <w:caps w:val="false"/>
          <w:smallCaps w:val="false"/>
          <w:sz w:val="20"/>
        </w:rPr>
        <w:t>) operate and perform as required by the Company and the Company Subsidiaries for the conduct of their businesses as currently conducted, and have not malfunctioned or failed since January 1, 2023.</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          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3.16       </w:t>
      </w:r>
      <w:r>
        <w:rPr>
          <w:rFonts w:ascii="Times New Roman PS Std;serif" w:hAnsi="Times New Roman PS Std;serif"/>
          <w:b w:val="false"/>
          <w:i w:val="false"/>
          <w:caps w:val="false"/>
          <w:smallCaps w:val="false"/>
          <w:sz w:val="20"/>
          <w:u w:val="single"/>
        </w:rPr>
        <w:t>Data Privacy and Security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PS Std;serif" w:hAnsi="Times New Roman PS Std;serif"/>
          <w:b w:val="false"/>
          <w:i w:val="false"/>
          <w:caps w:val="false"/>
          <w:smallCaps w:val="false"/>
          <w:sz w:val="20"/>
          <w:u w:val="single"/>
        </w:rPr>
        <w:t>Data Partners</w:t>
      </w:r>
      <w:r>
        <w:rPr>
          <w:caps w:val="false"/>
          <w:smallCaps w:val="false"/>
        </w:rPr>
        <w:t>”</w:t>
      </w:r>
      <w:r>
        <w:rPr>
          <w:rFonts w:ascii="Times New Roman PS Std;serif" w:hAnsi="Times New Roman PS Std;serif"/>
          <w:b w:val="false"/>
          <w:i w:val="false"/>
          <w:caps w:val="false"/>
          <w:smallCaps w:val="false"/>
          <w:sz w:val="20"/>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 PS Std;serif" w:hAnsi="Times New Roman PS Std;serif"/>
          <w:b w:val="false"/>
          <w:i w:val="false"/>
          <w:caps w:val="false"/>
          <w:smallCaps w:val="false"/>
          <w:sz w:val="20"/>
          <w:u w:val="single"/>
        </w:rPr>
        <w:t>Privacy Requirements</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3.17       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Company Material Adverse Effect: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Taxes payable by the Company and the Company Subsidiaries (whether or not shown to be due and payable on any Tax Return) have been fully and timely paid to the appropriate Governmental Entity;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there are no disputes, audits, examinations, investigations or other Proceedings in progress, or to the Knowledge of the Company, pending or threatened, by any Governmental Entity with respect to any Taxes or Tax Returns of the Company or any Company Subsidiary;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(x)         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local or non-U.S. Tax Law), as a transferee or successor, by Contract (other than any customary commercial Contract not primarily related to Taxes and entered into the ordinary course of business), or otherwise by operation of Law;</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there are no Liens for Taxes upon any property or assets of the Company or the Company Subsidiaries, other than Permitted Liens;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neither the Company nor any Company Subsidiary has participated in any “listed transaction” within the meaning of Treasury Regulations Section 1.6011-4(b)(2) (or under a similar provision of state, local, or non-U.S. Tax Law);</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3.18       </w:t>
      </w:r>
      <w:r>
        <w:rPr>
          <w:rFonts w:ascii="Times New Roman PS Std;serif" w:hAnsi="Times New Roman PS Std;serif"/>
          <w:b w:val="false"/>
          <w:i w:val="false"/>
          <w:caps w:val="false"/>
          <w:smallCaps w:val="false"/>
          <w:sz w:val="20"/>
          <w:u w:val="single"/>
        </w:rPr>
        <w:t>Real Property; Title to Assets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Company nor any of the Company Subsidiaries owns, or has ever (or, in the case of each Company Subsidiary, for so long as such Person has been a Subsidiary of the Company) owned, any real property.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3.18(b)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(i) a true and complete list of all material real property leased, subleased or otherwise occupied by the Company or any of the Company Subsidiaries (collectively, the “</w:t>
      </w:r>
      <w:r>
        <w:rPr>
          <w:rFonts w:ascii="Times New Roman PS Std;serif" w:hAnsi="Times New Roman PS Std;serif"/>
          <w:b w:val="false"/>
          <w:i w:val="false"/>
          <w:caps w:val="false"/>
          <w:smallCaps w:val="false"/>
          <w:sz w:val="20"/>
          <w:u w:val="single"/>
        </w:rPr>
        <w:t>Company Leased Real Property</w:t>
      </w:r>
      <w:r>
        <w:rPr>
          <w:caps w:val="false"/>
          <w:smallCaps w:val="false"/>
        </w:rPr>
        <w:t>”</w:t>
      </w:r>
      <w:r>
        <w:rPr>
          <w:rFonts w:ascii="Times New Roman PS Std;serif" w:hAnsi="Times New Roman PS Std;serif"/>
          <w:b w:val="false"/>
          <w:i w:val="false"/>
          <w:caps w:val="false"/>
          <w:smallCaps w:val="false"/>
          <w:sz w:val="20"/>
        </w:rPr>
        <w:t>), (ii) the address for such Company Leased Real Property, and (iii) a description of the applicable lease, sublease or other agreement therefore and any and all amendments and modifications relating thereto (collectively, the “</w:t>
      </w:r>
      <w:r>
        <w:rPr>
          <w:rFonts w:ascii="Times New Roman PS Std;serif" w:hAnsi="Times New Roman PS Std;serif"/>
          <w:b w:val="false"/>
          <w:i w:val="false"/>
          <w:caps w:val="false"/>
          <w:smallCaps w:val="false"/>
          <w:sz w:val="20"/>
          <w:u w:val="single"/>
        </w:rPr>
        <w:t>Company Real Property Leases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3.19       </w:t>
      </w:r>
      <w:r>
        <w:rPr>
          <w:rFonts w:ascii="Times New Roman PS Std;serif" w:hAnsi="Times New Roman PS Std;serif"/>
          <w:b w:val="false"/>
          <w:i w:val="false"/>
          <w:caps w:val="false"/>
          <w:smallCaps w:val="false"/>
          <w:sz w:val="20"/>
          <w:u w:val="single"/>
        </w:rPr>
        <w:t>Anti-Corruption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each Company Subsidiary, and each Company Representative is and, since January 1, 2021, has been in compliance with the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Company nor any Company Subsidiary nor any Company Representative acting for or on behalf of the Company or any Company Subsidiary has made any voluntary or involuntary disclosure to any Governmental Entity under the Anti-Corruption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have established and maintain and enforce policies and procedures reasonably designed to promote and achieve compliance with the Anti-Corruption Laws applicable to the Company and the Company Subsidiaries.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3.20       </w:t>
      </w:r>
      <w:r>
        <w:rPr>
          <w:rFonts w:ascii="Times New Roman PS Std;serif" w:hAnsi="Times New Roman PS Std;serif"/>
          <w:b w:val="false"/>
          <w:i w:val="false"/>
          <w:caps w:val="false"/>
          <w:smallCaps w:val="false"/>
          <w:sz w:val="20"/>
          <w:u w:val="single"/>
        </w:rPr>
        <w:t>International Trade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have, since April 24, 2019, implemented and maintain policies and procedures to promote compliance with Sanctions and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3.21       </w:t>
      </w:r>
      <w:r>
        <w:rPr>
          <w:rFonts w:ascii="Times New Roman PS Std;serif" w:hAnsi="Times New Roman PS Std;serif"/>
          <w:b w:val="false"/>
          <w:i w:val="false"/>
          <w:caps w:val="false"/>
          <w:smallCaps w:val="false"/>
          <w:sz w:val="20"/>
          <w:u w:val="single"/>
        </w:rPr>
        <w:t>Opinion of Financial Advisor</w:t>
      </w:r>
      <w:r>
        <w:rPr>
          <w:rFonts w:ascii="Times New Roman PS Std;serif" w:hAnsi="Times New Roman PS Std;serif"/>
          <w:b w:val="false"/>
          <w:i w:val="false"/>
          <w:caps w:val="false"/>
          <w:smallCaps w:val="false"/>
          <w:sz w:val="20"/>
        </w:rPr>
        <w:t>. The Company Board has received the opinion (the “</w:t>
      </w:r>
      <w:r>
        <w:rPr>
          <w:rFonts w:ascii="Times New Roman PS Std;serif" w:hAnsi="Times New Roman PS Std;serif"/>
          <w:b w:val="false"/>
          <w:i w:val="false"/>
          <w:caps w:val="false"/>
          <w:smallCaps w:val="false"/>
          <w:sz w:val="20"/>
          <w:u w:val="single"/>
        </w:rPr>
        <w:t>Company Fairness Opinion</w:t>
      </w:r>
      <w:r>
        <w:rPr>
          <w:caps w:val="false"/>
          <w:smallCaps w:val="false"/>
        </w:rPr>
        <w:t>”</w:t>
      </w:r>
      <w:r>
        <w:rPr>
          <w:rFonts w:ascii="Times New Roman PS Std;serif" w:hAnsi="Times New Roman PS Std;serif"/>
          <w:b w:val="false"/>
          <w:i w:val="false"/>
          <w:caps w:val="false"/>
          <w:smallCaps w:val="false"/>
          <w:sz w:val="20"/>
        </w:rPr>
        <w:t>) of Houlihan Lokey Capital, Inc. (“</w:t>
      </w:r>
      <w:r>
        <w:rPr>
          <w:rFonts w:ascii="Times New Roman PS Std;serif" w:hAnsi="Times New Roman PS Std;serif"/>
          <w:b w:val="false"/>
          <w:i w:val="false"/>
          <w:caps w:val="false"/>
          <w:smallCaps w:val="false"/>
          <w:sz w:val="20"/>
          <w:u w:val="single"/>
        </w:rPr>
        <w:t>Houlihan Lokey</w:t>
      </w:r>
      <w:r>
        <w:rPr>
          <w:caps w:val="false"/>
          <w:smallCaps w:val="false"/>
        </w:rPr>
        <w:t>”</w:t>
      </w:r>
      <w:r>
        <w:rPr>
          <w:rFonts w:ascii="Times New Roman PS Std;serif" w:hAnsi="Times New Roman PS Std;serif"/>
          <w:b w:val="false"/>
          <w:i w:val="false"/>
          <w:caps w:val="false"/>
          <w:smallCaps w:val="false"/>
          <w:sz w:val="20"/>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3.22       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3.23       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PS Std;serif" w:hAnsi="Times New Roman PS Std;serif"/>
          <w:b w:val="false"/>
          <w:i w:val="false"/>
          <w:caps w:val="false"/>
          <w:smallCaps w:val="false"/>
          <w:sz w:val="20"/>
          <w:u w:val="single"/>
        </w:rPr>
        <w:t>Takeover Statutes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3.24       </w:t>
      </w:r>
      <w:r>
        <w:rPr>
          <w:rFonts w:ascii="Times New Roman PS Std;serif" w:hAnsi="Times New Roman PS Std;serif"/>
          <w:b w:val="false"/>
          <w:i w:val="false"/>
          <w:caps w:val="false"/>
          <w:smallCaps w:val="false"/>
          <w:sz w:val="20"/>
          <w:u w:val="single"/>
        </w:rPr>
        <w:t>Related Party Transactions</w:t>
      </w:r>
      <w:r>
        <w:rPr>
          <w:rFonts w:ascii="Times New Roman PS Std;serif" w:hAnsi="Times New Roman PS Std;serif"/>
          <w:b w:val="false"/>
          <w:i w:val="false"/>
          <w:caps w:val="false"/>
          <w:smallCaps w:val="false"/>
          <w:sz w:val="20"/>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PS Std;serif" w:hAnsi="Times New Roman PS Std;serif"/>
          <w:b w:val="false"/>
          <w:i w:val="false"/>
          <w:caps w:val="false"/>
          <w:smallCaps w:val="false"/>
          <w:sz w:val="20"/>
          <w:u w:val="single"/>
        </w:rPr>
        <w:t>Company Related Party</w:t>
      </w:r>
      <w:r>
        <w:rPr>
          <w:caps w:val="false"/>
          <w:smallCaps w:val="false"/>
        </w:rPr>
        <w:t>”</w:t>
      </w:r>
      <w:r>
        <w:rPr>
          <w:rFonts w:ascii="Times New Roman PS Std;serif" w:hAnsi="Times New Roman PS Std;serif"/>
          <w:b w:val="false"/>
          <w:i w:val="false"/>
          <w:caps w:val="false"/>
          <w:smallCaps w:val="false"/>
          <w:sz w:val="20"/>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3.25       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3.26       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3.27       </w:t>
      </w:r>
      <w:r>
        <w:rPr>
          <w:rFonts w:ascii="Times New Roman PS Std;serif" w:hAnsi="Times New Roman PS Std;serif"/>
          <w:b w:val="false"/>
          <w:i w:val="false"/>
          <w:caps w:val="false"/>
          <w:smallCaps w:val="false"/>
          <w:sz w:val="20"/>
          <w:u w:val="single"/>
        </w:rPr>
        <w:t>No Other Representations or Warranties</w:t>
      </w:r>
      <w:r>
        <w:rPr>
          <w:rFonts w:ascii="Times New Roman PS Std;serif" w:hAnsi="Times New Roman PS Std;serif"/>
          <w:b w:val="false"/>
          <w:i w:val="false"/>
          <w:caps w:val="false"/>
          <w:smallCaps w:val="false"/>
          <w:sz w:val="20"/>
        </w:rPr>
        <w:t xml:space="preserve">. Except for the representations and warranties expressly set forth in this </w:t>
      </w:r>
      <w:r>
        <w:rPr>
          <w:rFonts w:ascii="Times New Roman PS Std;serif" w:hAnsi="Times New Roman PS Std;serif"/>
          <w:b w:val="false"/>
          <w:i w:val="false"/>
          <w:caps w:val="false"/>
          <w:smallCaps w:val="false"/>
          <w:sz w:val="20"/>
          <w:u w:val="single"/>
        </w:rPr>
        <w:t>Article 3</w:t>
      </w:r>
      <w:r>
        <w:rPr>
          <w:rFonts w:ascii="Times New Roman PS Std;serif" w:hAnsi="Times New Roman PS Std;serif"/>
          <w:b w:val="false"/>
          <w:i w:val="false"/>
          <w:caps w:val="false"/>
          <w:smallCaps w:val="false"/>
          <w:sz w:val="20"/>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PS Std;serif" w:hAnsi="Times New Roman PS Std;serif"/>
          <w:b w:val="false"/>
          <w:i w:val="false"/>
          <w:caps w:val="false"/>
          <w:smallCaps w:val="false"/>
          <w:sz w:val="20"/>
          <w:u w:val="single"/>
        </w:rPr>
        <w:t>Article 3</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4</w:t>
        <w:br/>
      </w:r>
      <w:r>
        <w:rPr>
          <w:rFonts w:ascii="Times New Roman PS Std;serif" w:hAnsi="Times New Roman PS Std;serif"/>
          <w:b/>
          <w:i w:val="false"/>
          <w:caps/>
          <w:sz w:val="20"/>
        </w:rPr>
        <w:t>Representations and Warranties of Parent and MERGER SUBS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 PS Std;serif" w:hAnsi="Times New Roman PS Std;serif"/>
          <w:b w:val="false"/>
          <w:i w:val="false"/>
          <w:caps w:val="false"/>
          <w:smallCaps w:val="false"/>
          <w:sz w:val="20"/>
          <w:u w:val="single"/>
        </w:rPr>
        <w:t>Sections 4.1</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4.8</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4.10</w:t>
      </w:r>
      <w:r>
        <w:rPr>
          <w:caps w:val="false"/>
          <w:smallCaps w:val="false"/>
        </w:rPr>
        <w:t xml:space="preserve"> </w:t>
      </w:r>
      <w:r>
        <w:rPr>
          <w:rFonts w:ascii="Times New Roman PS Std;serif" w:hAnsi="Times New Roman PS Std;serif"/>
          <w:b w:val="false"/>
          <w:i w:val="false"/>
          <w:caps w:val="false"/>
          <w:smallCaps w:val="false"/>
          <w:sz w:val="20"/>
        </w:rPr>
        <w:t>which each Parent Party hereby jointly and severally represents and warrants to the Company as of the date hereof, as follows: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4.2         </w:t>
      </w:r>
      <w:r>
        <w:rPr>
          <w:rFonts w:ascii="Times New Roman PS Std;serif" w:hAnsi="Times New Roman PS Std;serif"/>
          <w:b w:val="false"/>
          <w:i w:val="false"/>
          <w:caps w:val="false"/>
          <w:smallCaps w:val="false"/>
          <w:sz w:val="20"/>
          <w:u w:val="single"/>
        </w:rPr>
        <w:t>Authority</w:t>
      </w:r>
      <w:r>
        <w:rPr>
          <w:rFonts w:ascii="Times New Roman PS Std;serif" w:hAnsi="Times New Roman PS Std;serif"/>
          <w:b w:val="false"/>
          <w:i w:val="false"/>
          <w:caps w:val="false"/>
          <w:smallCaps w:val="false"/>
          <w:sz w:val="20"/>
        </w:rPr>
        <w:t xml:space="preserve">.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4.3         </w:t>
      </w:r>
      <w:r>
        <w:rPr>
          <w:rFonts w:ascii="Times New Roman PS Std;serif" w:hAnsi="Times New Roman PS Std;serif"/>
          <w:b w:val="false"/>
          <w:i w:val="false"/>
          <w:caps w:val="false"/>
          <w:smallCaps w:val="false"/>
          <w:sz w:val="20"/>
          <w:u w:val="single"/>
        </w:rPr>
        <w:t>No Conflict</w:t>
      </w:r>
      <w:r>
        <w:rPr>
          <w:rFonts w:ascii="Times New Roman PS Std;serif" w:hAnsi="Times New Roman PS Std;serif"/>
          <w:b w:val="false"/>
          <w:i w:val="false"/>
          <w:caps w:val="false"/>
          <w:smallCaps w:val="false"/>
          <w:sz w:val="20"/>
        </w:rPr>
        <w:t xml:space="preserve">.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 PS Std;serif" w:hAnsi="Times New Roman PS Std;serif"/>
          <w:b w:val="false"/>
          <w:i w:val="false"/>
          <w:caps w:val="false"/>
          <w:smallCaps w:val="false"/>
          <w:sz w:val="20"/>
          <w:u w:val="single"/>
        </w:rPr>
        <w:t>Section 4.4</w:t>
      </w:r>
      <w:r>
        <w:rPr>
          <w:rFonts w:ascii="Times New Roman PS Std;serif" w:hAnsi="Times New Roman PS Std;serif"/>
          <w:b w:val="false"/>
          <w:i w:val="false"/>
          <w:caps w:val="false"/>
          <w:smallCaps w:val="false"/>
          <w:sz w:val="20"/>
        </w:rPr>
        <w:t>, contravene, conflict with or result in a violation or breach of any provision of any material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4.4         </w:t>
      </w:r>
      <w:r>
        <w:rPr>
          <w:rFonts w:ascii="Times New Roman PS Std;serif" w:hAnsi="Times New Roman PS Std;serif"/>
          <w:b w:val="false"/>
          <w:i w:val="false"/>
          <w:caps w:val="false"/>
          <w:smallCaps w:val="false"/>
          <w:sz w:val="20"/>
          <w:u w:val="single"/>
        </w:rPr>
        <w:t>Required Filings and Consents</w:t>
      </w:r>
      <w:r>
        <w:rPr>
          <w:rFonts w:ascii="Times New Roman PS Std;serif" w:hAnsi="Times New Roman PS Std;serif"/>
          <w:b w:val="false"/>
          <w:i w:val="false"/>
          <w:caps w:val="false"/>
          <w:smallCaps w:val="false"/>
          <w:sz w:val="20"/>
        </w:rPr>
        <w:t xml:space="preserve">. Assuming the accuracy of the representations and warranties of the Company in </w:t>
      </w:r>
      <w:r>
        <w:rPr>
          <w:rFonts w:ascii="Times New Roman PS Std;serif" w:hAnsi="Times New Roman PS Std;serif"/>
          <w:b w:val="false"/>
          <w:i w:val="false"/>
          <w:caps w:val="false"/>
          <w:smallCaps w:val="false"/>
          <w:sz w:val="20"/>
          <w:u w:val="single"/>
        </w:rPr>
        <w:t>Section 3.5</w:t>
      </w:r>
      <w:r>
        <w:rPr>
          <w:rFonts w:ascii="Times New Roman PS Std;serif" w:hAnsi="Times New Roman PS Std;serif"/>
          <w:b w:val="false"/>
          <w:i w:val="false"/>
          <w:caps w:val="false"/>
          <w:smallCaps w:val="false"/>
          <w:sz w:val="20"/>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4.5         </w:t>
      </w:r>
      <w:r>
        <w:rPr>
          <w:rFonts w:ascii="Times New Roman PS Std;serif" w:hAnsi="Times New Roman PS Std;serif"/>
          <w:b w:val="false"/>
          <w:i w:val="false"/>
          <w:caps w:val="false"/>
          <w:smallCaps w:val="false"/>
          <w:sz w:val="20"/>
          <w:u w:val="single"/>
        </w:rPr>
        <w:t>SEC Filings;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PS Std;serif" w:hAnsi="Times New Roman PS Std;serif"/>
          <w:b w:val="false"/>
          <w:i w:val="false"/>
          <w:caps w:val="false"/>
          <w:smallCaps w:val="false"/>
          <w:sz w:val="20"/>
          <w:u w:val="single"/>
        </w:rPr>
        <w:t>Parent SEC Documents</w:t>
      </w:r>
      <w:r>
        <w:rPr>
          <w:caps w:val="false"/>
          <w:smallCaps w:val="false"/>
        </w:rPr>
        <w:t>”</w:t>
      </w:r>
      <w:r>
        <w:rPr>
          <w:rFonts w:ascii="Times New Roman PS Std;serif" w:hAnsi="Times New Roman PS Std;serif"/>
          <w:b w:val="false"/>
          <w:i w:val="false"/>
          <w:caps w:val="false"/>
          <w:smallCaps w:val="false"/>
          <w:sz w:val="20"/>
        </w:rPr>
        <w:t>). No Parent Subsidiary is required to make any filings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The consolidated financial statements of Parent included in the Parent SEC Documents (including, in each case, any notes or schedules thereto) (the “</w:t>
      </w:r>
      <w:r>
        <w:rPr>
          <w:rFonts w:ascii="Times New Roman PS Std;serif" w:hAnsi="Times New Roman PS Std;serif"/>
          <w:b w:val="false"/>
          <w:i w:val="false"/>
          <w:caps w:val="false"/>
          <w:smallCaps w:val="false"/>
          <w:sz w:val="20"/>
          <w:u w:val="single"/>
        </w:rPr>
        <w:t>Parent</w:t>
      </w:r>
      <w:r>
        <w:rPr>
          <w:caps w:val="false"/>
          <w:smallCaps w:val="false"/>
          <w:u w:val="single"/>
        </w:rPr>
        <w:t xml:space="preserve"> </w:t>
      </w:r>
      <w:r>
        <w:rPr>
          <w:rFonts w:ascii="Times New Roman PS Std;serif" w:hAnsi="Times New Roman PS Std;serif"/>
          <w:b w:val="false"/>
          <w:i w:val="false"/>
          <w:caps w:val="false"/>
          <w:smallCaps w:val="false"/>
          <w:sz w:val="20"/>
          <w:u w:val="single"/>
        </w:rPr>
        <w:t>Financial Statements</w:t>
      </w:r>
      <w:r>
        <w:rPr>
          <w:caps w:val="false"/>
          <w:smallCaps w:val="false"/>
        </w:rPr>
        <w:t>”</w:t>
      </w:r>
      <w:r>
        <w:rPr>
          <w:rFonts w:ascii="Times New Roman PS Std;serif" w:hAnsi="Times New Roman PS Std;serif"/>
          <w:b w:val="false"/>
          <w:i w:val="false"/>
          <w:caps w:val="false"/>
          <w:smallCaps w:val="false"/>
          <w:sz w:val="20"/>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4.6         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4.7         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4.8         </w:t>
      </w:r>
      <w:r>
        <w:rPr>
          <w:rFonts w:ascii="Times New Roman PS Std;serif" w:hAnsi="Times New Roman PS Std;serif"/>
          <w:b w:val="false"/>
          <w:i w:val="false"/>
          <w:caps w:val="false"/>
          <w:smallCaps w:val="false"/>
          <w:sz w:val="20"/>
          <w:u w:val="single"/>
        </w:rPr>
        <w:t>Ownership of Merger Subs</w:t>
      </w:r>
      <w:r>
        <w:rPr>
          <w:rFonts w:ascii="Times New Roman PS Std;serif" w:hAnsi="Times New Roman PS Std;serif"/>
          <w:b w:val="false"/>
          <w:i w:val="false"/>
          <w:caps w:val="false"/>
          <w:smallCaps w:val="false"/>
          <w:sz w:val="20"/>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4.9         </w:t>
      </w:r>
      <w:r>
        <w:rPr>
          <w:rFonts w:ascii="Times New Roman PS Std;serif" w:hAnsi="Times New Roman PS Std;serif"/>
          <w:b w:val="false"/>
          <w:i w:val="false"/>
          <w:caps w:val="false"/>
          <w:smallCaps w:val="false"/>
          <w:sz w:val="20"/>
          <w:u w:val="single"/>
        </w:rPr>
        <w:t>Valid Issuance</w:t>
      </w:r>
      <w:r>
        <w:rPr>
          <w:rFonts w:ascii="Times New Roman PS Std;serif" w:hAnsi="Times New Roman PS Std;serif"/>
          <w:b w:val="false"/>
          <w:i w:val="false"/>
          <w:caps w:val="false"/>
          <w:smallCaps w:val="false"/>
          <w:sz w:val="20"/>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4.10       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4.11       </w:t>
      </w:r>
      <w:r>
        <w:rPr>
          <w:rFonts w:ascii="Times New Roman PS Std;serif" w:hAnsi="Times New Roman PS Std;serif"/>
          <w:b w:val="false"/>
          <w:i w:val="false"/>
          <w:caps w:val="false"/>
          <w:smallCaps w:val="false"/>
          <w:sz w:val="20"/>
          <w:u w:val="single"/>
        </w:rPr>
        <w:t>No Other Representations and Warranties</w:t>
      </w:r>
      <w:r>
        <w:rPr>
          <w:rFonts w:ascii="Times New Roman PS Std;serif" w:hAnsi="Times New Roman PS Std;serif"/>
          <w:b w:val="false"/>
          <w:i w:val="false"/>
          <w:caps w:val="false"/>
          <w:smallCaps w:val="false"/>
          <w:sz w:val="20"/>
        </w:rPr>
        <w:t xml:space="preserve">. Except for the representations and warranties expressly set forth in this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5</w:t>
        <w:br/>
      </w:r>
      <w:r>
        <w:rPr>
          <w:rFonts w:ascii="Times New Roman PS Std;serif" w:hAnsi="Times New Roman PS Std;serif"/>
          <w:b/>
          <w:i w:val="false"/>
          <w:caps/>
          <w:sz w:val="20"/>
        </w:rPr>
        <w:t>Conduct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5.1         </w:t>
      </w:r>
      <w:r>
        <w:rPr>
          <w:rFonts w:ascii="Times New Roman PS Std;serif" w:hAnsi="Times New Roman PS Std;serif"/>
          <w:b w:val="false"/>
          <w:i w:val="false"/>
          <w:caps w:val="false"/>
          <w:smallCaps w:val="false"/>
          <w:sz w:val="20"/>
          <w:u w:val="single"/>
        </w:rPr>
        <w:t>Conduct of Business by the Company Pending the Closing</w:t>
      </w:r>
      <w:r>
        <w:rPr>
          <w:rFonts w:ascii="Times New Roman PS Std;serif" w:hAnsi="Times New Roman PS Std;serif"/>
          <w:b w:val="false"/>
          <w:i w:val="false"/>
          <w:caps w:val="false"/>
          <w:smallCaps w:val="false"/>
          <w:sz w:val="20"/>
        </w:rPr>
        <w:t xml:space="preserve">. The Company agrees that, between the date of the Original Agreement and the earlier of the Second Effective Time and the valid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except (w)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PS Std;serif" w:hAnsi="Times New Roman PS Std;serif"/>
          <w:b w:val="false"/>
          <w:i w:val="false"/>
          <w:caps w:val="false"/>
          <w:smallCaps w:val="false"/>
          <w:sz w:val="20"/>
          <w:u w:val="single"/>
        </w:rPr>
        <w:t>Section 6.15(a)</w:t>
      </w:r>
      <w:r>
        <w:rPr>
          <w:rFonts w:ascii="Times New Roman PS Std;serif" w:hAnsi="Times New Roman PS Std;serif"/>
          <w:b w:val="false"/>
          <w:i w:val="false"/>
          <w:caps w:val="false"/>
          <w:smallCaps w:val="false"/>
          <w:sz w:val="20"/>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directly or indirectly, take any of the following actions: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 PS Std;serif" w:hAnsi="Times New Roman PS Std;serif"/>
          <w:b w:val="false"/>
          <w:i w:val="false"/>
          <w:caps w:val="false"/>
          <w:smallCaps w:val="false"/>
          <w:sz w:val="20"/>
          <w:u w:val="single"/>
        </w:rPr>
        <w:t>Section 2.6(d)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 (ii) Permitted Liens;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(h)         (i)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PS Std;serif" w:hAnsi="Times New Roman PS Std;serif"/>
          <w:b w:val="false"/>
          <w:i w:val="false"/>
          <w:caps w:val="false"/>
          <w:smallCaps w:val="false"/>
          <w:sz w:val="20"/>
          <w:u w:val="single"/>
        </w:rPr>
        <w:t xml:space="preserve">Section 6.15 </w:t>
      </w:r>
      <w:r>
        <w:rPr>
          <w:rFonts w:ascii="Times New Roman PS Std;serif" w:hAnsi="Times New Roman PS Std;serif"/>
          <w:b w:val="false"/>
          <w:i w:val="false"/>
          <w:caps w:val="false"/>
          <w:smallCaps w:val="false"/>
          <w:sz w:val="20"/>
        </w:rPr>
        <w:t>or (B) payment of interest due and payable pursuant to the terms of the First Lien Notes;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(j)          (i) enter into any Contract that would, if entered into prior to the date of the Original Agreement, be a Company Material Contract, other than, solely with respect to Company Material Contracts under </w:t>
      </w:r>
      <w:r>
        <w:rPr>
          <w:rFonts w:ascii="Times New Roman PS Std;serif" w:hAnsi="Times New Roman PS Std;serif"/>
          <w:b w:val="false"/>
          <w:i w:val="false"/>
          <w:caps w:val="false"/>
          <w:smallCaps w:val="false"/>
          <w:sz w:val="20"/>
          <w:u w:val="single"/>
        </w:rPr>
        <w:t>Sections 3.11(a)(ii)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3.11(a)(xiii)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3.11(a)(xvii)</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3.11(a)(xx)</w:t>
      </w:r>
      <w:r>
        <w:rPr>
          <w:caps w:val="false"/>
          <w:smallCaps w:val="false"/>
        </w:rPr>
        <w:t xml:space="preserve"> </w:t>
      </w:r>
      <w:r>
        <w:rPr>
          <w:rFonts w:ascii="Times New Roman PS Std;serif" w:hAnsi="Times New Roman PS Std;serif"/>
          <w:b w:val="false"/>
          <w:i w:val="false"/>
          <w:caps w:val="false"/>
          <w:smallCaps w:val="false"/>
          <w:sz w:val="20"/>
        </w:rPr>
        <w:t xml:space="preserve">(in each case, so long as any such Contract would not also constitute a contract of the type described in </w:t>
      </w:r>
      <w:r>
        <w:rPr>
          <w:rFonts w:ascii="Times New Roman PS Std;serif" w:hAnsi="Times New Roman PS Std;serif"/>
          <w:b w:val="false"/>
          <w:i w:val="false"/>
          <w:caps w:val="false"/>
          <w:smallCaps w:val="false"/>
          <w:sz w:val="20"/>
          <w:u w:val="single"/>
        </w:rPr>
        <w:t>Section 3.11(a)(iv)</w:t>
      </w:r>
      <w:r>
        <w:rPr>
          <w:rFonts w:ascii="Times New Roman PS Std;serif" w:hAnsi="Times New Roman PS Std;serif"/>
          <w:b w:val="false"/>
          <w:i w:val="false"/>
          <w:caps w:val="false"/>
          <w:smallCaps w:val="false"/>
          <w:sz w:val="20"/>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other than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         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implement or announce any “mass layoff” or “plant closing,” in each case as defined in an applicable WARN Act, or take any other action that would reasonably be expected to trigger an applicable WARN Act;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make any change in accounting policies, practices, principles, methods or procedures or any of its methods of reporting income, deductions or other material items for financial accounting purposes, other than as required by GAAP or applicable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enter into, materially amend or terminate any transaction with any Company Related Party;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fail to use commercially reasonable efforts to maintain the Company’s insurance policies in the ordinary course of business consistent with past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(v)         (i)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PS Std;serif" w:hAnsi="Times New Roman PS Std;serif"/>
          <w:b w:val="false"/>
          <w:i w:val="false"/>
          <w:caps w:val="false"/>
          <w:smallCaps w:val="false"/>
          <w:sz w:val="20"/>
          <w:u w:val="single"/>
        </w:rPr>
        <w:t>clauses (ii)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(iv)</w:t>
      </w:r>
      <w:r>
        <w:rPr>
          <w:rFonts w:ascii="Times New Roman PS Std;serif" w:hAnsi="Times New Roman PS Std;serif"/>
          <w:b w:val="false"/>
          <w:i w:val="false"/>
          <w:caps w:val="false"/>
          <w:smallCaps w:val="false"/>
          <w:sz w:val="20"/>
        </w:rPr>
        <w:t>, other than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convene any special meeting (or any adjournment or postponement thereof) of the Company’s stockholders;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terminate or modify or waive in any material respect any right under any material Company Permit;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         make any capital expenditure or expenditures, or enter into any agreement arrangement providing for, or otherwise commit to providing, any capital expenditure or expenditures, except (i) 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         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        agree, authorize or enter into any Contract to do any of the foregoing or otherwise make any commitment to do any of the foregoing.</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6</w:t>
        <w:br/>
      </w:r>
      <w:r>
        <w:rPr>
          <w:rFonts w:ascii="Times New Roman PS Std;serif" w:hAnsi="Times New Roman PS Std;serif"/>
          <w:b/>
          <w:i w:val="false"/>
          <w:caps/>
          <w:sz w:val="20"/>
        </w:rPr>
        <w:t>Additional Covenants of the Parties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6.1         </w:t>
      </w:r>
      <w:r>
        <w:rPr>
          <w:rFonts w:ascii="Times New Roman PS Std;serif" w:hAnsi="Times New Roman PS Std;serif"/>
          <w:b w:val="false"/>
          <w:i w:val="false"/>
          <w:caps w:val="false"/>
          <w:smallCaps w:val="false"/>
          <w:sz w:val="20"/>
          <w:u w:val="single"/>
        </w:rPr>
        <w:t>Preparation of Proxy Statement/Prospectus and Registration Statement; Company Stockholder Meeting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 PS Std;serif" w:hAnsi="Times New Roman PS Std;serif"/>
          <w:b w:val="false"/>
          <w:i w:val="false"/>
          <w:caps w:val="false"/>
          <w:smallCaps w:val="false"/>
          <w:sz w:val="20"/>
          <w:u w:val="single"/>
        </w:rPr>
        <w:t>Company Stockholders Meeting</w:t>
      </w:r>
      <w:r>
        <w:rPr>
          <w:caps w:val="false"/>
          <w:smallCaps w:val="false"/>
        </w:rPr>
        <w:t>”</w:t>
      </w:r>
      <w:r>
        <w:rPr>
          <w:rFonts w:ascii="Times New Roman PS Std;serif" w:hAnsi="Times New Roman PS Std;serif"/>
          <w:b w:val="false"/>
          <w:i w:val="false"/>
          <w:caps w:val="false"/>
          <w:smallCaps w:val="false"/>
          <w:sz w:val="20"/>
        </w:rPr>
        <w:t>, and such proxy statement/prospectus, and any amendments or supplements thereto, the “</w:t>
      </w:r>
      <w:r>
        <w:rPr>
          <w:rFonts w:ascii="Times New Roman PS Std;serif" w:hAnsi="Times New Roman PS Std;serif"/>
          <w:b w:val="false"/>
          <w:i w:val="false"/>
          <w:caps w:val="false"/>
          <w:smallCaps w:val="false"/>
          <w:sz w:val="20"/>
          <w:u w:val="single"/>
        </w:rPr>
        <w:t>Proxy Statement/Prospectus</w:t>
      </w:r>
      <w:r>
        <w:rPr>
          <w:caps w:val="false"/>
          <w:smallCaps w:val="false"/>
        </w:rPr>
        <w:t>”</w:t>
      </w:r>
      <w:r>
        <w:rPr>
          <w:rFonts w:ascii="Times New Roman PS Std;serif" w:hAnsi="Times New Roman PS Std;serif"/>
          <w:b w:val="false"/>
          <w:i w:val="false"/>
          <w:caps w:val="false"/>
          <w:smallCaps w:val="false"/>
          <w:sz w:val="20"/>
        </w:rPr>
        <w:t>) and the registration statement on Form S-4 (and any amendment or supplement thereto) pursuant to which shares of Parent Common Stock issuable in the First Merger shall be registered with the SEC (the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 (ii) the recommendation of the Company Board to the holders of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this right of approval shall not apply with respect to documents filed by a party which are incorporated by reference in the Proxy Statement/Prospectus or the Registration Statement.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applicable Law, the Company Charter, and the Company Bylaws to establish a record date for, duly call, give notice of, convene and hold the Company Stockholders Meeting on or as promptly as reasonably practicable after August 20, 2026 (and in any event within forty-five (45) calendar days following the date that the Registration Statement has become effective for the purpose of obtaining the Required Company Vote;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and, to the extent required by the terms and conditions of this Agreement, the Company has paid or caused to be paid to Parent the Company Termination Fee in accordance with </w:t>
      </w:r>
      <w:r>
        <w:rPr>
          <w:rFonts w:ascii="Times New Roman PS Std;serif" w:hAnsi="Times New Roman PS Std;serif"/>
          <w:b w:val="false"/>
          <w:i w:val="false"/>
          <w:caps w:val="false"/>
          <w:smallCaps w:val="false"/>
          <w:sz w:val="20"/>
          <w:u w:val="single"/>
        </w:rPr>
        <w:t>Section 8.3</w:t>
      </w:r>
      <w:r>
        <w:rPr>
          <w:rFonts w:ascii="Times New Roman PS Std;serif" w:hAnsi="Times New Roman PS Std;serif"/>
          <w:b w:val="false"/>
          <w:i w:val="false"/>
          <w:caps w:val="false"/>
          <w:smallCaps w:val="false"/>
          <w:sz w:val="20"/>
        </w:rPr>
        <w:t xml:space="preserve">, its obligation to hold the Company Stockholders Meeting pursuant to this </w:t>
      </w:r>
      <w:r>
        <w:rPr>
          <w:rFonts w:ascii="Times New Roman PS Std;serif" w:hAnsi="Times New Roman PS Std;serif"/>
          <w:b w:val="false"/>
          <w:i w:val="false"/>
          <w:caps w:val="false"/>
          <w:smallCaps w:val="false"/>
          <w:sz w:val="20"/>
          <w:u w:val="single"/>
        </w:rPr>
        <w:t>Section 6.1(c)</w:t>
      </w:r>
      <w:r>
        <w:rPr>
          <w:caps w:val="false"/>
          <w:smallCaps w:val="false"/>
        </w:rPr>
        <w:t> </w:t>
      </w:r>
      <w:r>
        <w:rPr>
          <w:rFonts w:ascii="Times New Roman PS Std;serif" w:hAnsi="Times New Roman PS Std;serif"/>
          <w:b w:val="false"/>
          <w:i w:val="false"/>
          <w:caps w:val="false"/>
          <w:smallCaps w:val="false"/>
          <w:sz w:val="20"/>
        </w:rPr>
        <w:t xml:space="preserve">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provided that, unless agreed to in writing by Parent, (x) any such adjournment or postponement shall be for a period of no more than thirty five (35) days and (y) the Company shall only be permitted to effect one (1) such adjournment or postponement pursuant to clause (B) provided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6.2            </w:t>
      </w:r>
      <w:r>
        <w:rPr>
          <w:rFonts w:ascii="Times New Roman PS Std;serif" w:hAnsi="Times New Roman PS Std;serif"/>
          <w:b w:val="false"/>
          <w:i w:val="false"/>
          <w:caps w:val="false"/>
          <w:smallCaps w:val="false"/>
          <w:sz w:val="20"/>
          <w:u w:val="single"/>
        </w:rPr>
        <w:t>Access to Information; 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From the date hereof to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PS Std;serif" w:hAnsi="Times New Roman PS Std;serif"/>
          <w:b w:val="false"/>
          <w:i w:val="false"/>
          <w:caps w:val="false"/>
          <w:smallCaps w:val="false"/>
          <w:sz w:val="20"/>
          <w:u w:val="single"/>
        </w:rPr>
        <w:t>Sections 6.3)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Confidentiality Agreement, dated December 18, 2025, by and between Parent and the Company (the “</w:t>
      </w:r>
      <w:r>
        <w:rPr>
          <w:rFonts w:ascii="Times New Roman PS Std;serif" w:hAnsi="Times New Roman PS Std;serif"/>
          <w:b w:val="false"/>
          <w:i w:val="false"/>
          <w:caps w:val="false"/>
          <w:smallCaps w:val="false"/>
          <w:sz w:val="20"/>
          <w:u w:val="single"/>
        </w:rPr>
        <w:t>Confidentiality Agreement</w:t>
      </w:r>
      <w:r>
        <w:rPr>
          <w:caps w:val="false"/>
          <w:smallCaps w:val="false"/>
        </w:rPr>
        <w:t>”</w:t>
      </w:r>
      <w:r>
        <w:rPr>
          <w:rFonts w:ascii="Times New Roman PS Std;serif" w:hAnsi="Times New Roman PS Std;serif"/>
          <w:b w:val="false"/>
          <w:i w:val="false"/>
          <w:caps w:val="false"/>
          <w:smallCaps w:val="false"/>
          <w:sz w:val="20"/>
        </w:rPr>
        <w:t>) and the Clean Team Agreement, dated March 19, 2026, by and between Parent and the Company (the “</w:t>
      </w:r>
      <w:r>
        <w:rPr>
          <w:rFonts w:ascii="Times New Roman PS Std;serif" w:hAnsi="Times New Roman PS Std;serif"/>
          <w:b w:val="false"/>
          <w:i w:val="false"/>
          <w:caps w:val="false"/>
          <w:smallCaps w:val="false"/>
          <w:sz w:val="20"/>
          <w:u w:val="single"/>
        </w:rPr>
        <w:t>Clean Team Agreement</w:t>
      </w:r>
      <w:r>
        <w:rPr>
          <w:caps w:val="false"/>
          <w:smallCaps w:val="false"/>
        </w:rPr>
        <w:t>”</w:t>
      </w:r>
      <w:r>
        <w:rPr>
          <w:rFonts w:ascii="Times New Roman PS Std;serif" w:hAnsi="Times New Roman PS Std;serif"/>
          <w:b w:val="false"/>
          <w:i w:val="false"/>
          <w:caps w:val="false"/>
          <w:smallCaps w:val="false"/>
          <w:sz w:val="20"/>
        </w:rPr>
        <w:t xml:space="preserve">) shall each apply with respect to information furnished under this </w:t>
      </w:r>
      <w:r>
        <w:rPr>
          <w:rFonts w:ascii="Times New Roman PS Std;serif" w:hAnsi="Times New Roman PS Std;serif"/>
          <w:b w:val="false"/>
          <w:i w:val="false"/>
          <w:caps w:val="false"/>
          <w:smallCaps w:val="false"/>
          <w:sz w:val="20"/>
          <w:u w:val="single"/>
        </w:rPr>
        <w:t>Section 6.2</w:t>
      </w:r>
      <w:r>
        <w:rPr>
          <w:caps w:val="false"/>
          <w:smallCaps w:val="false"/>
        </w:rPr>
        <w:t xml:space="preserve"> </w:t>
      </w:r>
      <w:r>
        <w:rPr>
          <w:rFonts w:ascii="Times New Roman PS Std;serif" w:hAnsi="Times New Roman PS Std;serif"/>
          <w:b w:val="false"/>
          <w:i w:val="false"/>
          <w:caps w:val="false"/>
          <w:smallCaps w:val="false"/>
          <w:sz w:val="20"/>
        </w:rPr>
        <w:t>and shall each survive any termination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6.3            </w:t>
      </w:r>
      <w:r>
        <w:rPr>
          <w:rFonts w:ascii="Times New Roman PS Std;serif" w:hAnsi="Times New Roman PS Std;serif"/>
          <w:b w:val="false"/>
          <w:i w:val="false"/>
          <w:caps w:val="false"/>
          <w:smallCaps w:val="false"/>
          <w:sz w:val="20"/>
          <w:u w:val="single"/>
        </w:rPr>
        <w:t>Company Non-Solicitation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Except as expressly provided in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ml:space="preserve">, from and after the date of the Original Agreement until the Second Effective Time or, if earlier,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PS Std;serif" w:hAnsi="Times New Roman PS Std;serif"/>
          <w:b w:val="false"/>
          <w:i w:val="false"/>
          <w:caps w:val="false"/>
          <w:smallCaps w:val="false"/>
          <w:sz w:val="20"/>
          <w:u w:val="single"/>
        </w:rPr>
        <w:t>Change of Company Board Recommendation</w:t>
      </w:r>
      <w:r>
        <w:rPr>
          <w:caps w:val="false"/>
          <w:smallCaps w:val="false"/>
        </w:rPr>
        <w:t>”</w:t>
      </w:r>
      <w:r>
        <w:rPr>
          <w:rFonts w:ascii="Times New Roman PS Std;serif" w:hAnsi="Times New Roman PS Std;serif"/>
          <w:b w:val="false"/>
          <w:i w:val="false"/>
          <w:caps w:val="false"/>
          <w:smallCaps w:val="false"/>
          <w:sz w:val="20"/>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Notwithstanding anything to the contrary contained in </w:t>
      </w:r>
      <w:r>
        <w:rPr>
          <w:rFonts w:ascii="Times New Roman PS Std;serif" w:hAnsi="Times New Roman PS Std;serif"/>
          <w:b w:val="false"/>
          <w:i w:val="false"/>
          <w:caps w:val="false"/>
          <w:smallCaps w:val="false"/>
          <w:sz w:val="20"/>
          <w:u w:val="single"/>
        </w:rPr>
        <w:t>Section 6.3(a)</w:t>
      </w:r>
      <w:r>
        <w:rPr>
          <w:rFonts w:ascii="Times New Roman PS Std;serif" w:hAnsi="Times New Roman PS Std;serif"/>
          <w:b w:val="false"/>
          <w:i w:val="false"/>
          <w:caps w:val="false"/>
          <w:smallCaps w:val="false"/>
          <w:sz w:val="20"/>
        </w:rPr>
        <w:t xml:space="preserve">, if at any time following the date of the Original Agreement and prior to obtaining the Required Company Vote (i) the Company has received a bona fide unsolicited written Company Acquisition Proposal from a third party, (ii) the Company has not breached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 xml:space="preserve">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ml:space="preserve">. Such notice provided by the Company to Parent pursuant to this </w:t>
      </w:r>
      <w:r>
        <w:rPr>
          <w:rFonts w:ascii="Times New Roman PS Std;serif" w:hAnsi="Times New Roman PS Std;serif"/>
          <w:b w:val="false"/>
          <w:i w:val="false"/>
          <w:caps w:val="false"/>
          <w:smallCaps w:val="false"/>
          <w:sz w:val="20"/>
          <w:u w:val="single"/>
        </w:rPr>
        <w:t>Section 6.3(c)</w:t>
      </w:r>
      <w:r>
        <w:rPr>
          <w:caps w:val="false"/>
          <w:smallCaps w:val="false"/>
        </w:rPr>
        <w:t xml:space="preserve"> </w:t>
      </w:r>
      <w:r>
        <w:rPr>
          <w:rFonts w:ascii="Times New Roman PS Std;serif" w:hAnsi="Times New Roman PS Std;serif"/>
          <w:b w:val="false"/>
          <w:i w:val="false"/>
          <w:caps w:val="false"/>
          <w:smallCaps w:val="false"/>
          <w:sz w:val="20"/>
        </w:rPr>
        <w:t>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 PS Std;serif" w:hAnsi="Times New Roman PS Std;serif"/>
          <w:b w:val="false"/>
          <w:i w:val="false"/>
          <w:caps w:val="false"/>
          <w:smallCaps w:val="false"/>
          <w:sz w:val="20"/>
          <w:u w:val="single"/>
        </w:rPr>
        <w:t>Section 8.1</w:t>
      </w:r>
      <w:r>
        <w:rPr>
          <w:caps w:val="false"/>
          <w:smallCaps w:val="false"/>
        </w:rPr>
        <w:t xml:space="preserve"> </w:t>
      </w:r>
      <w:r>
        <w:rPr>
          <w:rFonts w:ascii="Times New Roman PS Std;serif" w:hAnsi="Times New Roman PS Std;serif"/>
          <w:b w:val="false"/>
          <w:i w:val="false"/>
          <w:caps w:val="false"/>
          <w:smallCaps w:val="false"/>
          <w:sz w:val="20"/>
        </w:rPr>
        <w:t>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Notwithstanding anything to the contrary contained in </w:t>
      </w:r>
      <w:r>
        <w:rPr>
          <w:rFonts w:ascii="Times New Roman PS Std;serif" w:hAnsi="Times New Roman PS Std;serif"/>
          <w:b w:val="false"/>
          <w:i w:val="false"/>
          <w:caps w:val="false"/>
          <w:smallCaps w:val="false"/>
          <w:sz w:val="20"/>
          <w:u w:val="single"/>
        </w:rPr>
        <w:t>Section 6.3(a)</w:t>
      </w:r>
      <w:r>
        <w:rPr>
          <w:rFonts w:ascii="Times New Roman PS Std;serif" w:hAnsi="Times New Roman PS Std;serif"/>
          <w:b w:val="false"/>
          <w:i w:val="false"/>
          <w:caps w:val="false"/>
          <w:smallCaps w:val="false"/>
          <w:sz w:val="20"/>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PS Std;serif" w:hAnsi="Times New Roman PS Std;serif"/>
          <w:b w:val="false"/>
          <w:i w:val="false"/>
          <w:caps w:val="false"/>
          <w:smallCaps w:val="false"/>
          <w:sz w:val="20"/>
          <w:u w:val="single"/>
        </w:rPr>
        <w:t>Section 6.3(d)</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6.3(e)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(e)         The Company shall not be entitled to effect a Change of Company Board Recommendation pursuant to </w:t>
      </w:r>
      <w:r>
        <w:rPr>
          <w:rFonts w:ascii="Times New Roman PS Std;serif" w:hAnsi="Times New Roman PS Std;serif"/>
          <w:b w:val="false"/>
          <w:i w:val="false"/>
          <w:caps w:val="false"/>
          <w:smallCaps w:val="false"/>
          <w:sz w:val="20"/>
          <w:u w:val="single"/>
        </w:rPr>
        <w:t>Section 6.3(d)</w:t>
      </w:r>
      <w:r>
        <w:rPr>
          <w:caps w:val="false"/>
          <w:smallCaps w:val="false"/>
        </w:rPr>
        <w:t xml:space="preserve"> </w:t>
      </w:r>
      <w:r>
        <w:rPr>
          <w:rFonts w:ascii="Times New Roman PS Std;serif" w:hAnsi="Times New Roman PS Std;serif"/>
          <w:b w:val="false"/>
          <w:i w:val="false"/>
          <w:caps w:val="false"/>
          <w:smallCaps w:val="false"/>
          <w:sz w:val="20"/>
        </w:rPr>
        <w:t>unless, in each case:</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the Company shall have provided to Parent at least five (5) Business Days’ prior written notice (the “</w:t>
      </w:r>
      <w:r>
        <w:rPr>
          <w:rFonts w:ascii="Times New Roman PS Std;serif" w:hAnsi="Times New Roman PS Std;serif"/>
          <w:b w:val="false"/>
          <w:i w:val="false"/>
          <w:caps w:val="false"/>
          <w:smallCaps w:val="false"/>
          <w:sz w:val="20"/>
          <w:u w:val="single"/>
        </w:rPr>
        <w:t>Company Notice Period</w:t>
      </w:r>
      <w:r>
        <w:rPr>
          <w:caps w:val="false"/>
          <w:smallCaps w:val="false"/>
        </w:rPr>
        <w:t>”</w:t>
      </w:r>
      <w:r>
        <w:rPr>
          <w:rFonts w:ascii="Times New Roman PS Std;serif" w:hAnsi="Times New Roman PS Std;serif"/>
          <w:b w:val="false"/>
          <w:i w:val="false"/>
          <w:caps w:val="false"/>
          <w:smallCaps w:val="false"/>
          <w:sz w:val="20"/>
        </w:rPr>
        <w:t xml:space="preserve">) of the Company’s intention to take such action, which notice shall include, (A) with respect to a Company Acquisition Proposal, the material terms and conditions of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(iii)        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PS Std;serif" w:hAnsi="Times New Roman PS Std;serif"/>
          <w:b w:val="false"/>
          <w:i w:val="false"/>
          <w:caps w:val="false"/>
          <w:smallCaps w:val="false"/>
          <w:sz w:val="20"/>
          <w:u w:val="single"/>
        </w:rPr>
        <w:t xml:space="preserve">Section 6.3 </w:t>
      </w:r>
      <w:r>
        <w:rPr>
          <w:rFonts w:ascii="Times New Roman PS Std;serif" w:hAnsi="Times New Roman PS Std;serif"/>
          <w:b w:val="false"/>
          <w:i w:val="false"/>
          <w:caps w:val="false"/>
          <w:smallCaps w:val="false"/>
          <w:sz w:val="20"/>
        </w:rPr>
        <w:t>would be inconsistent with its fiduciary duties under applicable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PS Std;serif" w:hAnsi="Times New Roman PS Std;serif"/>
          <w:b w:val="false"/>
          <w:i w:val="false"/>
          <w:caps w:val="false"/>
          <w:smallCaps w:val="false"/>
          <w:sz w:val="20"/>
          <w:u w:val="single"/>
        </w:rPr>
        <w:t>Section 6.3(e)</w:t>
      </w:r>
      <w:r>
        <w:rPr>
          <w:caps w:val="false"/>
          <w:smallCaps w:val="false"/>
        </w:rPr>
        <w:t xml:space="preserve"> </w:t>
      </w:r>
      <w:r>
        <w:rPr>
          <w:rFonts w:ascii="Times New Roman PS Std;serif" w:hAnsi="Times New Roman PS Std;serif"/>
          <w:b w:val="false"/>
          <w:i w:val="false"/>
          <w:caps w:val="false"/>
          <w:smallCaps w:val="false"/>
          <w:sz w:val="20"/>
        </w:rPr>
        <w:t>with respect to such new written notice, except that the Company Notice Period shall be three (3) Business Days with respect to any such revised Company Superior Proposal, but no such new written notice shall shorten the original Company Notice Period.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(f)          Notwithstanding a Change of Company Board Recommendation or any other provision of this Agreement to the contrary, unless this Agreement has been validly terminated pursuant to and in accordance with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the Company shall cause the transactions contemplated by this Agreement, including the Mergers, to be submitted to a vote of the stockholders of the Company at the Company Stockholders Meeting in order to obtain the Required Company Vote.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(g)         Nothing contained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shall prohibit the Company Board (or any duly authorized committee thereof) from (i) disclosing to the stockholders of the Company a position contemplated by Rule 14e-2(a) or Rule 14d-9 promulgated under the Exchange Act; or (ii) 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(h)         Any violation of the restrictions provided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 xml:space="preserve">by any Company Subsidiary or Company Representative, as applicable, shall be deemed to be a breach of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by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The Company agrees that it shall promptly inform the Company Representatives of the obligations undertaken in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xml:space="preserve">. Nothing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6.4         </w:t>
      </w:r>
      <w:r>
        <w:rPr>
          <w:rFonts w:ascii="Times New Roman PS Std;serif" w:hAnsi="Times New Roman PS Std;serif"/>
          <w:b w:val="false"/>
          <w:i w:val="false"/>
          <w:caps w:val="false"/>
          <w:smallCaps w:val="false"/>
          <w:sz w:val="20"/>
          <w:u w:val="single"/>
        </w:rPr>
        <w:t>Appropriate Action; Consents; Filings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 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Parent shall consider in good faith the views and comments of the Company and its outside counsel with respect to such communications and strategies.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PS Std;serif" w:hAnsi="Times New Roman PS Std;serif"/>
          <w:b w:val="false"/>
          <w:i w:val="false"/>
          <w:caps w:val="false"/>
          <w:smallCaps w:val="false"/>
          <w:sz w:val="20"/>
          <w:u w:val="single"/>
        </w:rPr>
        <w:t>Section 3.4</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3.5</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PS Std;serif" w:hAnsi="Times New Roman PS Std;serif"/>
          <w:b w:val="false"/>
          <w:i w:val="false"/>
          <w:caps w:val="false"/>
          <w:smallCaps w:val="false"/>
          <w:sz w:val="20"/>
          <w:u w:val="single"/>
        </w:rPr>
        <w:t>Section 6.4(b)</w:t>
      </w:r>
      <w:r>
        <w:rPr>
          <w:rFonts w:ascii="Times New Roman PS Std;serif" w:hAnsi="Times New Roman PS Std;serif"/>
          <w:b w:val="false"/>
          <w:i w:val="false"/>
          <w:caps w:val="false"/>
          <w:smallCaps w:val="false"/>
          <w:sz w:val="20"/>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Without limiting the generality of anything contained in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 xml:space="preserve">, and subject to </w:t>
      </w:r>
      <w:r>
        <w:rPr>
          <w:rFonts w:ascii="Times New Roman PS Std;serif" w:hAnsi="Times New Roman PS Std;serif"/>
          <w:b w:val="false"/>
          <w:i w:val="false"/>
          <w:caps w:val="false"/>
          <w:smallCaps w:val="false"/>
          <w:sz w:val="20"/>
          <w:u w:val="single"/>
        </w:rPr>
        <w:t>Section 6.6</w:t>
      </w:r>
      <w:r>
        <w:rPr>
          <w:rFonts w:ascii="Times New Roman PS Std;serif" w:hAnsi="Times New Roman PS Std;serif"/>
          <w:b w:val="false"/>
          <w:i w:val="false"/>
          <w:caps w:val="false"/>
          <w:smallCaps w:val="false"/>
          <w:sz w:val="20"/>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 (ii) otherwise prevent or materially delay the consummation of the Mergers or any of the other transactions contemplated by this Agreement.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6.5         </w:t>
      </w:r>
      <w:r>
        <w:rPr>
          <w:rFonts w:ascii="Times New Roman PS Std;serif" w:hAnsi="Times New Roman PS Std;serif"/>
          <w:b w:val="false"/>
          <w:i w:val="false"/>
          <w:caps w:val="false"/>
          <w:smallCaps w:val="false"/>
          <w:sz w:val="20"/>
          <w:u w:val="single"/>
        </w:rPr>
        <w:t>Certain Notices</w:t>
      </w:r>
      <w:r>
        <w:rPr>
          <w:rFonts w:ascii="Times New Roman PS Std;serif" w:hAnsi="Times New Roman PS Std;serif"/>
          <w:b w:val="false"/>
          <w:i w:val="false"/>
          <w:caps w:val="false"/>
          <w:smallCaps w:val="false"/>
          <w:sz w:val="20"/>
        </w:rPr>
        <w:t xml:space="preserve">. From and after the date of the Original Agreement until the earlier of the Second Effective Time or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delivery of any notice pursuant to this </w:t>
      </w:r>
      <w:r>
        <w:rPr>
          <w:rFonts w:ascii="Times New Roman PS Std;serif" w:hAnsi="Times New Roman PS Std;serif"/>
          <w:b w:val="false"/>
          <w:i w:val="false"/>
          <w:caps w:val="false"/>
          <w:smallCaps w:val="false"/>
          <w:sz w:val="20"/>
          <w:u w:val="single"/>
        </w:rPr>
        <w:t>Section 6.5</w:t>
      </w:r>
      <w:r>
        <w:rPr>
          <w:caps w:val="false"/>
          <w:smallCaps w:val="false"/>
        </w:rPr>
        <w:t xml:space="preserve"> </w:t>
      </w:r>
      <w:r>
        <w:rPr>
          <w:rFonts w:ascii="Times New Roman PS Std;serif" w:hAnsi="Times New Roman PS Std;serif"/>
          <w:b w:val="false"/>
          <w:i w:val="false"/>
          <w:caps w:val="false"/>
          <w:smallCaps w:val="false"/>
          <w:sz w:val="20"/>
        </w:rPr>
        <w:t xml:space="preserve">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PS Std;serif" w:hAnsi="Times New Roman PS Std;serif"/>
          <w:b w:val="false"/>
          <w:i w:val="false"/>
          <w:caps w:val="false"/>
          <w:smallCaps w:val="false"/>
          <w:sz w:val="20"/>
          <w:u w:val="single"/>
        </w:rPr>
        <w:t>Section 6.5</w:t>
      </w:r>
      <w:r>
        <w:rPr>
          <w:caps w:val="false"/>
          <w:smallCaps w:val="false"/>
        </w:rPr>
        <w:t xml:space="preserve"> </w:t>
      </w:r>
      <w:r>
        <w:rPr>
          <w:rFonts w:ascii="Times New Roman PS Std;serif" w:hAnsi="Times New Roman PS Std;serif"/>
          <w:b w:val="false"/>
          <w:i w:val="false"/>
          <w:caps w:val="false"/>
          <w:smallCaps w:val="false"/>
          <w:sz w:val="20"/>
        </w:rPr>
        <w:t xml:space="preserve">shall not affect any representation, warranty, covenant or agreement contained in this Agreement and any failure to make such notice (in and of itself) shall not be taken into account in determining whether the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or give rise to any right of termination set forth in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6.6         </w:t>
      </w:r>
      <w:r>
        <w:rPr>
          <w:rFonts w:ascii="Times New Roman PS Std;serif" w:hAnsi="Times New Roman PS Std;serif"/>
          <w:b w:val="false"/>
          <w:i w:val="false"/>
          <w:caps w:val="false"/>
          <w:smallCaps w:val="false"/>
          <w:sz w:val="20"/>
          <w:u w:val="single"/>
        </w:rPr>
        <w:t>Stockholder Litigation</w:t>
      </w:r>
      <w:r>
        <w:rPr>
          <w:rFonts w:ascii="Times New Roman PS Std;serif" w:hAnsi="Times New Roman PS Std;serif"/>
          <w:b w:val="false"/>
          <w:i w:val="false"/>
          <w:caps w:val="false"/>
          <w:smallCaps w:val="false"/>
          <w:sz w:val="20"/>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PS Std;serif" w:hAnsi="Times New Roman PS Std;serif"/>
          <w:b w:val="false"/>
          <w:i w:val="false"/>
          <w:caps w:val="false"/>
          <w:smallCaps w:val="false"/>
          <w:sz w:val="20"/>
          <w:u w:val="single"/>
        </w:rPr>
        <w:t>Company Transaction Litigation</w:t>
      </w:r>
      <w:r>
        <w:rPr>
          <w:caps w:val="false"/>
          <w:smallCaps w:val="false"/>
        </w:rPr>
        <w:t>”</w:t>
      </w:r>
      <w:r>
        <w:rPr>
          <w:rFonts w:ascii="Times New Roman PS Std;serif" w:hAnsi="Times New Roman PS Std;serif"/>
          <w:b w:val="false"/>
          <w:i w:val="false"/>
          <w:caps w:val="false"/>
          <w:smallCaps w:val="false"/>
          <w:sz w:val="20"/>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PS Std;serif" w:hAnsi="Times New Roman PS Std;serif"/>
          <w:b w:val="false"/>
          <w:i w:val="false"/>
          <w:caps w:val="false"/>
          <w:smallCaps w:val="false"/>
          <w:sz w:val="20"/>
          <w:u w:val="single"/>
        </w:rPr>
        <w:t>Section 6.6</w:t>
      </w:r>
      <w:r>
        <w:rPr>
          <w:rFonts w:ascii="Times New Roman PS Std;serif" w:hAnsi="Times New Roman PS Std;serif"/>
          <w:b w:val="false"/>
          <w:i w:val="false"/>
          <w:caps w:val="false"/>
          <w:smallCaps w:val="false"/>
          <w:sz w:val="20"/>
        </w:rPr>
        <w:t xml:space="preserve">, “participate” means that Parent will be kept apprised of proposed strategy and other significant decisions with respect to any such Company Transaction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6.7         </w:t>
      </w:r>
      <w:r>
        <w:rPr>
          <w:rFonts w:ascii="Times New Roman PS Std;serif" w:hAnsi="Times New Roman PS Std;serif"/>
          <w:b w:val="false"/>
          <w:i w:val="false"/>
          <w:caps w:val="false"/>
          <w:smallCaps w:val="false"/>
          <w:sz w:val="20"/>
          <w:u w:val="single"/>
        </w:rPr>
        <w:t>Public Announcements</w:t>
      </w:r>
      <w:r>
        <w:rPr>
          <w:rFonts w:ascii="Times New Roman PS Std;serif" w:hAnsi="Times New Roman PS Std;serif"/>
          <w:b w:val="false"/>
          <w:i w:val="false"/>
          <w:caps w:val="false"/>
          <w:smallCaps w:val="false"/>
          <w:sz w:val="20"/>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6.8         </w:t>
      </w:r>
      <w:r>
        <w:rPr>
          <w:rFonts w:ascii="Times New Roman PS Std;serif" w:hAnsi="Times New Roman PS Std;serif"/>
          <w:b w:val="false"/>
          <w:i w:val="false"/>
          <w:caps w:val="false"/>
          <w:smallCaps w:val="false"/>
          <w:sz w:val="20"/>
          <w:u w:val="single"/>
        </w:rPr>
        <w:t>Employee Benefit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(a)             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PS Std;serif" w:hAnsi="Times New Roman PS Std;serif"/>
          <w:b w:val="false"/>
          <w:i w:val="false"/>
          <w:caps w:val="false"/>
          <w:smallCaps w:val="false"/>
          <w:sz w:val="20"/>
          <w:u w:val="single"/>
        </w:rPr>
        <w:t>Section 6.8(a)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PS Std;serif" w:hAnsi="Times New Roman PS Std;serif"/>
          <w:b w:val="false"/>
          <w:i w:val="false"/>
          <w:caps w:val="false"/>
          <w:smallCaps w:val="false"/>
          <w:sz w:val="20"/>
          <w:u w:val="single"/>
        </w:rPr>
        <w:t>Section 6.8(a)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(taking into account such employee’s years of service as required pursuant to </w:t>
      </w:r>
      <w:r>
        <w:rPr>
          <w:rFonts w:ascii="Times New Roman PS Std;serif" w:hAnsi="Times New Roman PS Std;serif"/>
          <w:b w:val="false"/>
          <w:i w:val="false"/>
          <w:caps w:val="false"/>
          <w:smallCaps w:val="false"/>
          <w:sz w:val="20"/>
          <w:u w:val="single"/>
        </w:rPr>
        <w:t>Section 6.8(b)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 PS Std;serif" w:hAnsi="Times New Roman PS Std;serif"/>
          <w:b w:val="false"/>
          <w:i w:val="false"/>
          <w:caps w:val="false"/>
          <w:smallCaps w:val="false"/>
          <w:sz w:val="20"/>
          <w:u w:val="single"/>
        </w:rPr>
        <w:t>New Plans</w:t>
      </w:r>
      <w:r>
        <w:rPr>
          <w:caps w:val="false"/>
          <w:smallCaps w:val="false"/>
        </w:rPr>
        <w:t>”</w:t>
      </w:r>
      <w:r>
        <w:rPr>
          <w:rFonts w:ascii="Times New Roman PS Std;serif" w:hAnsi="Times New Roman PS Std;serif"/>
          <w:b w:val="false"/>
          <w:i w:val="false"/>
          <w:caps w:val="false"/>
          <w:smallCaps w:val="false"/>
          <w:sz w:val="20"/>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 PS Std;serif" w:hAnsi="Times New Roman PS Std;serif"/>
          <w:b w:val="false"/>
          <w:i w:val="false"/>
          <w:caps w:val="false"/>
          <w:smallCaps w:val="false"/>
          <w:sz w:val="20"/>
          <w:u w:val="single"/>
        </w:rPr>
        <w:t>Old Plans</w:t>
      </w:r>
      <w:r>
        <w:rPr>
          <w:caps w:val="false"/>
          <w:smallCaps w:val="false"/>
        </w:rPr>
        <w:t>”</w:t>
      </w:r>
      <w:r>
        <w:rPr>
          <w:rFonts w:ascii="Times New Roman PS Std;serif" w:hAnsi="Times New Roman PS Std;serif"/>
          <w:b w:val="false"/>
          <w:i w:val="false"/>
          <w:caps w:val="false"/>
          <w:smallCaps w:val="false"/>
          <w:sz w:val="20"/>
        </w:rPr>
        <w:t xml:space="preserve">),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such New Plan for purposes of satisfying all deductible and maximum out-of-pocket requirements applicable to such employee and his or her covered dependents for the applicable plan year as if such amounts had been paid in accordance with such New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PS Std;serif" w:hAnsi="Times New Roman PS Std;serif"/>
          <w:b w:val="false"/>
          <w:i w:val="false"/>
          <w:caps w:val="false"/>
          <w:smallCaps w:val="false"/>
          <w:sz w:val="20"/>
          <w:u w:val="single"/>
        </w:rPr>
        <w:t>Company 401(k) Plans</w:t>
      </w:r>
      <w:r>
        <w:rPr>
          <w:caps w:val="false"/>
          <w:smallCaps w:val="false"/>
        </w:rPr>
        <w:t>”</w:t>
      </w:r>
      <w:r>
        <w:rPr>
          <w:rFonts w:ascii="Times New Roman PS Std;serif" w:hAnsi="Times New Roman PS Std;serif"/>
          <w:b w:val="false"/>
          <w:i w:val="false"/>
          <w:caps w:val="false"/>
          <w:smallCaps w:val="false"/>
          <w:sz w:val="20"/>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PS Std;serif" w:hAnsi="Times New Roman PS Std;serif"/>
          <w:b w:val="false"/>
          <w:i w:val="false"/>
          <w:caps w:val="false"/>
          <w:smallCaps w:val="false"/>
          <w:sz w:val="20"/>
          <w:u w:val="single"/>
        </w:rPr>
        <w:t>Section 6.8(c)</w:t>
      </w:r>
      <w:r>
        <w:rPr>
          <w:caps w:val="false"/>
          <w:smallCaps w:val="false"/>
        </w:rPr>
        <w:t xml:space="preserve"> </w:t>
      </w:r>
      <w:r>
        <w:rPr>
          <w:rFonts w:ascii="Times New Roman PS Std;serif" w:hAnsi="Times New Roman PS Std;serif"/>
          <w:b w:val="false"/>
          <w:i w:val="false"/>
          <w:caps w:val="false"/>
          <w:smallCaps w:val="false"/>
          <w:sz w:val="20"/>
        </w:rPr>
        <w:t>(each such terminated Company 401(k) Plan, a “</w:t>
      </w:r>
      <w:r>
        <w:rPr>
          <w:rFonts w:ascii="Times New Roman PS Std;serif" w:hAnsi="Times New Roman PS Std;serif"/>
          <w:b w:val="false"/>
          <w:i w:val="false"/>
          <w:caps w:val="false"/>
          <w:smallCaps w:val="false"/>
          <w:sz w:val="20"/>
          <w:u w:val="single"/>
        </w:rPr>
        <w:t>Terminated Company 401(k) Plan</w:t>
      </w:r>
      <w:r>
        <w:rPr>
          <w:caps w:val="false"/>
          <w:smallCaps w:val="false"/>
        </w:rPr>
        <w:t>”</w:t>
      </w:r>
      <w:r>
        <w:rPr>
          <w:rFonts w:ascii="Times New Roman PS Std;serif" w:hAnsi="Times New Roman PS Std;serif"/>
          <w:b w:val="false"/>
          <w:i w:val="false"/>
          <w:caps w:val="false"/>
          <w:smallCaps w:val="false"/>
          <w:sz w:val="20"/>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w:t>
      </w:r>
      <w:r>
        <w:rPr>
          <w:caps w:val="false"/>
          <w:smallCaps w:val="false"/>
        </w:rPr>
        <w:t xml:space="preserve"> </w:t>
      </w:r>
      <w:r>
        <w:rPr>
          <w:rFonts w:ascii="Times New Roman PS Std;serif" w:hAnsi="Times New Roman PS Std;serif"/>
          <w:b w:val="false"/>
          <w:i w:val="false"/>
          <w:caps w:val="false"/>
          <w:smallCaps w:val="false"/>
          <w:sz w:val="20"/>
        </w:rPr>
        <w:t>under such Terminated Company 401(k) Plan, if elected by any such individuals.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(d)             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PS Std;serif" w:hAnsi="Times New Roman PS Std;serif"/>
          <w:b w:val="false"/>
          <w:i w:val="false"/>
          <w:caps w:val="false"/>
          <w:smallCaps w:val="false"/>
          <w:sz w:val="20"/>
          <w:u w:val="single"/>
        </w:rPr>
        <w:t xml:space="preserve">Section 6.8 </w:t>
      </w:r>
      <w:r>
        <w:rPr>
          <w:rFonts w:ascii="Times New Roman PS Std;serif" w:hAnsi="Times New Roman PS Std;serif"/>
          <w:b w:val="false"/>
          <w:i w:val="false"/>
          <w:caps w:val="false"/>
          <w:smallCaps w:val="false"/>
          <w:sz w:val="20"/>
        </w:rPr>
        <w:t xml:space="preserve">are solely for the benefit of the parties, and no Continuing Employee (including any beneficiary or dependent thereof) shall be regarded for any purpose as a third party beneficiary of this Agreement, and no provision of this </w:t>
      </w:r>
      <w:r>
        <w:rPr>
          <w:rFonts w:ascii="Times New Roman PS Std;serif" w:hAnsi="Times New Roman PS Std;serif"/>
          <w:b w:val="false"/>
          <w:i w:val="false"/>
          <w:caps w:val="false"/>
          <w:smallCaps w:val="false"/>
          <w:sz w:val="20"/>
          <w:u w:val="single"/>
        </w:rPr>
        <w:t>Section 6.8</w:t>
      </w:r>
      <w:r>
        <w:rPr>
          <w:caps w:val="false"/>
          <w:smallCaps w:val="false"/>
        </w:rPr>
        <w:t xml:space="preserve"> </w:t>
      </w:r>
      <w:r>
        <w:rPr>
          <w:rFonts w:ascii="Times New Roman PS Std;serif" w:hAnsi="Times New Roman PS Std;serif"/>
          <w:b w:val="false"/>
          <w:i w:val="false"/>
          <w:caps w:val="false"/>
          <w:smallCaps w:val="false"/>
          <w:sz w:val="20"/>
        </w:rPr>
        <w:t>shall create such rights in any such persons.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6.9         </w:t>
      </w:r>
      <w:r>
        <w:rPr>
          <w:rFonts w:ascii="Times New Roman PS Std;serif" w:hAnsi="Times New Roman PS Std;serif"/>
          <w:b w:val="false"/>
          <w:i w:val="false"/>
          <w:caps w:val="false"/>
          <w:smallCaps w:val="false"/>
          <w:sz w:val="20"/>
          <w:u w:val="single"/>
        </w:rPr>
        <w:t>Indemnification of Directors and Officers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 PS Std;serif" w:hAnsi="Times New Roman PS Std;serif"/>
          <w:b w:val="false"/>
          <w:i w:val="false"/>
          <w:caps w:val="false"/>
          <w:smallCaps w:val="false"/>
          <w:sz w:val="20"/>
          <w:u w:val="single"/>
        </w:rPr>
        <w:t>Covered Persons</w:t>
      </w:r>
      <w:r>
        <w:rPr>
          <w:caps w:val="false"/>
          <w:smallCaps w:val="false"/>
        </w:rPr>
        <w:t>”</w:t>
      </w:r>
      <w:r>
        <w:rPr>
          <w:rFonts w:ascii="Times New Roman PS Std;serif" w:hAnsi="Times New Roman PS Std;serif"/>
          <w:b w:val="false"/>
          <w:i w:val="false"/>
          <w:caps w:val="false"/>
          <w:smallCaps w:val="false"/>
          <w:sz w:val="20"/>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PS Std;serif" w:hAnsi="Times New Roman PS Std;serif"/>
          <w:b w:val="false"/>
          <w:i w:val="false"/>
          <w:caps w:val="false"/>
          <w:smallCaps w:val="false"/>
          <w:sz w:val="20"/>
          <w:u w:val="single"/>
        </w:rPr>
        <w:t>Section 6.9(a)</w:t>
      </w:r>
      <w:r>
        <w:rPr>
          <w:caps w:val="false"/>
          <w:smallCaps w:val="false"/>
        </w:rPr>
        <w:t xml:space="preserve"> </w:t>
      </w:r>
      <w:r>
        <w:rPr>
          <w:rFonts w:ascii="Times New Roman PS Std;serif" w:hAnsi="Times New Roman PS Std;serif"/>
          <w:b w:val="false"/>
          <w:i w:val="false"/>
          <w:caps w:val="false"/>
          <w:smallCaps w:val="false"/>
          <w:sz w:val="20"/>
        </w:rPr>
        <w:t xml:space="preserve">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PS Std;serif" w:hAnsi="Times New Roman PS Std;serif"/>
          <w:b w:val="false"/>
          <w:i w:val="false"/>
          <w:caps w:val="false"/>
          <w:smallCaps w:val="false"/>
          <w:sz w:val="20"/>
          <w:u w:val="single"/>
        </w:rPr>
        <w:t>Section 6.9(a)</w:t>
      </w:r>
      <w:r>
        <w:rPr>
          <w:rFonts w:ascii="Times New Roman PS Std;serif" w:hAnsi="Times New Roman PS Std;serif"/>
          <w:b w:val="false"/>
          <w:i w:val="false"/>
          <w:caps w:val="false"/>
          <w:smallCaps w:val="false"/>
          <w:sz w:val="20"/>
        </w:rPr>
        <w:t xml:space="preserve">. Notwithstanding anything herein to the contrary, if any Proceeding (whether arising before, at or after the First Effective Time) is made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against such persons with respect to matters subject to indemnification hereunder on or prior to the sixth anniversary of the Second Effective Time, the provisions of this </w:t>
      </w:r>
      <w:r>
        <w:rPr>
          <w:rFonts w:ascii="Times New Roman PS Std;serif" w:hAnsi="Times New Roman PS Std;serif"/>
          <w:b w:val="false"/>
          <w:i w:val="false"/>
          <w:caps w:val="false"/>
          <w:smallCaps w:val="false"/>
          <w:sz w:val="20"/>
          <w:u w:val="single"/>
        </w:rPr>
        <w:t>Section 6.9(a)</w:t>
      </w:r>
      <w:r>
        <w:rPr>
          <w:caps w:val="false"/>
          <w:smallCaps w:val="false"/>
        </w:rPr>
        <w:t xml:space="preserve"> </w:t>
      </w:r>
      <w:r>
        <w:rPr>
          <w:rFonts w:ascii="Times New Roman PS Std;serif" w:hAnsi="Times New Roman PS Std;serif"/>
          <w:b w:val="false"/>
          <w:i w:val="false"/>
          <w:caps w:val="false"/>
          <w:smallCaps w:val="false"/>
          <w:sz w:val="20"/>
        </w:rPr>
        <w:t>shall continue in effect until the final disposition of such Proceeding.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PS Std;serif" w:hAnsi="Times New Roman PS Std;serif"/>
          <w:b w:val="false"/>
          <w:i w:val="false"/>
          <w:caps w:val="false"/>
          <w:smallCaps w:val="false"/>
          <w:sz w:val="20"/>
          <w:u w:val="single"/>
        </w:rPr>
        <w:t>Section 6.9(b)</w:t>
      </w:r>
      <w:r>
        <w:rPr>
          <w:rFonts w:ascii="Times New Roman PS Std;serif" w:hAnsi="Times New Roman PS Std;serif"/>
          <w:b w:val="false"/>
          <w:i w:val="false"/>
          <w:caps w:val="false"/>
          <w:smallCaps w:val="false"/>
          <w:sz w:val="20"/>
        </w:rPr>
        <w:t>, unless such assumption occurs by operation of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the Surviving Corporation be required to expend pursuant to this </w:t>
      </w:r>
      <w:r>
        <w:rPr>
          <w:rFonts w:ascii="Times New Roman PS Std;serif" w:hAnsi="Times New Roman PS Std;serif"/>
          <w:b w:val="false"/>
          <w:i w:val="false"/>
          <w:caps w:val="false"/>
          <w:smallCaps w:val="false"/>
          <w:sz w:val="20"/>
          <w:u w:val="single"/>
        </w:rPr>
        <w:t>Section 6.9(c)</w:t>
      </w:r>
      <w:r>
        <w:rPr>
          <w:caps w:val="false"/>
          <w:smallCaps w:val="false"/>
        </w:rPr>
        <w:t xml:space="preserve"> </w:t>
      </w:r>
      <w:r>
        <w:rPr>
          <w:rFonts w:ascii="Times New Roman PS Std;serif" w:hAnsi="Times New Roman PS Std;serif"/>
          <w:b w:val="false"/>
          <w:i w:val="false"/>
          <w:caps w:val="false"/>
          <w:smallCaps w:val="false"/>
          <w:sz w:val="20"/>
        </w:rPr>
        <w:t>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Following the Second Effective Time, the obligations under this </w:t>
      </w:r>
      <w:r>
        <w:rPr>
          <w:rFonts w:ascii="Times New Roman PS Std;serif" w:hAnsi="Times New Roman PS Std;serif"/>
          <w:b w:val="false"/>
          <w:i w:val="false"/>
          <w:caps w:val="false"/>
          <w:smallCaps w:val="false"/>
          <w:sz w:val="20"/>
          <w:u w:val="single"/>
        </w:rPr>
        <w:t>Section 6.9</w:t>
      </w:r>
      <w:r>
        <w:rPr>
          <w:caps w:val="false"/>
          <w:smallCaps w:val="false"/>
        </w:rPr>
        <w:t xml:space="preserve"> </w:t>
      </w:r>
      <w:r>
        <w:rPr>
          <w:rFonts w:ascii="Times New Roman PS Std;serif" w:hAnsi="Times New Roman PS Std;serif"/>
          <w:b w:val="false"/>
          <w:i w:val="false"/>
          <w:caps w:val="false"/>
          <w:smallCaps w:val="false"/>
          <w:sz w:val="20"/>
        </w:rPr>
        <w:t xml:space="preserve">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PS Std;serif" w:hAnsi="Times New Roman PS Std;serif"/>
          <w:b w:val="false"/>
          <w:i w:val="false"/>
          <w:caps w:val="false"/>
          <w:smallCaps w:val="false"/>
          <w:sz w:val="20"/>
          <w:u w:val="single"/>
        </w:rPr>
        <w:t>Section 6.9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6.10          </w:t>
      </w:r>
      <w:r>
        <w:rPr>
          <w:rFonts w:ascii="Times New Roman PS Std;serif" w:hAnsi="Times New Roman PS Std;serif"/>
          <w:b w:val="false"/>
          <w:i w:val="false"/>
          <w:caps w:val="false"/>
          <w:smallCaps w:val="false"/>
          <w:sz w:val="20"/>
          <w:u w:val="single"/>
        </w:rPr>
        <w:t>Section 16 Matters</w:t>
      </w:r>
      <w:r>
        <w:rPr>
          <w:rFonts w:ascii="Times New Roman PS Std;serif" w:hAnsi="Times New Roman PS Std;serif"/>
          <w:b w:val="false"/>
          <w:i w:val="false"/>
          <w:caps w:val="false"/>
          <w:smallCaps w:val="false"/>
          <w:sz w:val="20"/>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6.11       </w:t>
      </w:r>
      <w:r>
        <w:rPr>
          <w:rFonts w:ascii="Times New Roman PS Std;serif" w:hAnsi="Times New Roman PS Std;serif"/>
          <w:b w:val="false"/>
          <w:i w:val="false"/>
          <w:caps w:val="false"/>
          <w:smallCaps w:val="false"/>
          <w:sz w:val="20"/>
          <w:u w:val="single"/>
        </w:rPr>
        <w:t>Listing Matters</w:t>
      </w:r>
      <w:r>
        <w:rPr>
          <w:rFonts w:ascii="Times New Roman PS Std;serif" w:hAnsi="Times New Roman PS Std;serif"/>
          <w:b w:val="false"/>
          <w:i w:val="false"/>
          <w:caps w:val="false"/>
          <w:smallCaps w:val="false"/>
          <w:sz w:val="20"/>
        </w:rPr>
        <w:t xml:space="preserve">. The Company and Parent shall cause the Company’s securities to be de-listed from the Nasdaq and de-registered under the Exchange Act as promptly as practicable following the Second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that</w:t>
      </w:r>
      <w:r>
        <w:rPr>
          <w:caps w:val="false"/>
          <w:smallCaps w:val="false"/>
        </w:rPr>
        <w:t xml:space="preserve"> </w:t>
      </w:r>
      <w:r>
        <w:rPr>
          <w:rFonts w:ascii="Times New Roman PS Std;serif" w:hAnsi="Times New Roman PS Std;serif"/>
          <w:b w:val="false"/>
          <w:i w:val="false"/>
          <w:caps w:val="false"/>
          <w:smallCaps w:val="false"/>
          <w:sz w:val="20"/>
        </w:rPr>
        <w:t xml:space="preserve">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6.12       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6.13       </w:t>
      </w:r>
      <w:r>
        <w:rPr>
          <w:rFonts w:ascii="Times New Roman PS Std;serif" w:hAnsi="Times New Roman PS Std;serif"/>
          <w:b w:val="false"/>
          <w:i w:val="false"/>
          <w:caps w:val="false"/>
          <w:smallCaps w:val="false"/>
          <w:sz w:val="20"/>
          <w:u w:val="single"/>
        </w:rPr>
        <w:t>Tax Benefits Preservation Plan</w:t>
      </w:r>
      <w:r>
        <w:rPr>
          <w:rFonts w:ascii="Times New Roman PS Std;serif" w:hAnsi="Times New Roman PS Std;serif"/>
          <w:b w:val="false"/>
          <w:i w:val="false"/>
          <w:caps w:val="false"/>
          <w:smallCaps w:val="false"/>
          <w:sz w:val="20"/>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6.14       </w:t>
      </w:r>
      <w:r>
        <w:rPr>
          <w:rFonts w:ascii="Times New Roman PS Std;serif" w:hAnsi="Times New Roman PS Std;serif"/>
          <w:b w:val="false"/>
          <w:i w:val="false"/>
          <w:caps w:val="false"/>
          <w:smallCaps w:val="false"/>
          <w:sz w:val="20"/>
          <w:u w:val="single"/>
        </w:rPr>
        <w:t>Cooperation as to Integration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From and after the date hereof until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(subject to the limitations contained therein), in connection with planning for the integration of the business operations, systems, processes and personnel of Parent and the Company (collectively, “</w:t>
      </w:r>
      <w:r>
        <w:rPr>
          <w:rFonts w:ascii="Times New Roman PS Std;serif" w:hAnsi="Times New Roman PS Std;serif"/>
          <w:b w:val="false"/>
          <w:i w:val="false"/>
          <w:caps w:val="false"/>
          <w:smallCaps w:val="false"/>
          <w:sz w:val="20"/>
          <w:u w:val="single"/>
        </w:rPr>
        <w:t>Integration Planning Activities</w:t>
      </w:r>
      <w:r>
        <w:rPr>
          <w:caps w:val="false"/>
          <w:smallCaps w:val="false"/>
        </w:rPr>
        <w:t>”</w:t>
      </w:r>
      <w:r>
        <w:rPr>
          <w:rFonts w:ascii="Times New Roman PS Std;serif" w:hAnsi="Times New Roman PS Std;serif"/>
          <w:b w:val="false"/>
          <w:i w:val="false"/>
          <w:caps w:val="false"/>
          <w:smallCaps w:val="false"/>
          <w:sz w:val="20"/>
        </w:rPr>
        <w:t xml:space="preserve">), in each case, subject to the proviso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and applicable Law (including Regulatory Laws and Privacy and Security Laws).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In furtherance of the Integration Planning Activities contemplated by </w:t>
      </w:r>
      <w:r>
        <w:rPr>
          <w:rFonts w:ascii="Times New Roman PS Std;serif" w:hAnsi="Times New Roman PS Std;serif"/>
          <w:b w:val="false"/>
          <w:i w:val="false"/>
          <w:caps w:val="false"/>
          <w:smallCaps w:val="false"/>
          <w:sz w:val="20"/>
          <w:u w:val="single"/>
        </w:rPr>
        <w:t>Section 6.14(a)</w:t>
      </w:r>
      <w:r>
        <w:rPr>
          <w:rFonts w:ascii="Times New Roman PS Std;serif" w:hAnsi="Times New Roman PS Std;serif"/>
          <w:b w:val="false"/>
          <w:i w:val="false"/>
          <w:caps w:val="false"/>
          <w:smallCaps w:val="false"/>
          <w:sz w:val="20"/>
        </w:rPr>
        <w:t xml:space="preserve">, and subject to the proviso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PS Std;serif" w:hAnsi="Times New Roman PS Std;serif"/>
          <w:b w:val="false"/>
          <w:i w:val="false"/>
          <w:caps w:val="false"/>
          <w:smallCaps w:val="false"/>
          <w:sz w:val="20"/>
          <w:u w:val="single"/>
        </w:rPr>
        <w:t>Section 6.14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 PS Std;serif" w:hAnsi="Times New Roman PS Std;serif"/>
          <w:b w:val="false"/>
          <w:i w:val="false"/>
          <w:caps w:val="false"/>
          <w:smallCaps w:val="false"/>
          <w:sz w:val="20"/>
          <w:u w:val="single"/>
        </w:rPr>
        <w:t>Section 6.14(c)</w:t>
      </w:r>
      <w:r>
        <w:rPr>
          <w:caps w:val="false"/>
          <w:smallCaps w:val="false"/>
        </w:rPr>
        <w:t xml:space="preserve"> </w:t>
      </w:r>
      <w:r>
        <w:rPr>
          <w:rFonts w:ascii="Times New Roman PS Std;serif" w:hAnsi="Times New Roman PS Std;serif"/>
          <w:b w:val="false"/>
          <w:i w:val="false"/>
          <w:caps w:val="false"/>
          <w:smallCaps w:val="false"/>
          <w:sz w:val="20"/>
        </w:rPr>
        <w:t>unless the Company or such Company Subsidiary shall have received Parent’s prior written consent to engage such third party service provider prior to the commencement of any such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 PS Std;serif" w:hAnsi="Times New Roman PS Std;serif"/>
          <w:b w:val="false"/>
          <w:i w:val="false"/>
          <w:caps w:val="false"/>
          <w:smallCaps w:val="false"/>
          <w:sz w:val="20"/>
          <w:u w:val="single"/>
        </w:rPr>
        <w:t>Section 6.14</w:t>
      </w:r>
      <w:r>
        <w:rPr>
          <w:caps w:val="false"/>
          <w:smallCaps w:val="false"/>
        </w:rPr>
        <w:t xml:space="preserve"> </w:t>
      </w:r>
      <w:r>
        <w:rPr>
          <w:rFonts w:ascii="Times New Roman PS Std;serif" w:hAnsi="Times New Roman PS Std;serif"/>
          <w:b w:val="false"/>
          <w:i w:val="false"/>
          <w:caps w:val="false"/>
          <w:smallCaps w:val="false"/>
          <w:sz w:val="20"/>
        </w:rPr>
        <w:t>shall be construed to permit Parent to, directly or indirectly, control or direct the operations of the Company or any Company Subsidiary prior to the First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6.15       </w:t>
      </w:r>
      <w:r>
        <w:rPr>
          <w:rFonts w:ascii="Times New Roman PS Std;serif" w:hAnsi="Times New Roman PS Std;serif"/>
          <w:b w:val="false"/>
          <w:i w:val="false"/>
          <w:caps w:val="false"/>
          <w:smallCaps w:val="false"/>
          <w:sz w:val="20"/>
          <w:u w:val="single"/>
        </w:rPr>
        <w:t>Repayment of 2026 Notes; Note Restructuring Transactions</w:t>
      </w:r>
      <w:r>
        <w:rPr>
          <w:rFonts w:ascii="Times New Roman PS Std;serif" w:hAnsi="Times New Roman PS Std;serif"/>
          <w:b w:val="false"/>
          <w:i w:val="false"/>
          <w:caps w:val="false"/>
          <w:smallCaps w:val="false"/>
          <w:sz w:val="20"/>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6.16       </w:t>
      </w:r>
      <w:r>
        <w:rPr>
          <w:rFonts w:ascii="Times New Roman PS Std;serif" w:hAnsi="Times New Roman PS Std;serif"/>
          <w:b w:val="false"/>
          <w:i w:val="false"/>
          <w:caps w:val="false"/>
          <w:smallCaps w:val="false"/>
          <w:sz w:val="20"/>
          <w:u w:val="single"/>
        </w:rPr>
        <w:t>Director Resignations</w:t>
      </w:r>
      <w:r>
        <w:rPr>
          <w:rFonts w:ascii="Times New Roman PS Std;serif" w:hAnsi="Times New Roman PS Std;serif"/>
          <w:b w:val="false"/>
          <w:i w:val="false"/>
          <w:caps w:val="false"/>
          <w:smallCaps w:val="false"/>
          <w:sz w:val="20"/>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7</w:t>
      </w:r>
      <w:r>
        <w:rPr>
          <w:rFonts w:ascii="Times New Roman PS Std;serif" w:hAnsi="Times New Roman PS Std;serif"/>
          <w:b/>
          <w:i w:val="false"/>
          <w:caps/>
          <w:sz w:val="20"/>
        </w:rPr>
        <w:br/>
        <w:t>Conditions to Consummation of 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7.1         </w:t>
      </w:r>
      <w:r>
        <w:rPr>
          <w:rFonts w:ascii="Times New Roman PS Std;serif" w:hAnsi="Times New Roman PS Std;serif"/>
          <w:b w:val="false"/>
          <w:i w:val="false"/>
          <w:caps w:val="false"/>
          <w:smallCaps w:val="false"/>
          <w:sz w:val="20"/>
          <w:u w:val="single"/>
        </w:rPr>
        <w:t>Conditions to Obligations of Each Party Under This Agreement</w:t>
      </w:r>
      <w:r>
        <w:rPr>
          <w:rFonts w:ascii="Times New Roman PS Std;serif" w:hAnsi="Times New Roman PS Std;serif"/>
          <w:b w:val="false"/>
          <w:i w:val="false"/>
          <w:caps w:val="false"/>
          <w:smallCaps w:val="false"/>
          <w:sz w:val="20"/>
        </w:rPr>
        <w:t>. The respective obligations of each party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Company Stockholder Approval</w:t>
      </w:r>
      <w:r>
        <w:rPr>
          <w:rFonts w:ascii="Times New Roman PS Std;serif" w:hAnsi="Times New Roman PS Std;serif"/>
          <w:b w:val="false"/>
          <w:i w:val="false"/>
          <w:caps w:val="false"/>
          <w:smallCaps w:val="false"/>
          <w:sz w:val="20"/>
        </w:rPr>
        <w:t>:</w:t>
      </w:r>
      <w:r>
        <w:rPr/>
        <w:t xml:space="preserve"> </w:t>
      </w:r>
      <w:r>
        <w:rPr>
          <w:rFonts w:ascii="Times New Roman PS Std;serif" w:hAnsi="Times New Roman PS Std;serif"/>
          <w:b w:val="false"/>
          <w:i w:val="false"/>
          <w:caps w:val="false"/>
          <w:smallCaps w:val="false"/>
          <w:sz w:val="20"/>
        </w:rPr>
        <w:t>The Company shall have obtained the Required Company Vote at the Company Stockholders Meeting (as such meeting may have been adjourned or postponed in accordance with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No Injunctions or Restraints</w:t>
      </w:r>
      <w:r>
        <w:rPr>
          <w:rFonts w:ascii="Times New Roman PS Std;serif" w:hAnsi="Times New Roman PS Std;serif"/>
          <w:b w:val="false"/>
          <w:i w:val="false"/>
          <w:caps w:val="false"/>
          <w:smallCaps w:val="false"/>
          <w:sz w:val="20"/>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 PS Std;serif" w:hAnsi="Times New Roman PS Std;serif"/>
          <w:b w:val="false"/>
          <w:i w:val="false"/>
          <w:caps w:val="false"/>
          <w:smallCaps w:val="false"/>
          <w:sz w:val="20"/>
          <w:u w:val="single"/>
        </w:rPr>
        <w:t>Legal Impediment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Regulatory Law</w:t>
      </w:r>
      <w:r>
        <w:rPr>
          <w:rFonts w:ascii="Times New Roman PS Std;serif" w:hAnsi="Times New Roman PS Std;serif"/>
          <w:b w:val="false"/>
          <w:i w:val="false"/>
          <w:caps w:val="false"/>
          <w:smallCaps w:val="false"/>
          <w:sz w:val="20"/>
        </w:rPr>
        <w:t xml:space="preserve">: Any required consents, authorizations, approvals, orders, filings and declarations required to be obtained prior to the consummation of the Mergers pursuant to a Regulatory Law in any jurisdiction set forth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shall have been filed, occurred or been obtained (or any applicable waiting period thereunder shall have expired or been terminated), as applicable;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Exchange Listing</w:t>
      </w:r>
      <w:r>
        <w:rPr>
          <w:rFonts w:ascii="Times New Roman PS Std;serif" w:hAnsi="Times New Roman PS Std;serif"/>
          <w:b w:val="false"/>
          <w:i w:val="false"/>
          <w:caps w:val="false"/>
          <w:smallCaps w:val="false"/>
          <w:sz w:val="20"/>
        </w:rPr>
        <w:t>: The shares of Parent Common Stock to be issued in the Mergers shall have been authorized and approved for listing on the Nasdaq, subject to official notice of issuance;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The Registration Statement shall have been declared effective by the SEC under the Securities Act and shall not be the subject of any stop order.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7.2            </w:t>
      </w:r>
      <w:r>
        <w:rPr>
          <w:rFonts w:ascii="Times New Roman PS Std;serif" w:hAnsi="Times New Roman PS Std;serif"/>
          <w:b w:val="false"/>
          <w:i w:val="false"/>
          <w:caps w:val="false"/>
          <w:smallCaps w:val="false"/>
          <w:sz w:val="20"/>
          <w:u w:val="single"/>
        </w:rPr>
        <w:t>Additional Conditions to Obligations of Parent and the Merger Subs</w:t>
      </w:r>
      <w:r>
        <w:rPr>
          <w:rFonts w:ascii="Times New Roman PS Std;serif" w:hAnsi="Times New Roman PS Std;serif"/>
          <w:b w:val="false"/>
          <w:i w:val="false"/>
          <w:caps w:val="false"/>
          <w:smallCaps w:val="false"/>
          <w:sz w:val="20"/>
        </w:rPr>
        <w:t>. The respective obligations of each Parent Party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 of the Company</w:t>
      </w:r>
      <w:r>
        <w:rPr>
          <w:rFonts w:ascii="Times New Roman PS Std;serif" w:hAnsi="Times New Roman PS Std;serif"/>
          <w:b w:val="false"/>
          <w:i w:val="false"/>
          <w:caps w:val="false"/>
          <w:smallCaps w:val="false"/>
          <w:sz w:val="20"/>
        </w:rPr>
        <w:t xml:space="preserve">: (i) The representations and warranties of the Company contained in </w:t>
      </w:r>
      <w:r>
        <w:rPr>
          <w:rFonts w:ascii="Times New Roman PS Std;serif" w:hAnsi="Times New Roman PS Std;serif"/>
          <w:b w:val="false"/>
          <w:i w:val="false"/>
          <w:caps w:val="false"/>
          <w:smallCaps w:val="false"/>
          <w:sz w:val="20"/>
          <w:u w:val="single"/>
        </w:rPr>
        <w:t>Section 3.2</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respects as of the date this Agreement and as of the Closing Date with the same force and effect as if made on and as of such date (or, in the case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of such representations and warranties that address matters only as of a particular date or time, as of such date or time), except for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inaccuracies, (ii) the representations and warranties of the Company contained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 PS Std;serif" w:hAnsi="Times New Roman PS Std;serif"/>
          <w:b w:val="false"/>
          <w:i w:val="false"/>
          <w:caps w:val="false"/>
          <w:smallCaps w:val="false"/>
          <w:sz w:val="20"/>
          <w:u w:val="single"/>
        </w:rPr>
        <w:t>Section 3.21</w:t>
      </w:r>
      <w:r>
        <w:rPr>
          <w:rFonts w:ascii="Times New Roman PS Std;serif" w:hAnsi="Times New Roman PS Std;serif"/>
          <w:b w:val="false"/>
          <w:i w:val="false"/>
          <w:caps w:val="false"/>
          <w:smallCaps w:val="false"/>
          <w:sz w:val="20"/>
        </w:rPr>
        <w:t xml:space="preserve">) or as of the date of this Agreement (with respect to </w:t>
      </w:r>
      <w:r>
        <w:rPr>
          <w:rFonts w:ascii="Times New Roman PS Std;serif" w:hAnsi="Times New Roman PS Std;serif"/>
          <w:b w:val="false"/>
          <w:i w:val="false"/>
          <w:caps w:val="false"/>
          <w:smallCaps w:val="false"/>
          <w:sz w:val="20"/>
          <w:u w:val="single"/>
        </w:rPr>
        <w:t>Sections 3.1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3.23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3.26</w:t>
      </w:r>
      <w:r>
        <w:rPr>
          <w:rFonts w:ascii="Times New Roman PS Std;serif" w:hAnsi="Times New Roman PS Std;serif"/>
          <w:b w:val="false"/>
          <w:i w:val="false"/>
          <w:caps w:val="false"/>
          <w:smallCaps w:val="false"/>
          <w:sz w:val="20"/>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PS Std;serif" w:hAnsi="Times New Roman PS Std;serif"/>
          <w:b w:val="false"/>
          <w:i w:val="false"/>
          <w:caps w:val="false"/>
          <w:smallCaps w:val="false"/>
          <w:sz w:val="20"/>
          <w:u w:val="single"/>
        </w:rPr>
        <w:t>Section 3.8(b)</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PS Std;serif" w:hAnsi="Times New Roman PS Std;serif"/>
          <w:b w:val="false"/>
          <w:i w:val="false"/>
          <w:caps w:val="false"/>
          <w:smallCaps w:val="false"/>
          <w:sz w:val="20"/>
          <w:u w:val="single"/>
        </w:rPr>
        <w:t>Article 3</w:t>
      </w:r>
      <w:r>
        <w:rPr>
          <w:caps w:val="false"/>
          <w:smallCaps w:val="false"/>
        </w:rPr>
        <w:t xml:space="preserve"> </w:t>
      </w:r>
      <w:r>
        <w:rPr>
          <w:rFonts w:ascii="Times New Roman PS Std;serif" w:hAnsi="Times New Roman PS Std;serif"/>
          <w:b w:val="false"/>
          <w:i w:val="false"/>
          <w:caps w:val="false"/>
          <w:smallCaps w:val="false"/>
          <w:sz w:val="20"/>
        </w:rPr>
        <w:t>(except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Company</w:t>
      </w:r>
      <w:r>
        <w:rPr>
          <w:rFonts w:ascii="Times New Roman PS Std;serif" w:hAnsi="Times New Roman PS Std;serif"/>
          <w:b w:val="false"/>
          <w:i w:val="false"/>
          <w:caps w:val="false"/>
          <w:smallCaps w:val="false"/>
          <w:sz w:val="20"/>
        </w:rPr>
        <w:t>: The Company shall have performed or complied in all material respects with all covenants and agreements to be performed or complied with by it under this Agreement at or prior to the Closing;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Material Adverse Effect</w:t>
      </w:r>
      <w:r>
        <w:rPr>
          <w:rFonts w:ascii="Times New Roman PS Std;serif" w:hAnsi="Times New Roman PS Std;serif"/>
          <w:b w:val="false"/>
          <w:i w:val="false"/>
          <w:caps w:val="false"/>
          <w:smallCaps w:val="false"/>
          <w:sz w:val="20"/>
        </w:rPr>
        <w:t>: Since the date of the Original Agreement, no Company Material Adverse Effect shall have occurred;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Certificate</w:t>
      </w:r>
      <w:r>
        <w:rPr>
          <w:rFonts w:ascii="Times New Roman PS Std;serif" w:hAnsi="Times New Roman PS Std;serif"/>
          <w:b w:val="false"/>
          <w:i w:val="false"/>
          <w:caps w:val="false"/>
          <w:smallCaps w:val="false"/>
          <w:sz w:val="20"/>
        </w:rPr>
        <w:t xml:space="preserve">: The Company shall have delivered to Parent a certificate, dated as of the Closing Date and signed by an executive officer of the Company, certifying that the conditions provided in </w:t>
      </w:r>
      <w:r>
        <w:rPr>
          <w:rFonts w:ascii="Times New Roman PS Std;serif" w:hAnsi="Times New Roman PS Std;serif"/>
          <w:b w:val="false"/>
          <w:i w:val="false"/>
          <w:caps w:val="false"/>
          <w:smallCaps w:val="false"/>
          <w:sz w:val="20"/>
          <w:u w:val="single"/>
        </w:rPr>
        <w:t>Section 7.2(a)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7.2(c)</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FIRPTA Certificate</w:t>
      </w:r>
      <w:r>
        <w:rPr>
          <w:rFonts w:ascii="Times New Roman PS Std;serif" w:hAnsi="Times New Roman PS Std;serif"/>
          <w:b w:val="false"/>
          <w:i w:val="false"/>
          <w:caps w:val="false"/>
          <w:smallCaps w:val="false"/>
          <w:sz w:val="20"/>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Notes Restructuring Transactions</w:t>
      </w:r>
      <w:r>
        <w:rPr>
          <w:rFonts w:ascii="Times New Roman PS Std;serif" w:hAnsi="Times New Roman PS Std;serif"/>
          <w:b w:val="false"/>
          <w:i w:val="false"/>
          <w:caps w:val="false"/>
          <w:smallCaps w:val="false"/>
          <w:sz w:val="20"/>
        </w:rPr>
        <w:t>: The Notes Restructuring Transactions shall have been consummated in accordance with the Notes Restructuring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7.3         </w:t>
      </w:r>
      <w:r>
        <w:rPr>
          <w:rFonts w:ascii="Times New Roman PS Std;serif" w:hAnsi="Times New Roman PS Std;serif"/>
          <w:b w:val="false"/>
          <w:i w:val="false"/>
          <w:caps w:val="false"/>
          <w:smallCaps w:val="false"/>
          <w:sz w:val="20"/>
          <w:u w:val="single"/>
        </w:rPr>
        <w:t>Additional Conditions to Obligations of the Company</w:t>
      </w:r>
      <w:r>
        <w:rPr>
          <w:rFonts w:ascii="Times New Roman PS Std;serif" w:hAnsi="Times New Roman PS Std;serif"/>
          <w:b w:val="false"/>
          <w:i w:val="false"/>
          <w:caps w:val="false"/>
          <w:smallCaps w:val="false"/>
          <w:sz w:val="20"/>
        </w:rPr>
        <w:t>. The obligations of the Company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 of the Parent Parties</w:t>
      </w:r>
      <w:r>
        <w:rPr>
          <w:rFonts w:ascii="Times New Roman PS Std;serif" w:hAnsi="Times New Roman PS Std;serif"/>
          <w:b w:val="false"/>
          <w:i w:val="false"/>
          <w:caps w:val="false"/>
          <w:smallCaps w:val="false"/>
          <w:sz w:val="20"/>
        </w:rPr>
        <w:t xml:space="preserve">: (i) Any representation or warranty of the Parent Parties contained in </w:t>
      </w:r>
      <w:r>
        <w:rPr>
          <w:rFonts w:ascii="Times New Roman PS Std;serif" w:hAnsi="Times New Roman PS Std;serif"/>
          <w:b w:val="false"/>
          <w:i w:val="false"/>
          <w:caps w:val="false"/>
          <w:smallCaps w:val="false"/>
          <w:sz w:val="20"/>
          <w:u w:val="single"/>
        </w:rPr>
        <w:t>Section 4.1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4.2</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4.10</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PS Std;serif" w:hAnsi="Times New Roman PS Std;serif"/>
          <w:b w:val="false"/>
          <w:i w:val="false"/>
          <w:caps w:val="false"/>
          <w:smallCaps w:val="false"/>
          <w:sz w:val="20"/>
          <w:u w:val="single"/>
        </w:rPr>
        <w:t>Article 4</w:t>
      </w:r>
      <w:r>
        <w:rPr>
          <w:caps w:val="false"/>
          <w:smallCaps w:val="false"/>
        </w:rPr>
        <w:t xml:space="preserve"> </w:t>
      </w:r>
      <w:r>
        <w:rPr>
          <w:rFonts w:ascii="Times New Roman PS Std;serif" w:hAnsi="Times New Roman PS Std;serif"/>
          <w:b w:val="false"/>
          <w:i w:val="false"/>
          <w:caps w:val="false"/>
          <w:smallCaps w:val="false"/>
          <w:sz w:val="20"/>
        </w:rPr>
        <w:t xml:space="preserve">(except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 PS Std;serif" w:hAnsi="Times New Roman PS Std;serif"/>
          <w:b w:val="false"/>
          <w:i w:val="false"/>
          <w:caps w:val="false"/>
          <w:smallCaps w:val="false"/>
          <w:sz w:val="20"/>
          <w:u w:val="single"/>
        </w:rPr>
        <w:t>Sections 4.3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 xml:space="preserve">4.7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4.8</w:t>
      </w:r>
      <w:r>
        <w:rPr>
          <w:rFonts w:ascii="Times New Roman PS Std;serif" w:hAnsi="Times New Roman PS Std;serif"/>
          <w:b w:val="false"/>
          <w:i w:val="false"/>
          <w:caps w:val="false"/>
          <w:smallCaps w:val="false"/>
          <w:sz w:val="20"/>
        </w:rPr>
        <w:t xml:space="preserve">) or as of the date of this Agreement (with respect to </w:t>
      </w:r>
      <w:r>
        <w:rPr>
          <w:rFonts w:ascii="Times New Roman PS Std;serif" w:hAnsi="Times New Roman PS Std;serif"/>
          <w:b w:val="false"/>
          <w:i w:val="false"/>
          <w:caps w:val="false"/>
          <w:smallCaps w:val="false"/>
          <w:sz w:val="20"/>
          <w:u w:val="single"/>
        </w:rPr>
        <w:t>Sections 4.3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 xml:space="preserve">4.7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4.8</w:t>
      </w:r>
      <w:r>
        <w:rPr>
          <w:rFonts w:ascii="Times New Roman PS Std;serif" w:hAnsi="Times New Roman PS Std;serif"/>
          <w:b w:val="false"/>
          <w:i w:val="false"/>
          <w:caps w:val="false"/>
          <w:smallCaps w:val="false"/>
          <w:sz w:val="20"/>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Parent Parties</w:t>
      </w:r>
      <w:r>
        <w:rPr>
          <w:rFonts w:ascii="Times New Roman PS Std;serif" w:hAnsi="Times New Roman PS Std;serif"/>
          <w:b w:val="false"/>
          <w:i w:val="false"/>
          <w:caps w:val="false"/>
          <w:smallCaps w:val="false"/>
          <w:sz w:val="20"/>
        </w:rPr>
        <w:t>: The Parent Parties shall have performed or complied in all material respects with all covenants and agreements to be performed or complied with by them under this Agreement at or prior to the Closing;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Certificate</w:t>
      </w:r>
      <w:r>
        <w:rPr>
          <w:rFonts w:ascii="Times New Roman PS Std;serif" w:hAnsi="Times New Roman PS Std;serif"/>
          <w:b w:val="false"/>
          <w:i w:val="false"/>
          <w:caps w:val="false"/>
          <w:smallCaps w:val="false"/>
          <w:sz w:val="20"/>
        </w:rPr>
        <w:t xml:space="preserve">: The Parent shall have delivered to the Company a certificate, dated as of the Closing Date and signed by an executive officer of Parent, certifying that the conditions provided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8</w:t>
      </w:r>
      <w:r>
        <w:rPr>
          <w:rFonts w:ascii="Times New Roman PS Std;serif" w:hAnsi="Times New Roman PS Std;serif"/>
          <w:b/>
          <w:i w:val="false"/>
          <w:caps/>
          <w:sz w:val="20"/>
        </w:rPr>
        <w:br/>
        <w:t>Termination, Amendment and Waiver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This Agreement may be terminated prior to the First Effective Time, and the Mergers and the other transactions contemplated hereby may be abandoned: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Mutual Consent</w:t>
      </w:r>
      <w:r>
        <w:rPr>
          <w:rFonts w:ascii="Times New Roman PS Std;serif" w:hAnsi="Times New Roman PS Std;serif"/>
          <w:b w:val="false"/>
          <w:i w:val="false"/>
          <w:caps w:val="false"/>
          <w:smallCaps w:val="false"/>
          <w:sz w:val="20"/>
        </w:rPr>
        <w:t>: By mutual written consent of Parent and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Outside Date</w:t>
      </w:r>
      <w:r>
        <w:rPr>
          <w:rFonts w:ascii="Times New Roman PS Std;serif" w:hAnsi="Times New Roman PS Std;serif"/>
          <w:b w:val="false"/>
          <w:i w:val="false"/>
          <w:caps w:val="false"/>
          <w:smallCaps w:val="false"/>
          <w:sz w:val="20"/>
        </w:rPr>
        <w:t>: By either the Company or Parent if the First Effective Time shall not have occurred on or before October 21, 2026 (the “</w:t>
      </w:r>
      <w:r>
        <w:rPr>
          <w:rFonts w:ascii="Times New Roman PS Std;serif" w:hAnsi="Times New Roman PS Std;serif"/>
          <w:b w:val="false"/>
          <w:i w:val="false"/>
          <w:caps w:val="false"/>
          <w:smallCaps w:val="false"/>
          <w:sz w:val="20"/>
          <w:u w:val="single"/>
        </w:rPr>
        <w:t>Initial Outside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if on the Initial Outside Date the conditions set forth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 xml:space="preserve">(to the extent related to the Regulatory Laws set forth in </w:t>
      </w:r>
      <w:r>
        <w:rPr>
          <w:rFonts w:ascii="Times New Roman PS Std;serif" w:hAnsi="Times New Roman PS Std;serif"/>
          <w:b w:val="false"/>
          <w:i w:val="false"/>
          <w:caps w:val="false"/>
          <w:smallCaps w:val="false"/>
          <w:sz w:val="20"/>
          <w:u w:val="single"/>
        </w:rPr>
        <w:t>Section 7.1(c)</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 xml:space="preserve">shall not be satisfied, but all other conditions to the Closing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 PS Std;serif" w:hAnsi="Times New Roman PS Std;serif"/>
          <w:b w:val="false"/>
          <w:i w:val="false"/>
          <w:caps w:val="false"/>
          <w:smallCaps w:val="false"/>
          <w:sz w:val="20"/>
          <w:u w:val="single"/>
        </w:rPr>
        <w:t>Extended Outside Date</w:t>
      </w:r>
      <w:r>
        <w:rPr>
          <w:caps w:val="false"/>
          <w:smallCaps w:val="false"/>
        </w:rPr>
        <w:t xml:space="preserve">” </w:t>
      </w:r>
      <w:r>
        <w:rPr>
          <w:rFonts w:ascii="Times New Roman PS Std;serif" w:hAnsi="Times New Roman PS Std;serif"/>
          <w:b w:val="false"/>
          <w:i w:val="false"/>
          <w:caps w:val="false"/>
          <w:smallCaps w:val="false"/>
          <w:sz w:val="20"/>
        </w:rPr>
        <w:t>and together with the Initial Outside Date, the “</w:t>
      </w:r>
      <w:r>
        <w:rPr>
          <w:rFonts w:ascii="Times New Roman PS Std;serif" w:hAnsi="Times New Roman PS Std;serif"/>
          <w:b w:val="false"/>
          <w:i w:val="false"/>
          <w:caps w:val="false"/>
          <w:smallCaps w:val="false"/>
          <w:sz w:val="20"/>
          <w:u w:val="single"/>
        </w:rPr>
        <w:t>Outside Date</w:t>
      </w:r>
      <w:r>
        <w:rPr>
          <w:caps w:val="false"/>
          <w:smallCaps w:val="false"/>
        </w:rPr>
        <w:t>”</w:t>
      </w:r>
      <w:r>
        <w:rPr>
          <w:rFonts w:ascii="Times New Roman PS Std;serif" w:hAnsi="Times New Roman PS Std;serif"/>
          <w:b w:val="false"/>
          <w:i w:val="false"/>
          <w:caps w:val="false"/>
          <w:smallCaps w:val="false"/>
          <w:sz w:val="20"/>
        </w:rPr>
        <w:t xml:space="preserve">) unless Parent and the Company mutually agree in writing to an earlier Extended Outside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the right to terminate this Agreement under this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the failure of the First Effective Time to occur shall be deemed to include any failure of the Second Effective Time to occur within one (1) hour following the First Effective Time;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Legal Impediment</w:t>
      </w:r>
      <w:r>
        <w:rPr>
          <w:rFonts w:ascii="Times New Roman PS Std;serif" w:hAnsi="Times New Roman PS Std;serif"/>
          <w:b w:val="false"/>
          <w:i w:val="false"/>
          <w:caps w:val="false"/>
          <w:smallCaps w:val="false"/>
          <w:sz w:val="20"/>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at the Outside Date;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right to terminate this Agreement pursuant to this </w:t>
      </w:r>
      <w:r>
        <w:rPr>
          <w:rFonts w:ascii="Times New Roman PS Std;serif" w:hAnsi="Times New Roman PS Std;serif"/>
          <w:b w:val="false"/>
          <w:i w:val="false"/>
          <w:caps w:val="false"/>
          <w:smallCaps w:val="false"/>
          <w:sz w:val="20"/>
          <w:u w:val="single"/>
        </w:rPr>
        <w:t>Section 8.1(c)</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whose material breach of any of its obligations under this Agreement is the primary cause of, or resulted in, the issuance of such Legal Impediment;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Required Company Vote</w:t>
      </w:r>
      <w:r>
        <w:rPr>
          <w:rFonts w:ascii="Times New Roman PS Std;serif" w:hAnsi="Times New Roman PS Std;serif"/>
          <w:b w:val="false"/>
          <w:i w:val="false"/>
          <w:caps w:val="false"/>
          <w:smallCaps w:val="false"/>
          <w:sz w:val="20"/>
        </w:rPr>
        <w:t>: By either the Company or Parent, if the Required Company Vote shall not have been obtained upon a vote taken thereon at the Company Stockholders Meeting (as such meeting may have been adjourned or postponed in accordance with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Change of Company Board Recommendation</w:t>
      </w:r>
      <w:r>
        <w:rPr>
          <w:rFonts w:ascii="Times New Roman PS Std;serif" w:hAnsi="Times New Roman PS Std;serif"/>
          <w:b w:val="false"/>
          <w:i w:val="false"/>
          <w:caps w:val="false"/>
          <w:smallCaps w:val="false"/>
          <w:sz w:val="20"/>
        </w:rPr>
        <w:t xml:space="preserve">: By Parent, if (i) the Company Board shall have effected a Change of Company Board Recommendation or (ii) the Company shall have materially breached its obligations under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Company Superior Proposal</w:t>
      </w:r>
      <w:r>
        <w:rPr>
          <w:rFonts w:ascii="Times New Roman PS Std;serif" w:hAnsi="Times New Roman PS Std;serif"/>
          <w:b w:val="false"/>
          <w:i w:val="false"/>
          <w:caps w:val="false"/>
          <w:smallCaps w:val="false"/>
          <w:sz w:val="20"/>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and (ii) substantially concurrently with or prior to (and as a condition to) the termination of this Agreement, the Company pays to Parent the Company Termination Fee;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Company Breach</w:t>
      </w:r>
      <w:r>
        <w:rPr>
          <w:rFonts w:ascii="Times New Roman PS Std;serif" w:hAnsi="Times New Roman PS Std;serif"/>
          <w:b w:val="false"/>
          <w:i w:val="false"/>
          <w:caps w:val="false"/>
          <w:smallCaps w:val="false"/>
          <w:sz w:val="20"/>
        </w:rPr>
        <w:t xml:space="preserve">: By Parent, if: (i) there has been a breach by the Company of its representations, warranties or covenants contained in this Agreement such that any condition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prior to the Outside Date or otherwise is not cured in a manner sufficient to allow satisfaction of the conditions set forth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by the earlier of (x) the Business Day prior to the applicable Outside Date or (y) thirty (30) days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following the date of delivery of such written notice to the Company;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Parent may not terminate this Agreement pursuant to this </w:t>
      </w:r>
      <w:r>
        <w:rPr>
          <w:rFonts w:ascii="Times New Roman PS Std;serif" w:hAnsi="Times New Roman PS Std;serif"/>
          <w:b w:val="false"/>
          <w:i w:val="false"/>
          <w:caps w:val="false"/>
          <w:smallCaps w:val="false"/>
          <w:sz w:val="20"/>
          <w:u w:val="single"/>
        </w:rPr>
        <w:t>Section 8.1(g)</w:t>
      </w:r>
      <w:r>
        <w:rPr>
          <w:caps w:val="false"/>
          <w:smallCaps w:val="false"/>
        </w:rPr>
        <w:t xml:space="preserve"> </w:t>
      </w:r>
      <w:r>
        <w:rPr>
          <w:rFonts w:ascii="Times New Roman PS Std;serif" w:hAnsi="Times New Roman PS Std;serif"/>
          <w:b w:val="false"/>
          <w:i w:val="false"/>
          <w:caps w:val="false"/>
          <w:smallCaps w:val="false"/>
          <w:sz w:val="20"/>
        </w:rPr>
        <w:t xml:space="preserve">if Parent is then in material breach of any representation, warranty, covenant or agreement set forth in this Agreement that would result in the failure of any condition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Parent Breach</w:t>
      </w:r>
      <w:r>
        <w:rPr>
          <w:rFonts w:ascii="Times New Roman PS Std;serif" w:hAnsi="Times New Roman PS Std;serif"/>
          <w:b w:val="false"/>
          <w:i w:val="false"/>
          <w:caps w:val="false"/>
          <w:smallCaps w:val="false"/>
          <w:sz w:val="20"/>
        </w:rPr>
        <w:t xml:space="preserve">: By the Company, if: (i) there has been a breach by any Parent Party of any of their representations, warranties or covenants contained in this Agreement such that any condition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prior to the Outside Date or otherwise is not cured in a manner sufficient to allow satisfaction of the conditions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by the earlier of (x) the Business Day prior to the applicable Outside Date or (y) at least thirty (30) days following the date of delivery of such written notice to Parent;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may not terminate this Agreement pursuant to this </w:t>
      </w:r>
      <w:r>
        <w:rPr>
          <w:rFonts w:ascii="Times New Roman PS Std;serif" w:hAnsi="Times New Roman PS Std;serif"/>
          <w:b w:val="false"/>
          <w:i w:val="false"/>
          <w:caps w:val="false"/>
          <w:smallCaps w:val="false"/>
          <w:sz w:val="20"/>
          <w:u w:val="single"/>
        </w:rPr>
        <w:t>Section 8.1(h)</w:t>
      </w:r>
      <w:r>
        <w:rPr>
          <w:caps w:val="false"/>
          <w:smallCaps w:val="false"/>
        </w:rPr>
        <w:t xml:space="preserve"> </w:t>
      </w:r>
      <w:r>
        <w:rPr>
          <w:rFonts w:ascii="Times New Roman PS Std;serif" w:hAnsi="Times New Roman PS Std;serif"/>
          <w:b w:val="false"/>
          <w:i w:val="false"/>
          <w:caps w:val="false"/>
          <w:smallCaps w:val="false"/>
          <w:sz w:val="20"/>
        </w:rPr>
        <w:t xml:space="preserve">if the Company is then in material breach of any representation, warranty, covenant or agreement set forth in this Agreement that would result in the failure of any condition set forth in </w:t>
      </w:r>
      <w:r>
        <w:rPr>
          <w:rFonts w:ascii="Times New Roman PS Std;serif" w:hAnsi="Times New Roman PS Std;serif"/>
          <w:b w:val="false"/>
          <w:i w:val="false"/>
          <w:caps w:val="false"/>
          <w:smallCaps w:val="false"/>
          <w:sz w:val="20"/>
          <w:u w:val="single"/>
        </w:rPr>
        <w:t>Section 7.2(a)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7.2(c)</w:t>
      </w:r>
      <w:r>
        <w:rPr>
          <w:caps w:val="false"/>
          <w:smallCaps w:val="false"/>
        </w:rPr>
        <w:t xml:space="preserve"> </w:t>
      </w:r>
      <w:r>
        <w:rPr>
          <w:rFonts w:ascii="Times New Roman PS Std;serif" w:hAnsi="Times New Roman PS Std;serif"/>
          <w:b w:val="false"/>
          <w:i w:val="false"/>
          <w:caps w:val="false"/>
          <w:smallCaps w:val="false"/>
          <w:sz w:val="20"/>
        </w:rPr>
        <w:t>to be satisfied.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Notes Restructuring Agreement</w:t>
      </w:r>
      <w:r>
        <w:rPr>
          <w:rFonts w:ascii="Times New Roman PS Std;serif" w:hAnsi="Times New Roman PS Std;serif"/>
          <w:b w:val="false"/>
          <w:i w:val="false"/>
          <w:caps w:val="false"/>
          <w:smallCaps w:val="false"/>
          <w:sz w:val="20"/>
        </w:rPr>
        <w:t xml:space="preserve">: By Parent, if the Notes Restructuring Agreement is terminated for any reason;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Parent may not terminate this Agreement pursuant to this </w:t>
      </w:r>
      <w:r>
        <w:rPr>
          <w:rFonts w:ascii="Times New Roman PS Std;serif" w:hAnsi="Times New Roman PS Std;serif"/>
          <w:b w:val="false"/>
          <w:i w:val="false"/>
          <w:caps w:val="false"/>
          <w:smallCaps w:val="false"/>
          <w:sz w:val="20"/>
          <w:u w:val="single"/>
        </w:rPr>
        <w:t>Section 8.1(i)</w:t>
      </w:r>
      <w:r>
        <w:rPr>
          <w:caps w:val="false"/>
          <w:smallCaps w:val="false"/>
        </w:rPr>
        <w:t xml:space="preserve"> </w:t>
      </w:r>
      <w:r>
        <w:rPr>
          <w:rFonts w:ascii="Times New Roman PS Std;serif" w:hAnsi="Times New Roman PS Std;serif"/>
          <w:b w:val="false"/>
          <w:i w:val="false"/>
          <w:caps w:val="false"/>
          <w:smallCaps w:val="false"/>
          <w:sz w:val="20"/>
        </w:rPr>
        <w:t>if such termination of the Notes Restructuring Agreement primarily results from Parent’s material breach of the provisions thereof.</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In the event of the valid termination of this Agreement by either the Company or Parent as provided in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PS Std;serif" w:hAnsi="Times New Roman PS Std;serif"/>
          <w:b w:val="false"/>
          <w:i w:val="false"/>
          <w:caps w:val="false"/>
          <w:smallCaps w:val="false"/>
          <w:sz w:val="20"/>
          <w:u w:val="single"/>
        </w:rPr>
        <w:t>Section 6.2(a)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xml:space="preserve">, this </w:t>
      </w:r>
      <w:r>
        <w:rPr>
          <w:rFonts w:ascii="Times New Roman PS Std;serif" w:hAnsi="Times New Roman PS Std;serif"/>
          <w:b w:val="false"/>
          <w:i w:val="false"/>
          <w:caps w:val="false"/>
          <w:smallCaps w:val="false"/>
          <w:sz w:val="20"/>
          <w:u w:val="single"/>
        </w:rPr>
        <w:t>Section 8.2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9</w:t>
      </w:r>
      <w:r>
        <w:rPr>
          <w:rFonts w:ascii="Times New Roman PS Std;serif" w:hAnsi="Times New Roman PS Std;serif"/>
          <w:b w:val="false"/>
          <w:i w:val="false"/>
          <w:caps w:val="false"/>
          <w:smallCaps w:val="false"/>
          <w:sz w:val="20"/>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w:t>
      </w:r>
      <w:r>
        <w:rPr>
          <w:caps w:val="false"/>
          <w:smallCaps w:val="false"/>
        </w:rPr>
        <w:t xml:space="preserve"> </w:t>
      </w:r>
      <w:r>
        <w:rPr>
          <w:rFonts w:ascii="Times New Roman PS Std;serif" w:hAnsi="Times New Roman PS Std;serif"/>
          <w:b w:val="false"/>
          <w:i w:val="false"/>
          <w:caps w:val="false"/>
          <w:smallCaps w:val="false"/>
          <w:sz w:val="20"/>
        </w:rPr>
        <w:t>No termination of this Agreement shall affect the obligations of the parties contained in the Confidentiality Agreement or the Clean Team Agreement, all of which obligations shall survive the termination of this Agreement in accordance with their terms.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8.3         </w:t>
      </w:r>
      <w:r>
        <w:rPr>
          <w:rFonts w:ascii="Times New Roman PS Std;serif" w:hAnsi="Times New Roman PS Std;serif"/>
          <w:b w:val="false"/>
          <w:i w:val="false"/>
          <w:caps w:val="false"/>
          <w:smallCaps w:val="false"/>
          <w:sz w:val="20"/>
          <w:u w:val="single"/>
        </w:rPr>
        <w:t>Company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If this Agreement is terminated by Parent pursuant to </w:t>
      </w:r>
      <w:r>
        <w:rPr>
          <w:rFonts w:ascii="Times New Roman PS Std;serif" w:hAnsi="Times New Roman PS Std;serif"/>
          <w:b w:val="false"/>
          <w:i w:val="false"/>
          <w:caps w:val="false"/>
          <w:smallCaps w:val="false"/>
          <w:sz w:val="20"/>
          <w:u w:val="single"/>
        </w:rPr>
        <w:t>Section 8.1(e)</w:t>
      </w:r>
      <w:r>
        <w:rPr>
          <w:rFonts w:ascii="Times New Roman PS Std;serif" w:hAnsi="Times New Roman PS Std;serif"/>
          <w:b w:val="false"/>
          <w:i w:val="false"/>
          <w:caps w:val="false"/>
          <w:smallCaps w:val="false"/>
          <w:sz w:val="20"/>
        </w:rPr>
        <w:t xml:space="preserve">, or by either the Company or Parent pursuant to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at a time when Parent would have been entitled to terminate this Agreement pursuant to </w:t>
      </w:r>
      <w:r>
        <w:rPr>
          <w:rFonts w:ascii="Times New Roman PS Std;serif" w:hAnsi="Times New Roman PS Std;serif"/>
          <w:b w:val="false"/>
          <w:i w:val="false"/>
          <w:caps w:val="false"/>
          <w:smallCaps w:val="false"/>
          <w:sz w:val="20"/>
          <w:u w:val="single"/>
        </w:rPr>
        <w:t>Section 8.1(e)</w:t>
      </w:r>
      <w:r>
        <w:rPr>
          <w:rFonts w:ascii="Times New Roman PS Std;serif" w:hAnsi="Times New Roman PS Std;serif"/>
          <w:b w:val="false"/>
          <w:i w:val="false"/>
          <w:caps w:val="false"/>
          <w:smallCaps w:val="false"/>
          <w:sz w:val="20"/>
        </w:rPr>
        <w:t>, then the Company shall pay, or cause to be paid, to Parent on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following such termination a termination fee equal to (i) $5,000,000, </w:t>
      </w:r>
      <w:r>
        <w:rPr>
          <w:rFonts w:ascii="Times New Roman PS Std;serif" w:hAnsi="Times New Roman PS Std;serif"/>
          <w:b w:val="false"/>
          <w:i/>
          <w:sz w:val="20"/>
        </w:rPr>
        <w:t>plus</w:t>
      </w:r>
      <w:r>
        <w:rPr>
          <w:caps w:val="false"/>
          <w:smallCaps w:val="false"/>
        </w:rPr>
        <w:t xml:space="preserve"> </w:t>
      </w:r>
      <w:r>
        <w:rPr>
          <w:rFonts w:ascii="Times New Roman PS Std;serif" w:hAnsi="Times New Roman PS Std;serif"/>
          <w:b w:val="false"/>
          <w:i w:val="false"/>
          <w:caps w:val="false"/>
          <w:smallCaps w:val="false"/>
          <w:sz w:val="20"/>
        </w:rPr>
        <w:t>(ii) an amount equal to Parent’s documented Expenses incurred prior to (and including) the date of the termination of this Agreement (the “</w:t>
      </w:r>
      <w:r>
        <w:rPr>
          <w:rFonts w:ascii="Times New Roman PS Std;serif" w:hAnsi="Times New Roman PS Std;serif"/>
          <w:b w:val="false"/>
          <w:i w:val="false"/>
          <w:caps w:val="false"/>
          <w:smallCaps w:val="false"/>
          <w:sz w:val="20"/>
          <w:u w:val="single"/>
        </w:rPr>
        <w:t>Company Termination Fee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If this Agreement is terminated by the Company pursuant to </w:t>
      </w:r>
      <w:r>
        <w:rPr>
          <w:rFonts w:ascii="Times New Roman PS Std;serif" w:hAnsi="Times New Roman PS Std;serif"/>
          <w:b w:val="false"/>
          <w:i w:val="false"/>
          <w:caps w:val="false"/>
          <w:smallCaps w:val="false"/>
          <w:sz w:val="20"/>
          <w:u w:val="single"/>
        </w:rPr>
        <w:t>Section 8.1(f)</w:t>
      </w:r>
      <w:r>
        <w:rPr>
          <w:rFonts w:ascii="Times New Roman PS Std;serif" w:hAnsi="Times New Roman PS Std;serif"/>
          <w:b w:val="false"/>
          <w:i w:val="false"/>
          <w:caps w:val="false"/>
          <w:smallCaps w:val="false"/>
          <w:sz w:val="20"/>
        </w:rPr>
        <w:t>, then the Company shall pay, or cause to be paid, to Parent the Company Termination Fee substantially concurrently with or prior to (and as a condition to) such termination.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this Agreement is terminated (x) by the Company or Parent pursuant to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and, at the time of such termination, all of the conditions to Closing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(other than conditions that by their nature can only be satisfied on the Closing Date) or waived by Parent, Merger Sub I, Merger Sub II or the Company, as applicable, other than the condition set forth in </w:t>
      </w:r>
      <w:r>
        <w:rPr>
          <w:rFonts w:ascii="Times New Roman PS Std;serif" w:hAnsi="Times New Roman PS Std;serif"/>
          <w:b w:val="false"/>
          <w:i w:val="false"/>
          <w:caps w:val="false"/>
          <w:smallCaps w:val="false"/>
          <w:sz w:val="20"/>
          <w:u w:val="single"/>
        </w:rPr>
        <w:t>Section 7.2(f)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failure of such condition to be satisfied did not primarily result from Parent’s material breach of the provisions of the Notes Restructuring Agreement, or (y) by Parent pursuant to </w:t>
      </w:r>
      <w:r>
        <w:rPr>
          <w:rFonts w:ascii="Times New Roman PS Std;serif" w:hAnsi="Times New Roman PS Std;serif"/>
          <w:b w:val="false"/>
          <w:i w:val="false"/>
          <w:caps w:val="false"/>
          <w:smallCaps w:val="false"/>
          <w:sz w:val="20"/>
          <w:u w:val="single"/>
        </w:rPr>
        <w:t>Section 8.1(i)</w:t>
      </w:r>
      <w:r>
        <w:rPr>
          <w:rFonts w:ascii="Times New Roman PS Std;serif" w:hAnsi="Times New Roman PS Std;serif"/>
          <w:b w:val="false"/>
          <w:i w:val="false"/>
          <w:caps w:val="false"/>
          <w:smallCaps w:val="false"/>
          <w:sz w:val="20"/>
        </w:rPr>
        <w:t>, then the Company shall pay, or cause to be paid, to Parent the Company Termination Fee, no later than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following such termination;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anything in this Agreement to the contrary, solely for purposes of the Company’s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obligation to pay or cause to be paid to Parent the Company Termination Fee pursuant to this </w:t>
      </w:r>
      <w:r>
        <w:rPr>
          <w:rFonts w:ascii="Times New Roman PS Std;serif" w:hAnsi="Times New Roman PS Std;serif"/>
          <w:b w:val="false"/>
          <w:i w:val="false"/>
          <w:caps w:val="false"/>
          <w:smallCaps w:val="false"/>
          <w:sz w:val="20"/>
          <w:u w:val="single"/>
        </w:rPr>
        <w:t>Section 8.3(c)</w:t>
      </w:r>
      <w:r>
        <w:rPr>
          <w:rFonts w:ascii="Times New Roman PS Std;serif" w:hAnsi="Times New Roman PS Std;serif"/>
          <w:b w:val="false"/>
          <w:i w:val="false"/>
          <w:caps w:val="false"/>
          <w:smallCaps w:val="false"/>
          <w:sz w:val="20"/>
        </w:rPr>
        <w:t>, Parent’s documented Expenses shall be deemed to equal the lesser of (A) Parent’s documented Expenses actually incurred and (B) the Parent Expense Cap.</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If this Agreement is terminated pursuant to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caps w:val="false"/>
          <w:smallCaps w:val="false"/>
        </w:rPr>
        <w:t xml:space="preserve"> </w:t>
      </w:r>
      <w:r>
        <w:rPr>
          <w:rFonts w:ascii="Times New Roman PS Std;serif" w:hAnsi="Times New Roman PS Std;serif"/>
          <w:b w:val="false"/>
          <w:i w:val="false"/>
          <w:caps w:val="false"/>
          <w:smallCaps w:val="false"/>
          <w:sz w:val="20"/>
        </w:rPr>
        <w:t xml:space="preserve">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PS Std;serif" w:hAnsi="Times New Roman PS Std;serif"/>
          <w:b w:val="false"/>
          <w:i w:val="false"/>
          <w:caps w:val="false"/>
          <w:smallCaps w:val="false"/>
          <w:sz w:val="20"/>
          <w:u w:val="single"/>
        </w:rPr>
        <w:t>Section 8.1(d)</w:t>
      </w:r>
      <w:r>
        <w:rPr>
          <w:rFonts w:ascii="Times New Roman PS Std;serif" w:hAnsi="Times New Roman PS Std;serif"/>
          <w:b w:val="false"/>
          <w:i w:val="false"/>
          <w:caps w:val="false"/>
          <w:smallCaps w:val="false"/>
          <w:sz w:val="20"/>
        </w:rPr>
        <w:t xml:space="preserve">) or the date of such termination (in the case of a termination pursuant to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rFonts w:ascii="Times New Roman PS Std;serif" w:hAnsi="Times New Roman PS Std;serif"/>
          <w:b w:val="false"/>
          <w:i w:val="false"/>
          <w:caps w:val="false"/>
          <w:smallCaps w:val="false"/>
          <w:sz w:val="20"/>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rFonts w:ascii="Times New Roman PS Std;serif" w:hAnsi="Times New Roman PS Std;serif"/>
          <w:b w:val="false"/>
          <w:i w:val="false"/>
          <w:caps w:val="false"/>
          <w:smallCaps w:val="false"/>
          <w:sz w:val="20"/>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PS Std;serif" w:hAnsi="Times New Roman PS Std;serif"/>
          <w:b w:val="false"/>
          <w:i w:val="false"/>
          <w:caps w:val="false"/>
          <w:smallCaps w:val="false"/>
          <w:sz w:val="20"/>
          <w:u w:val="single"/>
        </w:rPr>
        <w:t>Section 8.3(d)(i)</w:t>
      </w:r>
      <w:r>
        <w:rPr>
          <w:caps w:val="false"/>
          <w:smallCaps w:val="false"/>
        </w:rPr>
        <w:t xml:space="preserve"> </w:t>
      </w:r>
      <w:r>
        <w:rPr>
          <w:rFonts w:ascii="Times New Roman PS Std;serif" w:hAnsi="Times New Roman PS Std;serif"/>
          <w:b w:val="false"/>
          <w:i w:val="false"/>
          <w:caps w:val="false"/>
          <w:smallCaps w:val="false"/>
          <w:sz w:val="20"/>
        </w:rPr>
        <w:t xml:space="preserve">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the term “Company Acquisition Proposal” shall have the meaning assigned to such term in </w:t>
      </w:r>
      <w:r>
        <w:rPr>
          <w:rFonts w:ascii="Times New Roman PS Std;serif" w:hAnsi="Times New Roman PS Std;serif"/>
          <w:b w:val="false"/>
          <w:i w:val="false"/>
          <w:caps w:val="false"/>
          <w:smallCaps w:val="false"/>
          <w:sz w:val="20"/>
          <w:u w:val="single"/>
        </w:rPr>
        <w:t>Section 9.4</w:t>
      </w:r>
      <w:r>
        <w:rPr>
          <w:rFonts w:ascii="Times New Roman PS Std;serif" w:hAnsi="Times New Roman PS Std;serif"/>
          <w:b w:val="false"/>
          <w:i w:val="false"/>
          <w:caps w:val="false"/>
          <w:smallCaps w:val="false"/>
          <w:sz w:val="20"/>
        </w:rPr>
        <w:t>, except that the references to “15%” and “85%” therein shall be deemed to be references to “50%”.</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(e)         All payments under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shall be made by wire transfer of immediately available funds to an account designated in writing by Parent, or in the absence of such designation, an account established for the sole benefit of Parent.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(f)          Each of the parties acknowledges and agrees (i) that the agreements contained in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(g)         If the Company fails to pay (or cause to be paid)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in each case when due, the Company shall pay to Parent, together with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(A) interest on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shall be subject to the Company’s receipt of written notice from Parent setting forth, in reasonable detail, the amount of Parent’s Expenses to be so paid.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9</w:t>
      </w:r>
      <w:r>
        <w:rPr>
          <w:rFonts w:ascii="Times New Roman PS Std;serif" w:hAnsi="Times New Roman PS Std;serif"/>
          <w:b/>
          <w:i w:val="false"/>
          <w:caps/>
          <w:sz w:val="20"/>
        </w:rPr>
        <w:br/>
        <w:t>General Provisions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9.1         </w:t>
      </w:r>
      <w:r>
        <w:rPr>
          <w:rFonts w:ascii="Times New Roman PS Std;serif" w:hAnsi="Times New Roman PS Std;serif"/>
          <w:b w:val="false"/>
          <w:i w:val="false"/>
          <w:caps w:val="false"/>
          <w:smallCaps w:val="false"/>
          <w:sz w:val="20"/>
          <w:u w:val="single"/>
        </w:rPr>
        <w:t>Non-Survival of Representations and Warranties</w:t>
      </w:r>
      <w:r>
        <w:rPr>
          <w:rFonts w:ascii="Times New Roman PS Std;serif" w:hAnsi="Times New Roman PS Std;serif"/>
          <w:b w:val="false"/>
          <w:i w:val="false"/>
          <w:caps w:val="false"/>
          <w:smallCaps w:val="false"/>
          <w:sz w:val="20"/>
        </w:rPr>
        <w:t xml:space="preserve">. None of the representations, warranties or covenants in this Agreement or in any instrument delivered pursuant to this Agreement shall survive the Second Effective Time except that this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shall not limit any covenant or agreement of the parties which by its terms contemplates performance after the Second Effective Time, which shall survive to the extent expressly provided for 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9.2         </w:t>
      </w:r>
      <w:r>
        <w:rPr>
          <w:rFonts w:ascii="Times New Roman PS Std;serif" w:hAnsi="Times New Roman PS Std;serif"/>
          <w:b w:val="false"/>
          <w:i w:val="false"/>
          <w:caps w:val="false"/>
          <w:smallCaps w:val="false"/>
          <w:sz w:val="20"/>
          <w:u w:val="single"/>
        </w:rPr>
        <w:t>Fees and Expenses</w:t>
      </w:r>
      <w:r>
        <w:rPr>
          <w:rFonts w:ascii="Times New Roman PS Std;serif" w:hAnsi="Times New Roman PS Std;serif"/>
          <w:b w:val="false"/>
          <w:i w:val="false"/>
          <w:caps w:val="false"/>
          <w:smallCaps w:val="false"/>
          <w:sz w:val="20"/>
        </w:rPr>
        <w:t xml:space="preserve">. Except for (a) the expenses in connection with printing and mailing the Proxy Statement/Prospectus and Registration Statement and any Other Filings required in connection with the actions specified in </w:t>
      </w:r>
      <w:r>
        <w:rPr>
          <w:rFonts w:ascii="Times New Roman PS Std;serif" w:hAnsi="Times New Roman PS Std;serif"/>
          <w:b w:val="false"/>
          <w:i w:val="false"/>
          <w:caps w:val="false"/>
          <w:smallCaps w:val="false"/>
          <w:sz w:val="20"/>
          <w:u w:val="single"/>
        </w:rPr>
        <w:t>Section 6.1</w:t>
      </w:r>
      <w:r>
        <w:rPr>
          <w:rFonts w:ascii="Times New Roman PS Std;serif" w:hAnsi="Times New Roman PS Std;serif"/>
          <w:b w:val="false"/>
          <w:i w:val="false"/>
          <w:caps w:val="false"/>
          <w:smallCaps w:val="false"/>
          <w:sz w:val="20"/>
        </w:rPr>
        <w:t xml:space="preserve">, (b) all SEC filing fees relating to the Mergers and the transactions contemplated by this Agreement and (c) the fees in connection with the approvals required under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 xml:space="preserve">related to the Mergers and the transactions contemplated by this Agreement (of which fees and expenses (A) set forth in clauses (a) and (b) of this </w:t>
      </w:r>
      <w:r>
        <w:rPr>
          <w:rFonts w:ascii="Times New Roman PS Std;serif" w:hAnsi="Times New Roman PS Std;serif"/>
          <w:b w:val="false"/>
          <w:i w:val="false"/>
          <w:caps w:val="false"/>
          <w:smallCaps w:val="false"/>
          <w:sz w:val="20"/>
          <w:u w:val="single"/>
        </w:rPr>
        <w:t>Section 9.2</w:t>
      </w:r>
      <w:r>
        <w:rPr>
          <w:caps w:val="false"/>
          <w:smallCaps w:val="false"/>
        </w:rPr>
        <w:t xml:space="preserve"> </w:t>
      </w:r>
      <w:r>
        <w:rPr>
          <w:rFonts w:ascii="Times New Roman PS Std;serif" w:hAnsi="Times New Roman PS Std;serif"/>
          <w:b w:val="false"/>
          <w:i w:val="false"/>
          <w:caps w:val="false"/>
          <w:smallCaps w:val="false"/>
          <w:sz w:val="20"/>
        </w:rPr>
        <w:t>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9.3         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any Parent Party, addressed to it at:</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Keyvan Mohajer</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Warren Heit</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(for information purposes only):</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Latham &amp; Watkins LLP</w:t>
        <w:br/>
        <w:t>505 Montgomery Street, Suite 2000</w:t>
        <w:br/>
        <w:t>San Francisco, CA 94111</w:t>
        <w:br/>
        <w:t>Attention: Luke Bergstrom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Schleusener</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Lauren Lefcoe</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luke.bergstrom@lw.com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max.schleusener@lw.com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lauren.lefcoe@lw.com</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addressed to it at:</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530 7</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Avenue, Floor M1</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br/>
        <w:t>Attention: John Collins</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Greenberg</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(for information purposes only):</w:t>
      </w:r>
    </w:p>
    <w:p>
      <w:pPr>
        <w:pStyle w:val="TextBody"/>
        <w:widowControl/>
        <w:pBdr/>
        <w:bidi w:val="0"/>
        <w:spacing w:before="16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Fried, Frank, Harris, Shriver &amp; Jacobson LLP</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New York Plaza</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10004</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Philip Richter</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Hayek</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Cohen</w:t>
      </w:r>
    </w:p>
    <w:p>
      <w:pPr>
        <w:pStyle w:val="TextBody"/>
        <w:widowControl/>
        <w:pBdr/>
        <w:bidi w:val="0"/>
        <w:spacing w:before="0" w:after="283"/>
        <w:ind w:left="2160" w:right="0" w:hanging="0"/>
        <w:jc w:val="both"/>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Philip.Richter@friedfrank.com</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Mark.Hayek@friedfrank.com</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Adam.Cohen@friedfrank.com</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9.4         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 For purposes of this Agreement, the term:</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2026 Notes</w:t>
      </w:r>
      <w:r>
        <w:rPr>
          <w:caps w:val="false"/>
          <w:smallCaps w:val="false"/>
        </w:rPr>
        <w:t xml:space="preserve">” </w:t>
      </w:r>
      <w:r>
        <w:rPr>
          <w:rFonts w:ascii="Times New Roman PS Std;serif" w:hAnsi="Times New Roman PS Std;serif"/>
          <w:b w:val="false"/>
          <w:i w:val="false"/>
          <w:caps w:val="false"/>
          <w:smallCaps w:val="false"/>
          <w:sz w:val="20"/>
        </w:rPr>
        <w:t>means the Company’s 0% Convertible Senior Notes due 2026.</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as to any Person, a Person that directly or indirectly, through one or more intermediaries, controls, is controlled by, or is under common control with, the first-mentioned Person.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Aggregate Consideration Amount</w:t>
      </w:r>
      <w:r>
        <w:rPr>
          <w:caps w:val="false"/>
          <w:smallCaps w:val="false"/>
        </w:rPr>
        <w:t xml:space="preserve">” </w:t>
      </w:r>
      <w:r>
        <w:rPr>
          <w:rFonts w:ascii="Times New Roman PS Std;serif" w:hAnsi="Times New Roman PS Std;serif"/>
          <w:b w:val="false"/>
          <w:i w:val="false"/>
          <w:caps w:val="false"/>
          <w:smallCaps w:val="false"/>
          <w:sz w:val="20"/>
        </w:rPr>
        <w:t xml:space="preserve">means the sum of (a) the difference of (i) $42,784,532.64, </w:t>
      </w:r>
      <w:r>
        <w:rPr>
          <w:rFonts w:ascii="Times New Roman PS Std;serif" w:hAnsi="Times New Roman PS Std;serif"/>
          <w:b w:val="false"/>
          <w:i/>
          <w:sz w:val="20"/>
        </w:rPr>
        <w:t xml:space="preserve">minus </w:t>
      </w:r>
      <w:r>
        <w:rPr>
          <w:rFonts w:ascii="Times New Roman PS Std;serif" w:hAnsi="Times New Roman PS Std;serif"/>
          <w:b w:val="false"/>
          <w:i w:val="false"/>
          <w:caps w:val="false"/>
          <w:smallCaps w:val="false"/>
          <w:sz w:val="20"/>
        </w:rPr>
        <w:t xml:space="preserve">(ii) the Company Shortfall Cash, </w:t>
      </w:r>
      <w:r>
        <w:rPr>
          <w:rFonts w:ascii="Times New Roman PS Std;serif" w:hAnsi="Times New Roman PS Std;serif"/>
          <w:b w:val="false"/>
          <w:i/>
          <w:sz w:val="20"/>
        </w:rPr>
        <w:t xml:space="preserve">plus </w:t>
      </w:r>
      <w:r>
        <w:rPr>
          <w:rFonts w:ascii="Times New Roman PS Std;serif" w:hAnsi="Times New Roman PS Std;serif"/>
          <w:b w:val="false"/>
          <w:i w:val="false"/>
          <w:caps w:val="false"/>
          <w:smallCaps w:val="false"/>
          <w:sz w:val="20"/>
        </w:rPr>
        <w:t>(b) the Aggregate Exercise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Aggregate Exercise Price</w:t>
      </w:r>
      <w:r>
        <w:rPr>
          <w:caps w:val="false"/>
          <w:smallCaps w:val="false"/>
        </w:rPr>
        <w:t xml:space="preserve">” </w:t>
      </w:r>
      <w:r>
        <w:rPr>
          <w:rFonts w:ascii="Times New Roman PS Std;serif" w:hAnsi="Times New Roman PS Std;serif"/>
          <w:b w:val="false"/>
          <w:i w:val="false"/>
          <w:caps w:val="false"/>
          <w:smallCaps w:val="false"/>
          <w:sz w:val="20"/>
        </w:rPr>
        <w:t>means the aggregate dollar amount of the exercise prices of all In-the-Money Company Options (other than Assumed Options).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Inputs</w:t>
      </w:r>
      <w:r>
        <w:rPr>
          <w:caps w:val="false"/>
          <w:smallCaps w:val="false"/>
        </w:rPr>
        <w:t xml:space="preserve">” </w:t>
      </w:r>
      <w:r>
        <w:rPr>
          <w:rFonts w:ascii="Times New Roman PS Std;serif" w:hAnsi="Times New Roman PS Std;serif"/>
          <w:b w:val="false"/>
          <w:i w:val="false"/>
          <w:caps w:val="false"/>
          <w:smallCaps w:val="false"/>
          <w:sz w:val="20"/>
        </w:rPr>
        <w:t>shall mean data, work of authorship, text or other content used or relied upon by any aspect of AI Technologies to generate any AI Output.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Output</w:t>
      </w:r>
      <w:r>
        <w:rPr>
          <w:caps w:val="false"/>
          <w:smallCaps w:val="false"/>
        </w:rPr>
        <w:t xml:space="preserve">” </w:t>
      </w:r>
      <w:r>
        <w:rPr>
          <w:rFonts w:ascii="Times New Roman PS Std;serif" w:hAnsi="Times New Roman PS Std;serif"/>
          <w:b w:val="false"/>
          <w:i w:val="false"/>
          <w:caps w:val="false"/>
          <w:smallCaps w:val="false"/>
          <w:sz w:val="20"/>
        </w:rPr>
        <w:t>shall mean any data, work of authorship, text or other content that is generated by any AI Technologies.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Technologies</w:t>
      </w:r>
      <w:r>
        <w:rPr>
          <w:caps w:val="false"/>
          <w:smallCaps w:val="false"/>
        </w:rPr>
        <w:t xml:space="preserve">” </w:t>
      </w:r>
      <w:r>
        <w:rPr>
          <w:rFonts w:ascii="Times New Roman PS Std;serif" w:hAnsi="Times New Roman PS Std;serif"/>
          <w:b w:val="false"/>
          <w:i w:val="false"/>
          <w:caps w:val="false"/>
          <w:smallCaps w:val="false"/>
          <w:sz w:val="20"/>
        </w:rPr>
        <w:t>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Anti-Corruption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the prevention of corruption and bribery, including, without limitation, the U.S. Foreign Corrupt Practices Act of 1977, as amended, and the UK Bribery Act 2010,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beneficial ownership</w:t>
      </w:r>
      <w:r>
        <w:rPr>
          <w:caps w:val="false"/>
          <w:smallCaps w:val="false"/>
        </w:rPr>
        <w:t xml:space="preserve">” </w:t>
      </w:r>
      <w:r>
        <w:rPr>
          <w:rFonts w:ascii="Times New Roman PS Std;serif" w:hAnsi="Times New Roman PS Std;serif"/>
          <w:b w:val="false"/>
          <w:i w:val="false"/>
          <w:caps w:val="false"/>
          <w:smallCaps w:val="false"/>
          <w:sz w:val="20"/>
        </w:rPr>
        <w:t>(and related terms such as “beneficially owned” or “beneficial owner”) has the meaning set forth in Rule 13d-3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has the meaning set forth in Rule 14d-1(g)(3)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the number of shares of Parent Common Stock derived from dividing (a) the Aggregate Consideration Amount, </w:t>
      </w:r>
      <w:r>
        <w:rPr>
          <w:rFonts w:ascii="Times New Roman PS Std;serif" w:hAnsi="Times New Roman PS Std;serif"/>
          <w:b w:val="false"/>
          <w:i/>
          <w:sz w:val="20"/>
          <w:u w:val="single"/>
        </w:rPr>
        <w:t>by</w:t>
      </w:r>
      <w:r>
        <w:rPr>
          <w:caps w:val="false"/>
          <w:smallCaps w:val="false"/>
        </w:rPr>
        <w:t xml:space="preserve"> </w:t>
      </w:r>
      <w:r>
        <w:rPr>
          <w:rFonts w:ascii="Times New Roman PS Std;serif" w:hAnsi="Times New Roman PS Std;serif"/>
          <w:b w:val="false"/>
          <w:i w:val="false"/>
          <w:caps w:val="false"/>
          <w:smallCaps w:val="false"/>
          <w:sz w:val="20"/>
        </w:rPr>
        <w:t>(b) the Parent Closing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Merger Consideration Value</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the (a) the Closing Merger Consideration, </w:t>
      </w:r>
      <w:r>
        <w:rPr>
          <w:rFonts w:ascii="Times New Roman PS Std;serif" w:hAnsi="Times New Roman PS Std;serif"/>
          <w:b w:val="false"/>
          <w:i/>
          <w:sz w:val="20"/>
          <w:u w:val="single"/>
        </w:rPr>
        <w:t>multiplied by</w:t>
      </w:r>
      <w:r>
        <w:rPr/>
        <w:t xml:space="preserve"> </w:t>
      </w:r>
      <w:r>
        <w:rPr>
          <w:rFonts w:ascii="Times New Roman PS Std;serif" w:hAnsi="Times New Roman PS Std;serif"/>
          <w:b w:val="false"/>
          <w:i w:val="false"/>
          <w:caps w:val="false"/>
          <w:smallCaps w:val="false"/>
          <w:sz w:val="20"/>
        </w:rPr>
        <w:t>(b) the Parent Closing VWAP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TASE Cash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(a) the Closing Merger Consideration Value, </w:t>
      </w:r>
      <w:r>
        <w:rPr>
          <w:rFonts w:ascii="Times New Roman PS Std;serif" w:hAnsi="Times New Roman PS Std;serif"/>
          <w:b w:val="false"/>
          <w:i/>
          <w:sz w:val="20"/>
          <w:u w:val="single"/>
        </w:rPr>
        <w:t>multiplied by</w:t>
      </w:r>
      <w:r>
        <w:rPr>
          <w:caps w:val="false"/>
          <w:smallCaps w:val="false"/>
        </w:rPr>
        <w:t xml:space="preserve"> </w:t>
      </w:r>
      <w:r>
        <w:rPr>
          <w:rFonts w:ascii="Times New Roman PS Std;serif" w:hAnsi="Times New Roman PS Std;serif"/>
          <w:b w:val="false"/>
          <w:i w:val="false"/>
          <w:caps w:val="false"/>
          <w:smallCaps w:val="false"/>
          <w:sz w:val="20"/>
        </w:rPr>
        <w:t xml:space="preserve">(b) the Closing TASE Merger Consideration Percentage;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if the Closing TASE Cash Merger Consideration is greater than $7,500,000, then the Closing TASE Cash Merger Consideration will equal $7,500,000.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TASE Merger Consideration Percentage</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the quotient of (a) the Fully Diluted TASE Common Number,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Code of 1986, as amended.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Collective Bargaining Agreement</w:t>
      </w:r>
      <w:r>
        <w:rPr>
          <w:caps w:val="false"/>
          <w:smallCaps w:val="false"/>
        </w:rPr>
        <w:t xml:space="preserve">” </w:t>
      </w:r>
      <w:r>
        <w:rPr>
          <w:rFonts w:ascii="Times New Roman PS Std;serif" w:hAnsi="Times New Roman PS Std;serif"/>
          <w:b w:val="false"/>
          <w:i w:val="false"/>
          <w:caps w:val="false"/>
          <w:smallCaps w:val="false"/>
          <w:sz w:val="20"/>
        </w:rPr>
        <w:t>means any collective bargaining agreement, works council agreement, or other agreement, understanding or Contract (including any addenda, side letter, memorandum of understanding, letter of assent, neutrality agreement or ancillary agreement thereto) with any Union.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such confidentiality agreement need not contain any standstill provision and shall not include any provision conflicting with or otherwise impairing the Company’s ability to comply with its obligations under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Acquisition Proposal</w:t>
      </w:r>
      <w:r>
        <w:rPr>
          <w:caps w:val="false"/>
          <w:smallCaps w:val="false"/>
        </w:rPr>
        <w:t xml:space="preserve">” </w:t>
      </w:r>
      <w:r>
        <w:rPr>
          <w:rFonts w:ascii="Times New Roman PS Std;serif" w:hAnsi="Times New Roman PS Std;serif"/>
          <w:b w:val="false"/>
          <w:i w:val="false"/>
          <w:caps w:val="false"/>
          <w:smallCaps w:val="false"/>
          <w:sz w:val="20"/>
        </w:rPr>
        <w:t>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Benefit Plan</w:t>
      </w:r>
      <w:r>
        <w:rPr>
          <w:caps w:val="false"/>
          <w:smallCaps w:val="false"/>
        </w:rPr>
        <w:t xml:space="preserve">” </w:t>
      </w:r>
      <w:r>
        <w:rPr>
          <w:rFonts w:ascii="Times New Roman PS Std;serif" w:hAnsi="Times New Roman PS Std;serif"/>
          <w:b w:val="false"/>
          <w:i w:val="false"/>
          <w:caps w:val="false"/>
          <w:smallCaps w:val="false"/>
          <w:sz w:val="20"/>
        </w:rPr>
        <w:t>means each Employee Benefit Plan that is sponsored, maintained, contributed to, or required to be contributed to, by the Company or any of the Company Subsidiaries.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Cash Balance</w:t>
      </w:r>
      <w:r>
        <w:rPr>
          <w:caps w:val="false"/>
          <w:smallCaps w:val="false"/>
        </w:rPr>
        <w:t xml:space="preserve">” </w:t>
      </w:r>
      <w:r>
        <w:rPr>
          <w:rFonts w:ascii="Times New Roman PS Std;serif" w:hAnsi="Times New Roman PS Std;serif"/>
          <w:b w:val="false"/>
          <w:i w:val="false"/>
          <w:caps w:val="false"/>
          <w:smallCaps w:val="false"/>
          <w:sz w:val="20"/>
        </w:rPr>
        <w:t xml:space="preserve">means the amount of cash and cash equivalents in the final Estimated Closing Statement;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the foregoing, the fees and expenses payable by the Company pursuant to </w:t>
      </w:r>
      <w:r>
        <w:rPr>
          <w:rFonts w:ascii="Times New Roman PS Std;serif" w:hAnsi="Times New Roman PS Std;serif"/>
          <w:b w:val="false"/>
          <w:i w:val="false"/>
          <w:caps w:val="false"/>
          <w:smallCaps w:val="false"/>
          <w:sz w:val="20"/>
          <w:u w:val="single"/>
        </w:rPr>
        <w:t>Section 9.2(a)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9.2(b)</w:t>
      </w:r>
      <w:r>
        <w:rPr>
          <w:caps w:val="false"/>
          <w:smallCaps w:val="false"/>
        </w:rPr>
        <w:t xml:space="preserve"> </w:t>
      </w:r>
      <w:r>
        <w:rPr>
          <w:rFonts w:ascii="Times New Roman PS Std;serif" w:hAnsi="Times New Roman PS Std;serif"/>
          <w:b w:val="false"/>
          <w:i w:val="false"/>
          <w:caps w:val="false"/>
          <w:smallCaps w:val="false"/>
          <w:sz w:val="20"/>
        </w:rPr>
        <w:t>shall be excluded from “Company Cash Balance” 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Equity Award</w:t>
      </w:r>
      <w:r>
        <w:rPr>
          <w:caps w:val="false"/>
          <w:smallCaps w:val="false"/>
        </w:rPr>
        <w:t xml:space="preserve">” </w:t>
      </w:r>
      <w:r>
        <w:rPr>
          <w:rFonts w:ascii="Times New Roman PS Std;serif" w:hAnsi="Times New Roman PS Std;serif"/>
          <w:b w:val="false"/>
          <w:i w:val="false"/>
          <w:caps w:val="false"/>
          <w:smallCaps w:val="false"/>
          <w:sz w:val="20"/>
        </w:rPr>
        <w:t>means each Company Option and Company RSU Award.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Equity Plans</w:t>
      </w:r>
      <w:r>
        <w:rPr>
          <w:caps w:val="false"/>
          <w:smallCaps w:val="false"/>
        </w:rPr>
        <w:t xml:space="preserve">” </w:t>
      </w:r>
      <w:r>
        <w:rPr>
          <w:rFonts w:ascii="Times New Roman PS Std;serif" w:hAnsi="Times New Roman PS Std;serif"/>
          <w:b w:val="false"/>
          <w:i w:val="false"/>
          <w:caps w:val="false"/>
          <w:smallCaps w:val="false"/>
          <w:sz w:val="20"/>
        </w:rPr>
        <w:t>means (a) the Company’s Amended and Restated 2019 Stock Incentive Plan and (b) the Company’s Amended and Restated 2018 Inducement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ESPP</w:t>
      </w:r>
      <w:r>
        <w:rPr>
          <w:caps w:val="false"/>
          <w:smallCaps w:val="false"/>
        </w:rPr>
        <w:t xml:space="preserve">” </w:t>
      </w:r>
      <w:r>
        <w:rPr>
          <w:rFonts w:ascii="Times New Roman PS Std;serif" w:hAnsi="Times New Roman PS Std;serif"/>
          <w:b w:val="false"/>
          <w:i w:val="false"/>
          <w:caps w:val="false"/>
          <w:smallCaps w:val="false"/>
          <w:sz w:val="20"/>
        </w:rPr>
        <w:t>means the Company’s 2019 Employee Stock Purchase Plan,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Material Adverse Effect</w:t>
      </w:r>
      <w:r>
        <w:rPr>
          <w:caps w:val="false"/>
          <w:smallCaps w:val="false"/>
        </w:rPr>
        <w:t xml:space="preserve">” </w:t>
      </w:r>
      <w:r>
        <w:rPr>
          <w:rFonts w:ascii="Times New Roman PS Std;serif" w:hAnsi="Times New Roman PS Std;serif"/>
          <w:b w:val="false"/>
          <w:i w:val="false"/>
          <w:caps w:val="false"/>
          <w:smallCaps w:val="false"/>
          <w:sz w:val="20"/>
        </w:rPr>
        <w:t>means any change, event, occurrence, condition or development (an “</w:t>
      </w:r>
      <w:r>
        <w:rPr>
          <w:rFonts w:ascii="Times New Roman PS Std;serif" w:hAnsi="Times New Roman PS Std;serif"/>
          <w:b w:val="false"/>
          <w:i w:val="false"/>
          <w:caps w:val="false"/>
          <w:smallCaps w:val="false"/>
          <w:sz w:val="20"/>
          <w:u w:val="single"/>
        </w:rPr>
        <w:t>Effect</w:t>
      </w:r>
      <w:r>
        <w:rPr>
          <w:caps w:val="false"/>
          <w:smallCaps w:val="false"/>
        </w:rPr>
        <w:t>”</w:t>
      </w:r>
      <w:r>
        <w:rPr>
          <w:rFonts w:ascii="Times New Roman PS Std;serif" w:hAnsi="Times New Roman PS Std;serif"/>
          <w:b w:val="false"/>
          <w:i w:val="false"/>
          <w:caps w:val="false"/>
          <w:smallCaps w:val="false"/>
          <w:sz w:val="20"/>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underlying cause of such failure may be taken into account in determining whether a Company Material Adverse Effect has occurred.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Minimum Cash</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$74,000,000,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in the event the Closing Date occurs in the calendar month of July, the amount for purposes of this clause (a) shall be $71,000,000,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(b) the amount of cash, if any, paid by the Company to repurchase and retire the 2026 Notes between April 1, 2026, and the Closing Date.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Option</w:t>
      </w:r>
      <w:r>
        <w:rPr>
          <w:caps w:val="false"/>
          <w:smallCaps w:val="false"/>
        </w:rPr>
        <w:t xml:space="preserve">” </w:t>
      </w:r>
      <w:r>
        <w:rPr>
          <w:rFonts w:ascii="Times New Roman PS Std;serif" w:hAnsi="Times New Roman PS Std;serif"/>
          <w:b w:val="false"/>
          <w:i w:val="false"/>
          <w:caps w:val="false"/>
          <w:smallCaps w:val="false"/>
          <w:sz w:val="20"/>
        </w:rPr>
        <w:t>means an option to acquire shares of Company Common Stock granted under a Company Equity Plan or granted to a Company employee or other service provider outside of the Company Equity Plans.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Owned 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that is owned or purported to be owned by the Company or any of the Company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Products</w:t>
      </w:r>
      <w:r>
        <w:rPr>
          <w:caps w:val="false"/>
          <w:smallCaps w:val="false"/>
        </w:rPr>
        <w:t xml:space="preserve">” </w:t>
      </w:r>
      <w:r>
        <w:rPr>
          <w:rFonts w:ascii="Times New Roman PS Std;serif" w:hAnsi="Times New Roman PS Std;serif"/>
          <w:b w:val="false"/>
          <w:i w:val="false"/>
          <w:caps w:val="false"/>
          <w:smallCaps w:val="false"/>
          <w:sz w:val="20"/>
        </w:rPr>
        <w:t>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PS Std;serif" w:hAnsi="Times New Roman PS Std;serif"/>
          <w:b w:val="false"/>
          <w:i w:val="false"/>
          <w:caps w:val="false"/>
          <w:smallCaps w:val="false"/>
          <w:sz w:val="20"/>
          <w:u w:val="single"/>
        </w:rPr>
        <w:t>Company AI Products</w:t>
      </w:r>
      <w:r>
        <w:rPr>
          <w:caps w:val="false"/>
          <w:smallCaps w:val="false"/>
        </w:rPr>
        <w:t>”</w:t>
      </w:r>
      <w:r>
        <w:rPr>
          <w:rFonts w:ascii="Times New Roman PS Std;serif" w:hAnsi="Times New Roman PS Std;serif"/>
          <w:b w:val="false"/>
          <w:i w:val="false"/>
          <w:caps w:val="false"/>
          <w:smallCaps w:val="false"/>
          <w:sz w:val="20"/>
        </w:rPr>
        <w:t>), made commercially available, marketed, distributed, developed, supported, sold, imported for resale, licensed out, or otherwise provided by or on behalf of the Company or any Company Subsidiary, including products and services under development.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Representatives</w:t>
      </w:r>
      <w:r>
        <w:rPr>
          <w:caps w:val="false"/>
          <w:smallCaps w:val="false"/>
        </w:rPr>
        <w:t xml:space="preserve">” </w:t>
      </w:r>
      <w:r>
        <w:rPr>
          <w:rFonts w:ascii="Times New Roman PS Std;serif" w:hAnsi="Times New Roman PS Std;serif"/>
          <w:b w:val="false"/>
          <w:i w:val="false"/>
          <w:caps w:val="false"/>
          <w:smallCaps w:val="false"/>
          <w:sz w:val="20"/>
        </w:rPr>
        <w:t>means the Company’s and the Company Subsidiaries’ respective directors, officers, employees, accountants, consultants, legal counsel, investment bankers, advisors, agents, brokers and other representatives acting for or on behalf of the Company or any Company Subsidiary.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RSU Award</w:t>
      </w:r>
      <w:r>
        <w:rPr>
          <w:caps w:val="false"/>
          <w:smallCaps w:val="false"/>
        </w:rPr>
        <w:t xml:space="preserve">” </w:t>
      </w:r>
      <w:r>
        <w:rPr>
          <w:rFonts w:ascii="Times New Roman PS Std;serif" w:hAnsi="Times New Roman PS Std;serif"/>
          <w:b w:val="false"/>
          <w:i w:val="false"/>
          <w:caps w:val="false"/>
          <w:smallCaps w:val="false"/>
          <w:sz w:val="20"/>
        </w:rPr>
        <w:t>means an award of restricted stock units with respect to shares of Company Common Stock granted under a Company Equity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Shortfall Cash</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the Company Minimum Cash,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 xml:space="preserve">(b) the Company Cash Balance;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if a negative number results from such calculation, “Company Shortfall Cash” shall be zero (0).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Superior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Transaction Expenses</w:t>
      </w:r>
      <w:r>
        <w:rPr>
          <w:caps w:val="false"/>
          <w:smallCaps w:val="false"/>
        </w:rPr>
        <w:t xml:space="preserve">” </w:t>
      </w:r>
      <w:r>
        <w:rPr>
          <w:rFonts w:ascii="Times New Roman PS Std;serif" w:hAnsi="Times New Roman PS Std;serif"/>
          <w:b w:val="false"/>
          <w:i w:val="false"/>
          <w:caps w:val="false"/>
          <w:smallCaps w:val="false"/>
          <w:sz w:val="20"/>
        </w:rPr>
        <w:t>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Warrant</w:t>
      </w:r>
      <w:r>
        <w:rPr>
          <w:caps w:val="false"/>
          <w:smallCaps w:val="false"/>
        </w:rPr>
        <w:t xml:space="preserve">” </w:t>
      </w:r>
      <w:r>
        <w:rPr>
          <w:rFonts w:ascii="Times New Roman PS Std;serif" w:hAnsi="Times New Roman PS Std;serif"/>
          <w:b w:val="false"/>
          <w:i w:val="false"/>
          <w:caps w:val="false"/>
          <w:smallCaps w:val="false"/>
          <w:sz w:val="20"/>
        </w:rPr>
        <w:t>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Continuing Employee</w:t>
      </w:r>
      <w:r>
        <w:rPr>
          <w:caps w:val="false"/>
          <w:smallCaps w:val="false"/>
        </w:rPr>
        <w:t xml:space="preserve">” </w:t>
      </w:r>
      <w:r>
        <w:rPr>
          <w:rFonts w:ascii="Times New Roman PS Std;serif" w:hAnsi="Times New Roman PS Std;serif"/>
          <w:b w:val="false"/>
          <w:i w:val="false"/>
          <w:caps w:val="false"/>
          <w:smallCaps w:val="false"/>
          <w:sz w:val="20"/>
        </w:rPr>
        <w:t>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Contracts</w:t>
      </w:r>
      <w:r>
        <w:rPr>
          <w:caps w:val="false"/>
          <w:smallCaps w:val="false"/>
        </w:rPr>
        <w:t xml:space="preserve">” </w:t>
      </w:r>
      <w:r>
        <w:rPr>
          <w:rFonts w:ascii="Times New Roman PS Std;serif" w:hAnsi="Times New Roman PS Std;serif"/>
          <w:b w:val="false"/>
          <w:i w:val="false"/>
          <w:caps w:val="false"/>
          <w:smallCaps w:val="false"/>
          <w:sz w:val="20"/>
        </w:rPr>
        <w:t>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control</w:t>
      </w:r>
      <w:r>
        <w:rPr>
          <w:caps w:val="false"/>
          <w:smallCaps w:val="false"/>
        </w:rPr>
        <w:t xml:space="preserve">” </w:t>
      </w:r>
      <w:r>
        <w:rPr>
          <w:rFonts w:ascii="Times New Roman PS Std;serif" w:hAnsi="Times New Roman PS Std;serif"/>
          <w:b w:val="false"/>
          <w:i w:val="false"/>
          <w:caps w:val="false"/>
          <w:smallCaps w:val="false"/>
          <w:sz w:val="20"/>
        </w:rPr>
        <w:t>(including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Data</w:t>
      </w:r>
      <w:r>
        <w:rPr>
          <w:caps w:val="false"/>
          <w:smallCaps w:val="false"/>
        </w:rPr>
        <w:t xml:space="preserve">” </w:t>
      </w:r>
      <w:r>
        <w:rPr>
          <w:rFonts w:ascii="Times New Roman PS Std;serif" w:hAnsi="Times New Roman PS Std;serif"/>
          <w:b w:val="false"/>
          <w:i w:val="false"/>
          <w:caps w:val="false"/>
          <w:smallCaps w:val="false"/>
          <w:sz w:val="20"/>
        </w:rPr>
        <w:t>shall mean any information, inputs, figures, facts, numbers, statistics, geographic and location information, AI Inputs, validation data, and test data, data collections, and databases, in any form, whether structured or unstructured.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Employee Benefit Plan</w:t>
      </w:r>
      <w:r>
        <w:rPr>
          <w:caps w:val="false"/>
          <w:smallCaps w:val="false"/>
        </w:rPr>
        <w:t xml:space="preserve">” </w:t>
      </w:r>
      <w:r>
        <w:rPr>
          <w:rFonts w:ascii="Times New Roman PS Std;serif" w:hAnsi="Times New Roman PS Std;serif"/>
          <w:b w:val="false"/>
          <w:i w:val="false"/>
          <w:caps w:val="false"/>
          <w:smallCaps w:val="false"/>
          <w:sz w:val="20"/>
        </w:rPr>
        <w:t>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any permit, certificate, registration, notice, approval, identification number, waiver, variance, exemption, license, clearance, or other authorization required under any applicable Environmental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Equity Interest</w:t>
      </w:r>
      <w:r>
        <w:rPr>
          <w:caps w:val="false"/>
          <w:smallCaps w:val="false"/>
        </w:rPr>
        <w:t xml:space="preserve">” </w:t>
      </w:r>
      <w:r>
        <w:rPr>
          <w:rFonts w:ascii="Times New Roman PS Std;serif" w:hAnsi="Times New Roman PS Std;serif"/>
          <w:b w:val="false"/>
          <w:i w:val="false"/>
          <w:caps w:val="false"/>
          <w:smallCaps w:val="false"/>
          <w:sz w:val="20"/>
        </w:rPr>
        <w:t>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Expenses</w:t>
      </w:r>
      <w:r>
        <w:rPr>
          <w:caps w:val="false"/>
          <w:smallCaps w:val="false"/>
        </w:rPr>
        <w:t xml:space="preserve">” </w:t>
      </w:r>
      <w:r>
        <w:rPr>
          <w:rFonts w:ascii="Times New Roman PS Std;serif" w:hAnsi="Times New Roman PS Std;serif"/>
          <w:b w:val="false"/>
          <w:i w:val="false"/>
          <w:caps w:val="false"/>
          <w:smallCaps w:val="false"/>
          <w:sz w:val="20"/>
        </w:rPr>
        <w:t>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First Lien Notes</w:t>
      </w:r>
      <w:r>
        <w:rPr>
          <w:caps w:val="false"/>
          <w:smallCaps w:val="false"/>
        </w:rPr>
        <w:t xml:space="preserve">” </w:t>
      </w:r>
      <w:r>
        <w:rPr>
          <w:rFonts w:ascii="Times New Roman PS Std;serif" w:hAnsi="Times New Roman PS Std;serif"/>
          <w:b w:val="false"/>
          <w:i w:val="false"/>
          <w:caps w:val="false"/>
          <w:smallCaps w:val="false"/>
          <w:sz w:val="20"/>
        </w:rPr>
        <w:t>means the Company’s First Lien Convertible Senior Notes due 2029.</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Fraud</w:t>
      </w:r>
      <w:r>
        <w:rPr>
          <w:caps w:val="false"/>
          <w:smallCaps w:val="false"/>
        </w:rPr>
        <w:t xml:space="preserve">” </w:t>
      </w:r>
      <w:r>
        <w:rPr>
          <w:rFonts w:ascii="Times New Roman PS Std;serif" w:hAnsi="Times New Roman PS Std;serif"/>
          <w:b w:val="false"/>
          <w:i w:val="false"/>
          <w:caps w:val="false"/>
          <w:smallCaps w:val="false"/>
          <w:sz w:val="20"/>
        </w:rPr>
        <w:t>means actual fraud under Delaware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Fully Diluted Common Number</w:t>
      </w:r>
      <w:r>
        <w:rPr>
          <w:caps w:val="false"/>
          <w:smallCaps w:val="false"/>
        </w:rPr>
        <w:t xml:space="preserve">” </w:t>
      </w:r>
      <w:r>
        <w:rPr>
          <w:rFonts w:ascii="Times New Roman PS Std;serif" w:hAnsi="Times New Roman PS Std;serif"/>
          <w:b w:val="false"/>
          <w:i w:val="false"/>
          <w:caps w:val="false"/>
          <w:smallCaps w:val="false"/>
          <w:sz w:val="20"/>
        </w:rPr>
        <w:t xml:space="preserve">means, without duplication, the sum of (a) the total number of shares of Company Common Stock that are issued and outstanding immediately prior to the First Effective Time (excluding Company Cancelled Shares), </w:t>
      </w:r>
      <w:r>
        <w:rPr>
          <w:rFonts w:ascii="Times New Roman PS Std;serif" w:hAnsi="Times New Roman PS Std;serif"/>
          <w:b w:val="false"/>
          <w:i/>
          <w:sz w:val="20"/>
          <w:u w:val="single"/>
        </w:rPr>
        <w:t>plus</w:t>
      </w:r>
      <w:r>
        <w:rPr>
          <w:caps w:val="false"/>
          <w:smallCaps w:val="false"/>
        </w:rPr>
        <w:t xml:space="preserve"> </w:t>
      </w:r>
      <w:r>
        <w:rPr>
          <w:rFonts w:ascii="Times New Roman PS Std;serif" w:hAnsi="Times New Roman PS Std;serif"/>
          <w:b w:val="false"/>
          <w:i w:val="false"/>
          <w:caps w:val="false"/>
          <w:smallCaps w:val="false"/>
          <w:sz w:val="20"/>
        </w:rPr>
        <w:t xml:space="preserve">(b)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Fully Diluted TASE Common Number</w:t>
      </w:r>
      <w:r>
        <w:rPr>
          <w:caps w:val="false"/>
          <w:smallCaps w:val="false"/>
        </w:rPr>
        <w:t xml:space="preserve">” </w:t>
      </w:r>
      <w:r>
        <w:rPr>
          <w:rFonts w:ascii="Times New Roman PS Std;serif" w:hAnsi="Times New Roman PS Std;serif"/>
          <w:b w:val="false"/>
          <w:i w:val="false"/>
          <w:caps w:val="false"/>
          <w:smallCaps w:val="false"/>
          <w:sz w:val="20"/>
        </w:rPr>
        <w:t>means, without duplication, the total number of TASE Shares that are issued and outstanding immediately prior to the Second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generally accepted accounting principles, as applied in the United States.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Hazardous Substances</w:t>
      </w:r>
      <w:r>
        <w:rPr>
          <w:caps w:val="false"/>
          <w:smallCaps w:val="false"/>
        </w:rPr>
        <w:t xml:space="preserve">” </w:t>
      </w:r>
      <w:r>
        <w:rPr>
          <w:rFonts w:ascii="Times New Roman PS Std;serif" w:hAnsi="Times New Roman PS Std;serif"/>
          <w:b w:val="false"/>
          <w:i w:val="false"/>
          <w:caps w:val="false"/>
          <w:smallCaps w:val="false"/>
          <w:sz w:val="20"/>
        </w:rPr>
        <w:t>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In-the-Money Company Option</w:t>
      </w:r>
      <w:r>
        <w:rPr>
          <w:caps w:val="false"/>
          <w:smallCaps w:val="false"/>
        </w:rPr>
        <w:t xml:space="preserve">” </w:t>
      </w:r>
      <w:r>
        <w:rPr>
          <w:rFonts w:ascii="Times New Roman PS Std;serif" w:hAnsi="Times New Roman PS Std;serif"/>
          <w:b w:val="false"/>
          <w:i w:val="false"/>
          <w:caps w:val="false"/>
          <w:smallCaps w:val="false"/>
          <w:sz w:val="20"/>
        </w:rPr>
        <w:t>means each Company Option that is not an Out-of-the-Money Company Option.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PS Std;serif" w:hAnsi="Times New Roman PS Std;serif"/>
          <w:b w:val="false"/>
          <w:i w:val="false"/>
          <w:caps w:val="false"/>
          <w:smallCaps w:val="false"/>
          <w:sz w:val="20"/>
          <w:u w:val="single"/>
        </w:rPr>
        <w:t>Trade Secrets</w:t>
      </w:r>
      <w:r>
        <w:rPr>
          <w:caps w:val="false"/>
          <w:smallCaps w:val="false"/>
        </w:rPr>
        <w:t>”</w:t>
      </w:r>
      <w:r>
        <w:rPr>
          <w:rFonts w:ascii="Times New Roman PS Std;serif" w:hAnsi="Times New Roman PS Std;serif"/>
          <w:b w:val="false"/>
          <w:i w:val="false"/>
          <w:caps w:val="false"/>
          <w:smallCaps w:val="false"/>
          <w:sz w:val="20"/>
        </w:rPr>
        <w:t>), (f) other proprietary rights arising from or related to AI Technologies, and (g) all applications and registrations for the foregoing.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Service.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ISA</w:t>
      </w:r>
      <w:r>
        <w:rPr>
          <w:caps w:val="false"/>
          <w:smallCaps w:val="false"/>
        </w:rPr>
        <w:t xml:space="preserve">” </w:t>
      </w:r>
      <w:r>
        <w:rPr>
          <w:rFonts w:ascii="Times New Roman PS Std;serif" w:hAnsi="Times New Roman PS Std;serif"/>
          <w:b w:val="false"/>
          <w:i w:val="false"/>
          <w:caps w:val="false"/>
          <w:smallCaps w:val="false"/>
          <w:sz w:val="20"/>
        </w:rPr>
        <w:t>means the Israel Securities Authority.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Israeli Securities Laws</w:t>
      </w:r>
      <w:r>
        <w:rPr>
          <w:caps w:val="false"/>
          <w:smallCaps w:val="false"/>
        </w:rPr>
        <w:t xml:space="preserve">” </w:t>
      </w:r>
      <w:r>
        <w:rPr>
          <w:rFonts w:ascii="Times New Roman PS Std;serif" w:hAnsi="Times New Roman PS Std;serif"/>
          <w:b w:val="false"/>
          <w:i w:val="false"/>
          <w:caps w:val="false"/>
          <w:smallCaps w:val="false"/>
          <w:sz w:val="20"/>
        </w:rPr>
        <w:t>means (a) the Israeli Securities Law of 1968 and the rules, regulations and guidance provided thereunder and (b) the bylaws of the TASE and the regulations promulgated thereunder, including the relevant provisions of the bylaws of the TASECH, each as amended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ITA</w:t>
      </w:r>
      <w:r>
        <w:rPr>
          <w:caps w:val="false"/>
          <w:smallCaps w:val="false"/>
        </w:rPr>
        <w:t xml:space="preserve">” </w:t>
      </w:r>
      <w:r>
        <w:rPr>
          <w:rFonts w:ascii="Times New Roman PS Std;serif" w:hAnsi="Times New Roman PS Std;serif"/>
          <w:b w:val="false"/>
          <w:i w:val="false"/>
          <w:caps w:val="false"/>
          <w:smallCaps w:val="false"/>
          <w:sz w:val="20"/>
        </w:rPr>
        <w:t>means the Israel Tax Authority.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Knowledge</w:t>
      </w:r>
      <w:r>
        <w:rPr>
          <w:caps w:val="false"/>
          <w:smallCaps w:val="false"/>
        </w:rPr>
        <w:t xml:space="preserve">” </w:t>
      </w:r>
      <w:r>
        <w:rPr>
          <w:rFonts w:ascii="Times New Roman PS Std;serif" w:hAnsi="Times New Roman PS Std;serif"/>
          <w:b w:val="false"/>
          <w:i w:val="false"/>
          <w:caps w:val="false"/>
          <w:smallCaps w:val="false"/>
          <w:sz w:val="20"/>
        </w:rPr>
        <w:t xml:space="preserve">means the actual knowledge (after inquiry of direct reports) of the individuals listed in </w:t>
      </w:r>
      <w:r>
        <w:rPr>
          <w:rFonts w:ascii="Times New Roman PS Std;serif" w:hAnsi="Times New Roman PS Std;serif"/>
          <w:b w:val="false"/>
          <w:i w:val="false"/>
          <w:caps w:val="false"/>
          <w:smallCaps w:val="false"/>
          <w:sz w:val="20"/>
          <w:u w:val="single"/>
        </w:rPr>
        <w:t>Section 9.4(a)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Lien</w:t>
      </w:r>
      <w:r>
        <w:rPr>
          <w:caps w:val="false"/>
          <w:smallCaps w:val="false"/>
        </w:rPr>
        <w:t xml:space="preserve">” </w:t>
      </w:r>
      <w:r>
        <w:rPr>
          <w:rFonts w:ascii="Times New Roman PS Std;serif" w:hAnsi="Times New Roman PS Std;serif"/>
          <w:b w:val="false"/>
          <w:i w:val="false"/>
          <w:caps w:val="false"/>
          <w:smallCaps w:val="false"/>
          <w:sz w:val="20"/>
        </w:rPr>
        <w:t>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Multiemployer Plan</w:t>
      </w:r>
      <w:r>
        <w:rPr>
          <w:caps w:val="false"/>
          <w:smallCaps w:val="false"/>
        </w:rPr>
        <w:t xml:space="preserve">” </w:t>
      </w:r>
      <w:r>
        <w:rPr>
          <w:rFonts w:ascii="Times New Roman PS Std;serif" w:hAnsi="Times New Roman PS Std;serif"/>
          <w:b w:val="false"/>
          <w:i w:val="false"/>
          <w:caps w:val="false"/>
          <w:smallCaps w:val="false"/>
          <w:sz w:val="20"/>
        </w:rPr>
        <w:t>means a “multiemployer plan” (as defined in or within the meaning of Section 3(37) of ERISA) or any plan that has two or more contributing sponsors at least two of whom are not under common control within the meaning of Section 4063 of ERISA.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Nasdaq</w:t>
      </w:r>
      <w:r>
        <w:rPr>
          <w:caps w:val="false"/>
          <w:smallCaps w:val="false"/>
        </w:rPr>
        <w:t xml:space="preserve">” </w:t>
      </w:r>
      <w:r>
        <w:rPr>
          <w:rFonts w:ascii="Times New Roman PS Std;serif" w:hAnsi="Times New Roman PS Std;serif"/>
          <w:b w:val="false"/>
          <w:i w:val="false"/>
          <w:caps w:val="false"/>
          <w:smallCaps w:val="false"/>
          <w:sz w:val="20"/>
        </w:rPr>
        <w:t>means The Nasdaq Stock Market LLC.</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Net Share</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a Company Option, the quotient obtained by dividing (a) the product of (i) the excess of the Per Share Cash Equivalent Consideration over the per share exercise price of such Company Option, </w:t>
      </w:r>
      <w:r>
        <w:rPr>
          <w:rFonts w:ascii="Times New Roman PS Std;serif" w:hAnsi="Times New Roman PS Std;serif"/>
          <w:b w:val="false"/>
          <w:i/>
          <w:sz w:val="20"/>
        </w:rPr>
        <w:t>multiplied</w:t>
      </w:r>
      <w:r>
        <w:rPr>
          <w:caps w:val="false"/>
          <w:smallCaps w:val="false"/>
        </w:rPr>
        <w:t xml:space="preserve"> </w:t>
      </w:r>
      <w:r>
        <w:rPr>
          <w:rFonts w:ascii="Times New Roman PS Std;serif" w:hAnsi="Times New Roman PS Std;serif"/>
          <w:b w:val="false"/>
          <w:i/>
          <w:sz w:val="20"/>
        </w:rPr>
        <w:t>by</w:t>
      </w:r>
      <w:r>
        <w:rPr>
          <w:caps w:val="false"/>
          <w:smallCaps w:val="false"/>
        </w:rPr>
        <w:t xml:space="preserve"> </w:t>
      </w:r>
      <w:r>
        <w:rPr>
          <w:rFonts w:ascii="Times New Roman PS Std;serif" w:hAnsi="Times New Roman PS Std;serif"/>
          <w:b w:val="false"/>
          <w:i w:val="false"/>
          <w:caps w:val="false"/>
          <w:smallCaps w:val="false"/>
          <w:sz w:val="20"/>
        </w:rPr>
        <w:t xml:space="preserve">(ii) the number of shares of Company Common Stock subject to such Company Option immediately prior to the First Effective Time, </w:t>
      </w:r>
      <w:r>
        <w:rPr>
          <w:rFonts w:ascii="Times New Roman PS Std;serif" w:hAnsi="Times New Roman PS Std;serif"/>
          <w:b w:val="false"/>
          <w:i/>
          <w:sz w:val="20"/>
        </w:rPr>
        <w:t>by</w:t>
      </w:r>
      <w:r>
        <w:rPr>
          <w:caps w:val="false"/>
          <w:smallCaps w:val="false"/>
        </w:rPr>
        <w:t xml:space="preserve"> </w:t>
      </w:r>
      <w:r>
        <w:rPr>
          <w:rFonts w:ascii="Times New Roman PS Std;serif" w:hAnsi="Times New Roman PS Std;serif"/>
          <w:b w:val="false"/>
          <w:i w:val="false"/>
          <w:caps w:val="false"/>
          <w:smallCaps w:val="false"/>
          <w:sz w:val="20"/>
        </w:rPr>
        <w:t>(b) the Per Share Cash Equivalent Consideration.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Open Source Material</w:t>
      </w:r>
      <w:r>
        <w:rPr>
          <w:caps w:val="false"/>
          <w:smallCaps w:val="false"/>
        </w:rPr>
        <w:t xml:space="preserve">” </w:t>
      </w:r>
      <w:r>
        <w:rPr>
          <w:rFonts w:ascii="Times New Roman PS Std;serif" w:hAnsi="Times New Roman PS Std;serif"/>
          <w:b w:val="false"/>
          <w:i w:val="false"/>
          <w:caps w:val="false"/>
          <w:smallCaps w:val="false"/>
          <w:sz w:val="20"/>
        </w:rPr>
        <w:t>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judgment, order, executive order, stay, consent decree, determination, ruling, assessment, stipulation, decision, writ, injunction, decree or arbitration award in each case, enacted, adopted, promulgated, imposed, applied, or entered by or with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Ordinance</w:t>
      </w:r>
      <w:r>
        <w:rPr>
          <w:caps w:val="false"/>
          <w:smallCaps w:val="false"/>
        </w:rPr>
        <w:t xml:space="preserve">” </w:t>
      </w:r>
      <w:r>
        <w:rPr>
          <w:rFonts w:ascii="Times New Roman PS Std;serif" w:hAnsi="Times New Roman PS Std;serif"/>
          <w:b w:val="false"/>
          <w:i w:val="false"/>
          <w:caps w:val="false"/>
          <w:smallCaps w:val="false"/>
          <w:sz w:val="20"/>
        </w:rPr>
        <w:t>means the Israeli Income Tax Ordinance (New Version), 1961, as amended, and all rules and regulations promulgated thereunder, as may be amended from time to time, including, any publications and clarifications issued by the ITA.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Other Filings</w:t>
      </w:r>
      <w:r>
        <w:rPr>
          <w:caps w:val="false"/>
          <w:smallCaps w:val="false"/>
        </w:rPr>
        <w:t xml:space="preserve">” </w:t>
      </w:r>
      <w:r>
        <w:rPr>
          <w:rFonts w:ascii="Times New Roman PS Std;serif" w:hAnsi="Times New Roman PS Std;serif"/>
          <w:b w:val="false"/>
          <w:i w:val="false"/>
          <w:caps w:val="false"/>
          <w:smallCaps w:val="false"/>
          <w:sz w:val="20"/>
        </w:rPr>
        <w:t>means all filings made by, or required to be made by, the Company or Parent with the SEC in connection with the transactions contemplated by this Agreement, other than the Proxy Statement/Prospectus and Registration Statement.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Out-of-the-Money Company Option</w:t>
      </w:r>
      <w:r>
        <w:rPr>
          <w:caps w:val="false"/>
          <w:smallCaps w:val="false"/>
        </w:rPr>
        <w:t xml:space="preserve">” </w:t>
      </w:r>
      <w:r>
        <w:rPr>
          <w:rFonts w:ascii="Times New Roman PS Std;serif" w:hAnsi="Times New Roman PS Std;serif"/>
          <w:b w:val="false"/>
          <w:i w:val="false"/>
          <w:caps w:val="false"/>
          <w:smallCaps w:val="false"/>
          <w:sz w:val="20"/>
        </w:rPr>
        <w:t>means any Company Option having a per-share exercise price equal to or in excess of the Per Share Cash Equivalent Consideration (calculated for this purpose as if all Company Options were included in the definition of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Benefit Plan</w:t>
      </w:r>
      <w:r>
        <w:rPr>
          <w:caps w:val="false"/>
          <w:smallCaps w:val="false"/>
        </w:rPr>
        <w:t xml:space="preserve">” </w:t>
      </w:r>
      <w:r>
        <w:rPr>
          <w:rFonts w:ascii="Times New Roman PS Std;serif" w:hAnsi="Times New Roman PS Std;serif"/>
          <w:b w:val="false"/>
          <w:i w:val="false"/>
          <w:caps w:val="false"/>
          <w:smallCaps w:val="false"/>
          <w:sz w:val="20"/>
        </w:rPr>
        <w:t>means each Employee Benefit Plan that is sponsored, maintained, contributed to, or required to be contributed to, by Parent or any of the Parent Subsidiaries.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Closing Stock Price</w:t>
      </w:r>
      <w:r>
        <w:rPr>
          <w:caps w:val="false"/>
          <w:smallCaps w:val="false"/>
        </w:rPr>
        <w:t xml:space="preserve">” </w:t>
      </w:r>
      <w:r>
        <w:rPr>
          <w:rFonts w:ascii="Times New Roman PS Std;serif" w:hAnsi="Times New Roman PS Std;serif"/>
          <w:b w:val="false"/>
          <w:i w:val="false"/>
          <w:caps w:val="false"/>
          <w:smallCaps w:val="false"/>
          <w:sz w:val="20"/>
        </w:rPr>
        <w:t xml:space="preserve">means the Parent Closing VWAP Stock Price;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the event such price per share (a) exceeds $12 per share, “Parent Closing Stock Price” means $12 per share or (b) falls below $7 per share, “Parent Closing Stock Price” means $7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Closing VWAP Stock Price</w:t>
      </w:r>
      <w:r>
        <w:rPr>
          <w:caps w:val="false"/>
          <w:smallCaps w:val="false"/>
        </w:rPr>
        <w:t xml:space="preserve">” </w:t>
      </w:r>
      <w:r>
        <w:rPr>
          <w:rFonts w:ascii="Times New Roman PS Std;serif" w:hAnsi="Times New Roman PS Std;serif"/>
          <w:b w:val="false"/>
          <w:i w:val="false"/>
          <w:caps w:val="false"/>
          <w:smallCaps w:val="false"/>
          <w:sz w:val="20"/>
        </w:rPr>
        <w:t>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Common Stock</w:t>
      </w:r>
      <w:r>
        <w:rPr>
          <w:caps w:val="false"/>
          <w:smallCaps w:val="false"/>
        </w:rPr>
        <w:t xml:space="preserve">” </w:t>
      </w:r>
      <w:r>
        <w:rPr>
          <w:rFonts w:ascii="Times New Roman PS Std;serif" w:hAnsi="Times New Roman PS Std;serif"/>
          <w:b w:val="false"/>
          <w:i w:val="false"/>
          <w:caps w:val="false"/>
          <w:smallCaps w:val="false"/>
          <w:sz w:val="20"/>
        </w:rPr>
        <w:t>means the Class A Common Stock of Parent, par value $0.0001 per share.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Expense Cap</w:t>
      </w:r>
      <w:r>
        <w:rPr>
          <w:caps w:val="false"/>
          <w:smallCaps w:val="false"/>
        </w:rPr>
        <w:t xml:space="preserve">” </w:t>
      </w:r>
      <w:r>
        <w:rPr>
          <w:rFonts w:ascii="Times New Roman PS Std;serif" w:hAnsi="Times New Roman PS Std;serif"/>
          <w:b w:val="false"/>
          <w:i w:val="false"/>
          <w:caps w:val="false"/>
          <w:smallCaps w:val="false"/>
          <w:sz w:val="20"/>
        </w:rPr>
        <w:t>means an amount equal to $3,750,000.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underlying cause of such failure may be taken into account in determining whether a Parent Material Adverse Effect has occurred.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Representatives</w:t>
      </w:r>
      <w:r>
        <w:rPr>
          <w:caps w:val="false"/>
          <w:smallCaps w:val="false"/>
        </w:rPr>
        <w:t xml:space="preserve">” </w:t>
      </w:r>
      <w:r>
        <w:rPr>
          <w:rFonts w:ascii="Times New Roman PS Std;serif" w:hAnsi="Times New Roman PS Std;serif"/>
          <w:b w:val="false"/>
          <w:i w:val="false"/>
          <w:caps w:val="false"/>
          <w:smallCaps w:val="false"/>
          <w:sz w:val="20"/>
        </w:rPr>
        <w:t>means Parent’s and the Parent Subsidiaries’ respective directors, officers, employees, accountants, consultants, legal counsel, investment bankers, advisors, agents and other representatives acting for or on behalf of Parent or any Parent Subsidiary.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Share Issuance</w:t>
      </w:r>
      <w:r>
        <w:rPr>
          <w:caps w:val="false"/>
          <w:smallCaps w:val="false"/>
        </w:rPr>
        <w:t xml:space="preserve">” </w:t>
      </w:r>
      <w:r>
        <w:rPr>
          <w:rFonts w:ascii="Times New Roman PS Std;serif" w:hAnsi="Times New Roman PS Std;serif"/>
          <w:b w:val="false"/>
          <w:i w:val="false"/>
          <w:caps w:val="false"/>
          <w:smallCaps w:val="false"/>
          <w:sz w:val="20"/>
        </w:rPr>
        <w:t>means the issuance of shares of Parent Common Stock to the stockholders of the Company pursuant to and in accordance with the terms of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Cash Equivalent Consideration</w:t>
      </w:r>
      <w:r>
        <w:rPr>
          <w:caps w:val="false"/>
          <w:smallCaps w:val="false"/>
        </w:rPr>
        <w:t xml:space="preserve">” </w:t>
      </w:r>
      <w:r>
        <w:rPr>
          <w:rFonts w:ascii="Times New Roman PS Std;serif" w:hAnsi="Times New Roman PS Std;serif"/>
          <w:b w:val="false"/>
          <w:i w:val="false"/>
          <w:caps w:val="false"/>
          <w:smallCaps w:val="false"/>
          <w:sz w:val="20"/>
        </w:rPr>
        <w:t>means the product (rounded to the nearest cent) obtained by multiplying (a) the Per Share Merger Consideration by (b) the Parent Closing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Cash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the Closing TASE Cash Merger Consideration,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TASE Common Number.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subject to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the number of fully paid and nonassessable shares of Parent Common Stock equal to (a) the Closing Merger Consideration,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Permitted Liens</w:t>
      </w:r>
      <w:r>
        <w:rPr>
          <w:caps w:val="false"/>
          <w:smallCaps w:val="false"/>
        </w:rPr>
        <w:t xml:space="preserve">” </w:t>
      </w:r>
      <w:r>
        <w:rPr>
          <w:rFonts w:ascii="Times New Roman PS Std;serif" w:hAnsi="Times New Roman PS Std;serif"/>
          <w:b w:val="false"/>
          <w:i w:val="false"/>
          <w:caps w:val="false"/>
          <w:smallCaps w:val="false"/>
          <w:sz w:val="20"/>
        </w:rPr>
        <w:t>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limited liability company, partnership, association, trust, unincorporated organization, other entity or group (as defined in Section 13(d) of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Prime Rate</w:t>
      </w:r>
      <w:r>
        <w:rPr>
          <w:caps w:val="false"/>
          <w:smallCaps w:val="false"/>
        </w:rPr>
        <w:t xml:space="preserve">” </w:t>
      </w:r>
      <w:r>
        <w:rPr>
          <w:rFonts w:ascii="Times New Roman PS Std;serif" w:hAnsi="Times New Roman PS Std;serif"/>
          <w:b w:val="false"/>
          <w:i w:val="false"/>
          <w:caps w:val="false"/>
          <w:smallCaps w:val="false"/>
          <w:sz w:val="20"/>
        </w:rPr>
        <w:t xml:space="preserve">means the rate per annum published in </w:t>
      </w:r>
      <w:r>
        <w:rPr>
          <w:rFonts w:ascii="Times New Roman PS Std;serif" w:hAnsi="Times New Roman PS Std;serif"/>
          <w:b w:val="false"/>
          <w:i/>
          <w:sz w:val="20"/>
        </w:rPr>
        <w:t>The Wall Street Journal</w:t>
      </w:r>
      <w:r>
        <w:rPr>
          <w:caps w:val="false"/>
          <w:smallCaps w:val="false"/>
        </w:rPr>
        <w:t xml:space="preserve"> </w:t>
      </w:r>
      <w:r>
        <w:rPr>
          <w:rFonts w:ascii="Times New Roman PS Std;serif" w:hAnsi="Times New Roman PS Std;serif"/>
          <w:b w:val="false"/>
          <w:i w:val="false"/>
          <w:caps w:val="false"/>
          <w:smallCaps w:val="false"/>
          <w:sz w:val="20"/>
        </w:rPr>
        <w:t>from time to time as the prime lending rate prevailing during any relevant period.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Privacy and Security Laws</w:t>
      </w:r>
      <w:r>
        <w:rPr>
          <w:caps w:val="false"/>
          <w:smallCaps w:val="false"/>
        </w:rPr>
        <w:t xml:space="preserve">” </w:t>
      </w:r>
      <w:r>
        <w:rPr>
          <w:rFonts w:ascii="Times New Roman PS Std;serif" w:hAnsi="Times New Roman PS Std;serif"/>
          <w:b w:val="false"/>
          <w:i w:val="false"/>
          <w:caps w:val="false"/>
          <w:smallCaps w:val="false"/>
          <w:sz w:val="20"/>
        </w:rPr>
        <w:t>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Proceeding</w:t>
      </w:r>
      <w:r>
        <w:rPr>
          <w:caps w:val="false"/>
          <w:smallCaps w:val="false"/>
        </w:rPr>
        <w:t xml:space="preserve">” </w:t>
      </w:r>
      <w:r>
        <w:rPr>
          <w:rFonts w:ascii="Times New Roman PS Std;serif" w:hAnsi="Times New Roman PS Std;serif"/>
          <w:b w:val="false"/>
          <w:i w:val="false"/>
          <w:caps w:val="false"/>
          <w:smallCaps w:val="false"/>
          <w:sz w:val="20"/>
        </w:rPr>
        <w:t>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Processing</w:t>
      </w:r>
      <w:r>
        <w:rPr>
          <w:caps w:val="false"/>
          <w:smallCaps w:val="false"/>
        </w:rPr>
        <w:t xml:space="preserve">” </w:t>
      </w:r>
      <w:r>
        <w:rPr>
          <w:rFonts w:ascii="Times New Roman PS Std;serif" w:hAnsi="Times New Roman PS Std;serif"/>
          <w:b w:val="false"/>
          <w:i w:val="false"/>
          <w:caps w:val="false"/>
          <w:smallCaps w:val="false"/>
          <w:sz w:val="20"/>
        </w:rPr>
        <w:t>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Regulatory Laws</w:t>
      </w:r>
      <w:r>
        <w:rPr>
          <w:caps w:val="false"/>
          <w:smallCaps w:val="false"/>
        </w:rPr>
        <w:t xml:space="preserve">” </w:t>
      </w:r>
      <w:r>
        <w:rPr>
          <w:rFonts w:ascii="Times New Roman PS Std;serif" w:hAnsi="Times New Roman PS Std;serif"/>
          <w:b w:val="false"/>
          <w:i w:val="false"/>
          <w:caps w:val="false"/>
          <w:smallCaps w:val="false"/>
          <w:sz w:val="20"/>
        </w:rPr>
        <w:t>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Release</w:t>
      </w:r>
      <w:r>
        <w:rPr>
          <w:caps w:val="false"/>
          <w:smallCaps w:val="false"/>
        </w:rPr>
        <w:t xml:space="preserve">” </w:t>
      </w:r>
      <w:r>
        <w:rPr>
          <w:rFonts w:ascii="Times New Roman PS Std;serif" w:hAnsi="Times New Roman PS Std;serif"/>
          <w:b w:val="false"/>
          <w:i w:val="false"/>
          <w:caps w:val="false"/>
          <w:smallCaps w:val="false"/>
          <w:sz w:val="20"/>
        </w:rPr>
        <w:t>means any release, spill, emission, leaking, pumping, pouring, injection, escaping, deposit, disposal, discharge, dispersal, dumping, or leaching of any Hazardous Substance into the environment.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Sanctioned Person</w:t>
      </w:r>
      <w:r>
        <w:rPr>
          <w:caps w:val="false"/>
          <w:smallCaps w:val="false"/>
        </w:rPr>
        <w:t xml:space="preserve">” </w:t>
      </w:r>
      <w:r>
        <w:rPr>
          <w:rFonts w:ascii="Times New Roman PS Std;serif" w:hAnsi="Times New Roman PS Std;serif"/>
          <w:b w:val="false"/>
          <w:i w:val="false"/>
          <w:caps w:val="false"/>
          <w:smallCaps w:val="false"/>
          <w:sz w:val="20"/>
        </w:rPr>
        <w:t>means (a) any Person listed on any sanctions-related list of designated Persons, maintained by the Office of Foreign Assets Control of the U.S. Department of the Treasury’s (“</w:t>
      </w:r>
      <w:r>
        <w:rPr>
          <w:rFonts w:ascii="Times New Roman PS Std;serif" w:hAnsi="Times New Roman PS Std;serif"/>
          <w:b w:val="false"/>
          <w:i w:val="false"/>
          <w:caps w:val="false"/>
          <w:smallCaps w:val="false"/>
          <w:sz w:val="20"/>
          <w:u w:val="single"/>
        </w:rPr>
        <w:t>OFAC</w:t>
      </w:r>
      <w:r>
        <w:rPr>
          <w:caps w:val="false"/>
          <w:smallCaps w:val="false"/>
        </w:rPr>
        <w:t>”</w:t>
      </w:r>
      <w:r>
        <w:rPr>
          <w:rFonts w:ascii="Times New Roman PS Std;serif" w:hAnsi="Times New Roman PS Std;serif"/>
          <w:b w:val="false"/>
          <w:i w:val="false"/>
          <w:caps w:val="false"/>
          <w:smallCaps w:val="false"/>
          <w:sz w:val="20"/>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Sanctions</w:t>
      </w:r>
      <w:r>
        <w:rPr>
          <w:caps w:val="false"/>
          <w:smallCaps w:val="false"/>
        </w:rPr>
        <w:t xml:space="preserve">” </w:t>
      </w:r>
      <w:r>
        <w:rPr>
          <w:rFonts w:ascii="Times New Roman PS Std;serif" w:hAnsi="Times New Roman PS Std;serif"/>
          <w:b w:val="false"/>
          <w:i w:val="false"/>
          <w:caps w:val="false"/>
          <w:smallCaps w:val="false"/>
          <w:sz w:val="20"/>
        </w:rPr>
        <w:t>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Scraped Dataset</w:t>
      </w:r>
      <w:r>
        <w:rPr>
          <w:caps w:val="false"/>
          <w:smallCaps w:val="false"/>
        </w:rPr>
        <w:t xml:space="preserve">” </w:t>
      </w:r>
      <w:r>
        <w:rPr>
          <w:rFonts w:ascii="Times New Roman PS Std;serif" w:hAnsi="Times New Roman PS Std;serif"/>
          <w:b w:val="false"/>
          <w:i w:val="false"/>
          <w:caps w:val="false"/>
          <w:smallCaps w:val="false"/>
          <w:sz w:val="20"/>
        </w:rPr>
        <w:t>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United States Securities and Exchange Commission.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Second Lien Notes</w:t>
      </w:r>
      <w:r>
        <w:rPr>
          <w:caps w:val="false"/>
          <w:smallCaps w:val="false"/>
        </w:rPr>
        <w:t xml:space="preserve">” </w:t>
      </w:r>
      <w:r>
        <w:rPr>
          <w:rFonts w:ascii="Times New Roman PS Std;serif" w:hAnsi="Times New Roman PS Std;serif"/>
          <w:b w:val="false"/>
          <w:i w:val="false"/>
          <w:caps w:val="false"/>
          <w:smallCaps w:val="false"/>
          <w:sz w:val="20"/>
        </w:rPr>
        <w:t>means the Company’s Second Lien Senior Subordinated Secured Notes due 2029.</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Section 102</w:t>
      </w:r>
      <w:r>
        <w:rPr>
          <w:caps w:val="false"/>
          <w:smallCaps w:val="false"/>
        </w:rPr>
        <w:t xml:space="preserve">” </w:t>
      </w:r>
      <w:r>
        <w:rPr>
          <w:rFonts w:ascii="Times New Roman PS Std;serif" w:hAnsi="Times New Roman PS Std;serif"/>
          <w:b w:val="false"/>
          <w:i w:val="false"/>
          <w:caps w:val="false"/>
          <w:smallCaps w:val="false"/>
          <w:sz w:val="20"/>
        </w:rPr>
        <w:t>means Section 102 of the Ordinance and the regulations and rules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Section 102 Trustee</w:t>
      </w:r>
      <w:r>
        <w:rPr>
          <w:caps w:val="false"/>
          <w:smallCaps w:val="false"/>
        </w:rPr>
        <w:t xml:space="preserve">” </w:t>
      </w:r>
      <w:r>
        <w:rPr>
          <w:rFonts w:ascii="Times New Roman PS Std;serif" w:hAnsi="Times New Roman PS Std;serif"/>
          <w:b w:val="false"/>
          <w:i w:val="false"/>
          <w:caps w:val="false"/>
          <w:smallCaps w:val="false"/>
          <w:sz w:val="20"/>
        </w:rPr>
        <w:t>means, ESOP Management and Trust Services Ltd., the trustee appointed by the Company in accordance with the provisions of Section 102(b) of the Ordinance and the rules and regulations promulgated in connection therewith,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Secured Notes</w:t>
      </w:r>
      <w:r>
        <w:rPr>
          <w:caps w:val="false"/>
          <w:smallCaps w:val="false"/>
        </w:rPr>
        <w:t xml:space="preserve">” </w:t>
      </w:r>
      <w:r>
        <w:rPr>
          <w:rFonts w:ascii="Times New Roman PS Std;serif" w:hAnsi="Times New Roman PS Std;serif"/>
          <w:b w:val="false"/>
          <w:i w:val="false"/>
          <w:caps w:val="false"/>
          <w:smallCaps w:val="false"/>
          <w:sz w:val="20"/>
        </w:rPr>
        <w:t>means, collectively, the First Lien Notes and the Second Lien Notes.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 xml:space="preserve">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w:t>
      </w:r>
      <w:r>
        <w:rPr>
          <w:caps w:val="false"/>
          <w:smallCaps w:val="false"/>
        </w:rPr>
        <w:t xml:space="preserve">” </w:t>
      </w:r>
      <w:r>
        <w:rPr>
          <w:rFonts w:ascii="Times New Roman PS Std;serif" w:hAnsi="Times New Roman PS Std;serif"/>
          <w:b w:val="false"/>
          <w:i w:val="false"/>
          <w:caps w:val="false"/>
          <w:smallCaps w:val="false"/>
          <w:sz w:val="20"/>
        </w:rPr>
        <w:t>means the Tel-Aviv Stock Exchange Ltd.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TASECH</w:t>
      </w:r>
      <w:r>
        <w:rPr>
          <w:caps w:val="false"/>
          <w:smallCaps w:val="false"/>
        </w:rPr>
        <w:t xml:space="preserve">” </w:t>
      </w:r>
      <w:r>
        <w:rPr>
          <w:rFonts w:ascii="Times New Roman PS Std;serif" w:hAnsi="Times New Roman PS Std;serif"/>
          <w:b w:val="false"/>
          <w:i w:val="false"/>
          <w:caps w:val="false"/>
          <w:smallCaps w:val="false"/>
          <w:sz w:val="20"/>
        </w:rPr>
        <w:t>means the Tel-Aviv Stock Exchange Clearing House Ltd.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 Share</w:t>
      </w:r>
      <w:r>
        <w:rPr>
          <w:caps w:val="false"/>
          <w:smallCaps w:val="false"/>
        </w:rPr>
        <w:t xml:space="preserve">” </w:t>
      </w:r>
      <w:r>
        <w:rPr>
          <w:rFonts w:ascii="Times New Roman PS Std;serif" w:hAnsi="Times New Roman PS Std;serif"/>
          <w:b w:val="false"/>
          <w:i w:val="false"/>
          <w:caps w:val="false"/>
          <w:smallCaps w:val="false"/>
          <w:sz w:val="20"/>
        </w:rPr>
        <w:t>means, as of any time of determination, each share of Company Common Stock issued and outstanding that is held through the TASECH.</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 Benefits Preservation Plan</w:t>
      </w:r>
      <w:r>
        <w:rPr>
          <w:caps w:val="false"/>
          <w:smallCaps w:val="false"/>
        </w:rPr>
        <w:t xml:space="preserve">” </w:t>
      </w:r>
      <w:r>
        <w:rPr>
          <w:rFonts w:ascii="Times New Roman PS Std;serif" w:hAnsi="Times New Roman PS Std;serif"/>
          <w:b w:val="false"/>
          <w:i w:val="false"/>
          <w:caps w:val="false"/>
          <w:smallCaps w:val="false"/>
          <w:sz w:val="20"/>
        </w:rPr>
        <w:t>means that certain Tax Benefits Preservation Plan, dated as of January 22, 2024, by and between the Company and Equiniti Trust Company, LLC, as Rights Agent, as amended by that certain Amendment No. 1 to the Tax Benefits Preservation Plan, dated as of February 16, 2024.</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Taxes</w:t>
      </w:r>
      <w:r>
        <w:rPr>
          <w:caps w:val="false"/>
          <w:smallCaps w:val="false"/>
        </w:rPr>
        <w:t xml:space="preserve">” </w:t>
      </w:r>
      <w:r>
        <w:rPr>
          <w:rFonts w:ascii="Times New Roman PS Std;serif" w:hAnsi="Times New Roman PS Std;serif"/>
          <w:b w:val="false"/>
          <w:i w:val="false"/>
          <w:caps w:val="false"/>
          <w:smallCaps w:val="false"/>
          <w:sz w:val="20"/>
        </w:rPr>
        <w:t>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Trade Compliance Laws</w:t>
      </w:r>
      <w:r>
        <w:rPr>
          <w:caps w:val="false"/>
          <w:smallCaps w:val="false"/>
        </w:rPr>
        <w:t xml:space="preserve">” </w:t>
      </w:r>
      <w:r>
        <w:rPr>
          <w:rFonts w:ascii="Times New Roman PS Std;serif" w:hAnsi="Times New Roman PS Std;serif"/>
          <w:b w:val="false"/>
          <w:i w:val="false"/>
          <w:caps w:val="false"/>
          <w:smallCaps w:val="false"/>
          <w:sz w:val="20"/>
        </w:rPr>
        <w:t>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Trading Day</w:t>
      </w:r>
      <w:r>
        <w:rPr>
          <w:caps w:val="false"/>
          <w:smallCaps w:val="false"/>
        </w:rPr>
        <w:t xml:space="preserve">” </w:t>
      </w:r>
      <w:r>
        <w:rPr>
          <w:rFonts w:ascii="Times New Roman PS Std;serif" w:hAnsi="Times New Roman PS Std;serif"/>
          <w:b w:val="false"/>
          <w:i w:val="false"/>
          <w:caps w:val="false"/>
          <w:smallCaps w:val="false"/>
          <w:sz w:val="20"/>
        </w:rPr>
        <w:t>shall mean a day on which shares of Parent Common Stock are traded on the Nasdaq.</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Training Data</w:t>
      </w:r>
      <w:r>
        <w:rPr>
          <w:caps w:val="false"/>
          <w:smallCaps w:val="false"/>
        </w:rPr>
        <w:t xml:space="preserve">” </w:t>
      </w:r>
      <w:r>
        <w:rPr>
          <w:rFonts w:ascii="Times New Roman PS Std;serif" w:hAnsi="Times New Roman PS Std;serif"/>
          <w:b w:val="false"/>
          <w:i w:val="false"/>
          <w:caps w:val="false"/>
          <w:smallCaps w:val="false"/>
          <w:sz w:val="20"/>
        </w:rPr>
        <w:t>shall mean any data used to develop, train, refine, fine tune, test or improve the Company’s AI Technologies, including Data contained in or obtained from Scraped Datasets.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Treasury Regulations</w:t>
      </w:r>
      <w:r>
        <w:rPr>
          <w:caps w:val="false"/>
          <w:smallCaps w:val="false"/>
        </w:rPr>
        <w:t xml:space="preserve">” </w:t>
      </w:r>
      <w:r>
        <w:rPr>
          <w:rFonts w:ascii="Times New Roman PS Std;serif" w:hAnsi="Times New Roman PS Std;serif"/>
          <w:b w:val="false"/>
          <w:i w:val="false"/>
          <w:caps w:val="false"/>
          <w:smallCaps w:val="false"/>
          <w:sz w:val="20"/>
        </w:rPr>
        <w:t>means the United States Treasury Regulations promulgated under the Code.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Union</w:t>
      </w:r>
      <w:r>
        <w:rPr>
          <w:caps w:val="false"/>
          <w:smallCaps w:val="false"/>
        </w:rPr>
        <w:t xml:space="preserve">” </w:t>
      </w:r>
      <w:r>
        <w:rPr>
          <w:rFonts w:ascii="Times New Roman PS Std;serif" w:hAnsi="Times New Roman PS Std;serif"/>
          <w:b w:val="false"/>
          <w:i w:val="false"/>
          <w:caps w:val="false"/>
          <w:smallCaps w:val="false"/>
          <w:sz w:val="20"/>
        </w:rPr>
        <w:t>means any union, labor organization, works council, employee association or other bargaining unit representative.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Willful and Material Breach</w:t>
      </w:r>
      <w:r>
        <w:rPr>
          <w:caps w:val="false"/>
          <w:smallCaps w:val="false"/>
        </w:rPr>
        <w:t xml:space="preserve">” </w:t>
      </w:r>
      <w:r>
        <w:rPr>
          <w:rFonts w:ascii="Times New Roman PS Std;serif" w:hAnsi="Times New Roman PS Std;serif"/>
          <w:b w:val="false"/>
          <w:i w:val="false"/>
          <w:caps w:val="false"/>
          <w:smallCaps w:val="false"/>
          <w:sz w:val="20"/>
        </w:rPr>
        <w:t>means a material breach of a representation, warranty or covenant that is the consequence of a deliberate act or omission of the breaching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9.5         </w:t>
      </w:r>
      <w:r>
        <w:rPr>
          <w:rFonts w:ascii="Times New Roman PS Std;serif" w:hAnsi="Times New Roman PS Std;serif"/>
          <w:b w:val="false"/>
          <w:i w:val="false"/>
          <w:caps w:val="false"/>
          <w:smallCaps w:val="false"/>
          <w:sz w:val="20"/>
          <w:u w:val="single"/>
        </w:rPr>
        <w:t>Terms Defined Elsewhere</w:t>
      </w:r>
      <w:r>
        <w:rPr>
          <w:rFonts w:ascii="Times New Roman PS Std;serif" w:hAnsi="Times New Roman PS Std;serif"/>
          <w:b w:val="false"/>
          <w:i w:val="false"/>
          <w:caps w:val="false"/>
          <w:smallCaps w:val="false"/>
          <w:sz w:val="20"/>
        </w:rPr>
        <w:t>. The following terms are defined elsewhere in this Agreement, as indicated below:</w:t>
      </w:r>
    </w:p>
    <w:tbl>
      <w:tblPr>
        <w:tblW w:w="6557" w:type="dxa"/>
        <w:jc w:val="left"/>
        <w:tblInd w:w="0" w:type="dxa"/>
        <w:tblLayout w:type="fixed"/>
        <w:tblCellMar>
          <w:top w:w="0" w:type="dxa"/>
          <w:left w:w="0" w:type="dxa"/>
          <w:bottom w:w="0" w:type="dxa"/>
          <w:right w:w="0" w:type="dxa"/>
        </w:tblCellMar>
      </w:tblPr>
      <w:tblGrid>
        <w:gridCol w:w="4726"/>
        <w:gridCol w:w="1831"/>
      </w:tblGrid>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Agreemen</w:t>
            </w:r>
            <w:r>
              <w:rPr>
                <w:rFonts w:ascii="Times New Roman PS Std;serif" w:hAnsi="Times New Roman PS Std;serif"/>
                <w:b w:val="false"/>
                <w:i w:val="false"/>
                <w:caps w:val="false"/>
                <w:smallCaps w:val="false"/>
                <w:sz w:val="20"/>
              </w:rPr>
              <w:t>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Appraisal Rights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Assumed Option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2.6(a)(i)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Assumed RSU Award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2.6(b)(ii)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Change of Company Board Recommendation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Clean Team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COBRA</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3.9(d)</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401(k)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AI Products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Board Recommendation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Book-Entry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Bylaws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Cancelled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2.1(a)(iii)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Capitalization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Certificated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Charter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Common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Disclosure Schedule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3</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Fairness Opinion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Financial Statements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ISA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IT Assets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3.15(j)</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Leased Real Property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3.18(b)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Material Contract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Notice Period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6.3(e)(i)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Permits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3.12</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Preferred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Real Property Leases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3.18(b)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Registered Intellectual Property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Related Party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3.24</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Rights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SEC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Stockholders Meeting</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Subsidiary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Termination Fee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Transaction Litigation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6.6</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Confidentiality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Continuing Service Provider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2.6(a)(i)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Covered Persons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6.9(a)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Current ESPP Offering Periods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02" w:type="dxa"/>
        <w:jc w:val="left"/>
        <w:tblInd w:w="0" w:type="dxa"/>
        <w:tblLayout w:type="fixed"/>
        <w:tblCellMar>
          <w:top w:w="0" w:type="dxa"/>
          <w:left w:w="0" w:type="dxa"/>
          <w:bottom w:w="0" w:type="dxa"/>
          <w:right w:w="0" w:type="dxa"/>
        </w:tblCellMar>
      </w:tblPr>
      <w:tblGrid>
        <w:gridCol w:w="3571"/>
        <w:gridCol w:w="1831"/>
      </w:tblGrid>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Data Partners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DGCL</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Dissenting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Effect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Enforceability Limitations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Estimated Closing Statement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Exchange Agent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Extended 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Certificate of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Surviving Corporation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Houlihan Lokey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Initial 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Integration Planning Activities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6.14(a)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Intended Tax Treatment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2.10</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Intermediate Sub</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Israeli Employees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3.10(j)</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Legal Impediment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 Merger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2.1(a)(v)</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II</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New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Non-U.S. Company Benefit Plan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Notes Restructuring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Notes Restructuring Transactions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OFAC</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Old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Original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Board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Financial Statements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4.5(c)</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Parties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SEC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Subsidiary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2.1(a)(iii)</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Privacy Requirements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Proxy Statement/Prospectus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Required Company Vote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Section 14 Arrangement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3.10(j)</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Certificate of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42" w:type="dxa"/>
        <w:jc w:val="left"/>
        <w:tblInd w:w="0" w:type="dxa"/>
        <w:tblLayout w:type="fixed"/>
        <w:tblCellMar>
          <w:top w:w="0" w:type="dxa"/>
          <w:left w:w="0" w:type="dxa"/>
          <w:bottom w:w="0" w:type="dxa"/>
          <w:right w:w="0" w:type="dxa"/>
        </w:tblCellMar>
      </w:tblPr>
      <w:tblGrid>
        <w:gridCol w:w="4066"/>
        <w:gridCol w:w="1576"/>
      </w:tblGrid>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Surviving Corporation</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3.23</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Tax Benefits Preservation Plan Waiver</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3.3(b)</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Terminated Company 401(k) Plan</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6.8(c)</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Trade Secrets</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WARN Act</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3.10(f)</w:t>
            </w:r>
          </w:p>
        </w:tc>
      </w:tr>
    </w:tbl>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9.6         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The headings contained in this Agreement are for reference purposes only and shall not affect in any way the meaning or interpretation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9.7         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9.8         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9.9         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9.10       </w:t>
      </w:r>
      <w:r>
        <w:rPr>
          <w:rFonts w:ascii="Times New Roman PS Std;serif" w:hAnsi="Times New Roman PS Std;serif"/>
          <w:b w:val="false"/>
          <w:i w:val="false"/>
          <w:caps w:val="false"/>
          <w:smallCaps w:val="false"/>
          <w:sz w:val="20"/>
          <w:u w:val="single"/>
        </w:rPr>
        <w:t>No Third Party Beneficiaries</w:t>
      </w:r>
      <w:r>
        <w:rPr>
          <w:rFonts w:ascii="Times New Roman PS Std;serif" w:hAnsi="Times New Roman PS Std;serif"/>
          <w:b w:val="false"/>
          <w:i w:val="false"/>
          <w:caps w:val="false"/>
          <w:smallCaps w:val="false"/>
          <w:sz w:val="20"/>
        </w:rPr>
        <w:t xml:space="preserve">. This Agreement shall be binding upon and inure solely to the benefit of the parties and their respective successors and assigns, and, subject to </w:t>
      </w:r>
      <w:r>
        <w:rPr>
          <w:rFonts w:ascii="Times New Roman PS Std;serif" w:hAnsi="Times New Roman PS Std;serif"/>
          <w:b w:val="false"/>
          <w:i w:val="false"/>
          <w:caps w:val="false"/>
          <w:smallCaps w:val="false"/>
          <w:sz w:val="20"/>
          <w:u w:val="single"/>
        </w:rPr>
        <w:t>Section 6.9(a)</w:t>
      </w:r>
      <w:r>
        <w:rPr>
          <w:rFonts w:ascii="Times New Roman PS Std;serif" w:hAnsi="Times New Roman PS Std;serif"/>
          <w:b w:val="false"/>
          <w:i w:val="false"/>
          <w:caps w:val="false"/>
          <w:smallCaps w:val="false"/>
          <w:sz w:val="20"/>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9.11       </w:t>
      </w:r>
      <w:r>
        <w:rPr>
          <w:rFonts w:ascii="Times New Roman PS Std;serif" w:hAnsi="Times New Roman PS Std;serif"/>
          <w:b w:val="false"/>
          <w:i w:val="false"/>
          <w:caps w:val="false"/>
          <w:smallCaps w:val="false"/>
          <w:sz w:val="20"/>
          <w:u w:val="single"/>
        </w:rPr>
        <w:t>Mutual Drafting; Interpretation</w:t>
      </w:r>
      <w:r>
        <w:rPr>
          <w:rFonts w:ascii="Times New Roman PS Std;serif" w:hAnsi="Times New Roman PS Std;serif"/>
          <w:b w:val="false"/>
          <w:i w:val="false"/>
          <w:caps w:val="false"/>
          <w:smallCaps w:val="false"/>
          <w:sz w:val="20"/>
        </w:rPr>
        <w:t xml:space="preserve">.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9.12       </w:t>
      </w:r>
      <w:r>
        <w:rPr>
          <w:rFonts w:ascii="Times New Roman PS Std;serif" w:hAnsi="Times New Roman PS Std;serif"/>
          <w:b w:val="false"/>
          <w:i w:val="false"/>
          <w:caps w:val="false"/>
          <w:smallCaps w:val="false"/>
          <w:sz w:val="20"/>
          <w:u w:val="single"/>
        </w:rPr>
        <w:t>Governing Law; Consent to Jurisdiction; Waiver of Trial by Jury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Nothing in this Agreement shall affect the right of any party to this Agreement to serve process in any other manner permitted by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PS Std;serif" w:hAnsi="Times New Roman PS Std;serif"/>
          <w:b w:val="false"/>
          <w:i w:val="false"/>
          <w:caps w:val="false"/>
          <w:smallCaps w:val="false"/>
          <w:sz w:val="20"/>
          <w:u w:val="single"/>
        </w:rPr>
        <w:t>SECTION 9.12(c)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9.13       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xml:space="preserve">.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9.14       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PS Std;serif" w:hAnsi="Times New Roman PS Std;serif"/>
          <w:b w:val="false"/>
          <w:i w:val="false"/>
          <w:caps w:val="false"/>
          <w:smallCaps w:val="false"/>
          <w:sz w:val="20"/>
          <w:u w:val="single"/>
        </w:rPr>
        <w:t>Section 9.14</w:t>
      </w:r>
      <w:r>
        <w:rPr>
          <w:rFonts w:ascii="Times New Roman PS Std;serif" w:hAnsi="Times New Roman PS Std;serif"/>
          <w:b w:val="false"/>
          <w:i w:val="false"/>
          <w:caps w:val="false"/>
          <w:smallCaps w:val="false"/>
          <w:sz w:val="20"/>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PS Std;serif" w:hAnsi="Times New Roman PS Std;serif"/>
          <w:b w:val="false"/>
          <w:i w:val="false"/>
          <w:caps w:val="false"/>
          <w:smallCaps w:val="false"/>
          <w:sz w:val="20"/>
          <w:u w:val="single"/>
        </w:rPr>
        <w:t>Section 9.12</w:t>
      </w:r>
      <w:r>
        <w:rPr>
          <w:rFonts w:ascii="Times New Roman PS Std;serif" w:hAnsi="Times New Roman PS Std;serif"/>
          <w:b w:val="false"/>
          <w:i w:val="false"/>
          <w:caps w:val="false"/>
          <w:smallCaps w:val="false"/>
          <w:sz w:val="20"/>
        </w:rPr>
        <w:t>, this being in addition to any other remedy to which they are entitled at Law or in equity.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9.15       </w:t>
      </w:r>
      <w:r>
        <w:rPr>
          <w:rFonts w:ascii="Times New Roman PS Std;serif" w:hAnsi="Times New Roman PS Std;serif"/>
          <w:b w:val="false"/>
          <w:i w:val="false"/>
          <w:caps w:val="false"/>
          <w:smallCaps w:val="false"/>
          <w:sz w:val="20"/>
          <w:u w:val="single"/>
        </w:rPr>
        <w:t>Modification or Amendment</w:t>
      </w:r>
      <w:r>
        <w:rPr>
          <w:rFonts w:ascii="Times New Roman PS Std;serif" w:hAnsi="Times New Roman PS Std;serif"/>
          <w:b w:val="false"/>
          <w:i w:val="false"/>
          <w:caps w:val="false"/>
          <w:smallCaps w:val="false"/>
          <w:sz w:val="20"/>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9.16       </w:t>
      </w:r>
      <w:r>
        <w:rPr>
          <w:rFonts w:ascii="Times New Roman PS Std;serif" w:hAnsi="Times New Roman PS Std;serif"/>
          <w:b w:val="false"/>
          <w:i w:val="false"/>
          <w:caps w:val="false"/>
          <w:smallCaps w:val="false"/>
          <w:sz w:val="20"/>
          <w:u w:val="single"/>
        </w:rPr>
        <w:t>Extension; Waiver</w:t>
      </w:r>
      <w:r>
        <w:rPr>
          <w:rFonts w:ascii="Times New Roman PS Std;serif" w:hAnsi="Times New Roman PS Std;serif"/>
          <w:b w:val="false"/>
          <w:i w:val="false"/>
          <w:caps w:val="false"/>
          <w:smallCaps w:val="false"/>
          <w:sz w:val="20"/>
        </w:rPr>
        <w:t xml:space="preserve">. At any time prior to the First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IN WITNESS WHEREOF, the Parent Parties and the Company have caused this Agreement to be executed as of the date first written above by their respective officers</w:t>
      </w:r>
      <w:r>
        <w:rPr>
          <w:caps w:val="false"/>
          <w:smallCaps w:val="false"/>
        </w:rPr>
        <w:t xml:space="preserve"> </w:t>
      </w:r>
      <w:r>
        <w:rPr>
          <w:rFonts w:ascii="Times New Roman PS Std;serif" w:hAnsi="Times New Roman PS Std;serif"/>
          <w:b w:val="false"/>
          <w:i w:val="false"/>
          <w:caps w:val="false"/>
          <w:smallCaps w:val="false"/>
          <w:sz w:val="20"/>
        </w:rPr>
        <w:t>or managers</w:t>
      </w:r>
      <w:r>
        <w:rPr>
          <w:caps w:val="false"/>
          <w:smallCaps w:val="false"/>
        </w:rPr>
        <w:t xml:space="preserve"> </w:t>
      </w:r>
      <w:r>
        <w:rPr>
          <w:rFonts w:ascii="Times New Roman PS Std;serif" w:hAnsi="Times New Roman PS Std;serif"/>
          <w:b w:val="false"/>
          <w:i w:val="false"/>
          <w:caps w:val="false"/>
          <w:smallCaps w:val="false"/>
          <w:sz w:val="20"/>
        </w:rPr>
        <w:t>thereunto duly authorized.</w:t>
      </w:r>
    </w:p>
    <w:tbl>
      <w:tblPr>
        <w:tblW w:w="415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5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50"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55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7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 I:</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67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bl>
    <w:tbl>
      <w:tblPr>
        <w:tblW w:w="55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7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 II:</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67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11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34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81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10"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24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John Collins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Collins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Financial Officer and Chief </w:t>
              <w:br/>
              <w:t>Operating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2076450" cy="2990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2"/>
                    <a:stretch>
                      <a:fillRect/>
                    </a:stretch>
                  </pic:blipFill>
                  <pic:spPr bwMode="auto">
                    <a:xfrm>
                      <a:off x="0" y="0"/>
                      <a:ext cx="2076450" cy="29908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21,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of LivePerson, Inc. </w:t>
        <w:br/>
        <w:t>530 7th Avenue</w:t>
        <w:br/>
        <w:t>Floor M1</w:t>
        <w:br/>
        <w:t>New York, NY 10018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Members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understand that LivePerson, Inc. (the “Company”) intends to enter into a Merger Agreement (the “Agreement”) by and among SoundHound AI, Inc. (“Parent”), Lightspeed Merger Sub Inc., a wholly owned subsidiary of the Parent (“Merger Sub”), and the Company, pursuant to which, among other things, (i) Merger Sub will merge with the Company (the “Merger”), (ii) each outstanding share of common stock, par value $0.001 per share (“Company Common Stock”), of the Company will be converted into the right to receive a number of shares of Class A common stock, par value $0.0001 per share (“Parent Class A Common Stock”), of Parent (the “Consideration”) obtained by dividing (a) the quotient of (1) the sum of (A) the difference of (x) $$42,784,532.64, </w:t>
      </w:r>
      <w:r>
        <w:rPr>
          <w:rFonts w:ascii="Times New Roman PS Std;serif" w:hAnsi="Times New Roman PS Std;serif"/>
          <w:b w:val="false"/>
          <w:i/>
          <w:caps w:val="false"/>
          <w:smallCaps w:val="false"/>
          <w:sz w:val="20"/>
        </w:rPr>
        <w:t xml:space="preserve">minus </w:t>
      </w:r>
      <w:r>
        <w:rPr>
          <w:rFonts w:ascii="Times New Roman PS Std;serif" w:hAnsi="Times New Roman PS Std;serif"/>
          <w:b w:val="false"/>
          <w:i w:val="false"/>
          <w:caps w:val="false"/>
          <w:smallCaps w:val="false"/>
          <w:sz w:val="20"/>
        </w:rPr>
        <w:t xml:space="preserve">the Company Shortfall Cash, </w:t>
      </w:r>
      <w:r>
        <w:rPr>
          <w:rFonts w:ascii="Times New Roman PS Std;serif" w:hAnsi="Times New Roman PS Std;serif"/>
          <w:b w:val="false"/>
          <w:i/>
          <w:caps w:val="false"/>
          <w:smallCaps w:val="false"/>
          <w:sz w:val="20"/>
        </w:rPr>
        <w:t xml:space="preserve">plus </w:t>
      </w:r>
      <w:r>
        <w:rPr>
          <w:rFonts w:ascii="Times New Roman PS Std;serif" w:hAnsi="Times New Roman PS Std;serif"/>
          <w:b w:val="false"/>
          <w:i w:val="false"/>
          <w:caps w:val="false"/>
          <w:smallCaps w:val="false"/>
          <w:sz w:val="20"/>
        </w:rPr>
        <w:t xml:space="preserve">(B) the aggregate exercise price of all outstanding in-the-money options to purchase Company Common Stock, </w:t>
      </w:r>
      <w:r>
        <w:rPr>
          <w:rFonts w:ascii="Times New Roman PS Std;serif" w:hAnsi="Times New Roman PS Std;serif"/>
          <w:b w:val="false"/>
          <w:i/>
          <w:caps w:val="false"/>
          <w:smallCaps w:val="false"/>
          <w:sz w:val="20"/>
        </w:rPr>
        <w:t xml:space="preserve">divided by </w:t>
      </w:r>
      <w:r>
        <w:rPr>
          <w:rFonts w:ascii="Times New Roman PS Std;serif" w:hAnsi="Times New Roman PS Std;serif"/>
          <w:b w:val="false"/>
          <w:i w:val="false"/>
          <w:caps w:val="false"/>
          <w:smallCaps w:val="false"/>
          <w:sz w:val="20"/>
        </w:rPr>
        <w:t xml:space="preserve">(2) the Parent Closing Stock Price (as defined below), by (b) the number of shares of Company Common Stock outstanding immediately prior to the effective time of the Merger (on a fully diluted basis, calculated in accordance with the terms of the Agreement), and (iii) the Company will become a wholly owned subsidiary of Parent. For purposes of the foregoing, (i) the term “Parent Closing Stock Price” means the price per share of Parent Class A Common Stock derived from the average of the daily volume weighted average prices of a share of Parent Class A Common Stock on The Nasdaq Stock Market LLC (“Nasdaq”) on each of the ten consecutive trading days ending on (and including) the trading day that is three trading days prior to the closing date of the Merger, rounded down to the nearest penny; provided that, such price per share will be subject to a maximum of $12 and minimum of $7, and (ii) the term “Company Shortfall Cash” means an amount in cash (which shall be deemed equal to $0 if negative) equal to (a) $74,000,000 (subject to reduction as provided by the Agreement, including with respect to repurchases of the Company’s 0% Convertible Senior Notes due 2026 (the “2026 Notes”)), </w:t>
      </w:r>
      <w:r>
        <w:rPr>
          <w:rFonts w:ascii="Times New Roman PS Std;serif" w:hAnsi="Times New Roman PS Std;serif"/>
          <w:b w:val="false"/>
          <w:i/>
          <w:caps w:val="false"/>
          <w:smallCaps w:val="false"/>
          <w:sz w:val="20"/>
        </w:rPr>
        <w:t xml:space="preserve">minus </w:t>
      </w:r>
      <w:r>
        <w:rPr>
          <w:rFonts w:ascii="Times New Roman PS Std;serif" w:hAnsi="Times New Roman PS Std;serif"/>
          <w:b w:val="false"/>
          <w:i w:val="false"/>
          <w:caps w:val="false"/>
          <w:smallCaps w:val="false"/>
          <w:sz w:val="20"/>
        </w:rPr>
        <w:t>(b) the Company’s estimated cash and cash equivalents as of the closing date of the Merger pro forma for amounts payable by the Company in connection with the Merger (including, without limitation, unpaid amounts to repurchase the 2026 Notes and unpaid transaction expenses) and the Notes Restructuring Transaction (as defined below), all as determined in accordance with the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further understand that in connection with the Merger, Parent and holders (the “Company Noteholders”) of the Company’s First Lien Convertible Senior Notes due 2029 and Second Lien Senior Subordinated Secured Notes due 2029 (together, the “Secured Notes”) will enter into a Notes Restructuring Agreement (the “Notes Restructuring Agreement”) pursuant to which the Company Noteholders will release and deem satisfied in full the Secured Notes for the consideration contemplated thereby (the “Notes Restructuring Consideration” and, such transaction, the “Notes Restructuring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“Board”) of the Company has requested that Houlihan Lokey Capital, Inc. (“Houlihan Lokey”) provide an opinion (the “Opinion”) to the Board as to whether,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made such reviews, analyses and inquiries as we have deemed necessary and appropriate under the circumstances. Among other things, we have: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reviewed a draft, dated April 21, 2026, of the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reviewed certain publicly available business and financial information relating to the Company and Parent that we deemed to be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reviewed certain information relating to the historical, current and future operations, financial condition and prospects of the Company made available to us by the Company, including financial projections prepared by the management of the Company relating to the Company (the “Projections”);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spoken with certain members of the management of the Company and certain of its representatives and advisors regarding the respective businesses, operations, financial condition and prospects of the Company and Parent, the Merger and related matters;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compared the financial and operating performance of the Company with that of other companies with publicly traded equity securities that we deemed to be relevant;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reviewed the current and historical market prices and trading volume for certain of the Company’s and Parent’s publicly traded equity securities and the current and historical market prices of the publicly traded securities of certain other companies that we deemed to be relevant;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conducted such other financial studies, analyses and inquiries and considered such other information and factors as we deemed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As you are aware, we have not been provided with access to the management of Parent. We have at your direction assumed that, were we to have had access to such management, any information received from such management would not affect or change this Opinion. We also understand that financial projections relating to the future financial performance of Parent prepared by the management of Parent or the management of the Company are not available. We have not performed, relied upon or taken into account any valuation of Parent or any assets or securities thereof for purposes of evaluating the Consideration or otherwise. Accordingly, we have assumed, at your direction, that recent trading prices of Parent Class A Common Stock provide a reasonable basis on which to evaluate Parent and the Parent Class A Common Stock for purposes of this Opinion. In addition, we have assumed, at your direction, that the Parent Class A Common Stock and the Class B common stock, par value $0.0001 per share (“Parent Class B Common Stock” and, together with the Parent Class A Common Stock, the “Parent Common Stock”), of Parent have equivalent value per share, notwithstanding the different voting rights and other non-financial terms of such shares that could impact their value. Management of the Company has advised us, and we have at your direction assumed, that the Projections have been reasonably prepared in good faith on bases reflecting the best currently available estimates and judgments of such management as to the future financial results and condition of the Company and the other matters covered thereby. At your direction, we have assumed that the Projections provide a reasonable basis on which to evaluate the Company and the Merger and we have, at your direction, used and relied upon the Projections for purposes of our analyses and this Opinion. We express no view or opinion with respect to the Projections or the assumptions on which they are based. In addition, management of the Company has advised us that they expect the Company Shortfall Cash will be $0, and we have at your direction assumed the Company Shortfall Cash will be $0. We have relied upon and assumed, without independent verification, that there has been no change in the businesses, assets, liabilities, financial condition, results of operations, cash flows or prospects of the Company or Parent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also relied upon, without independent verification, the assessments of the management of the Company as to the existing and future relationships, agreements and arrangements with, and the Company’s and Parent’s ability to attract and retain, key customers, distributors, vendors and other commercial relationships, and employees of the Company and Parent. We have further relied upon, without independent verification, the assessments of the management of the Company as to the Company’s and Parent’s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in any respect would affect our analyses or this Opinion.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 we have relied upon, without independent verification, the assessment of the management of the Company as to the ability of the managements of the Company and Parent to integrate the businesses of the Company and Parent, and we have assumed, at your direction, that there will be no developments with respect to any such matters that would affect our analyses or this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and the Notes Restructuring Transaction will be satisfied without waiver thereof, and (d) the Merger and the Notes Restructuring Transaction will be consummated in a timely manner in accordance with the terms described in the Agreement and the Notes Restructuring Agreement and such other related documents and instruments, without any amendments or modifications thereto. We have relied upon and assumed, without independent verification, that (i) the Merger and the Notes Restructuring Transaction will be consummated in a manner that complies in all respects with all applicable foreign, federal and state statutes, rules and regulations, and (ii) all governmental, regulatory, and other consents and approvals necessary for the consummation of the Merger and the Notes Restructuring Transaction will be obtained and that no delay, limitations, restrictions or conditions will be imposed or amendments, modifications or waivers made that would result in the disposition of any assets of the Company or Parent, or otherwise have an effect on the Merger, the Notes Restructuring Transaction, the Company or Parent or any expected benefits of the Merger or the Notes Restructuring Transaction that would be material to our analyses or this Opinion. In addition, we have relied upon and assumed, without independent verification, that the final form of the Agreement will not differ in any respect from the draft of the Agreement identified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Parent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Parent is or may be a party or is or may be subject, or of any governmental investigation of any possible unasserted claims or other contingent liabilities to which the Company or Parent is or may be a party or is or may be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been requested to, and did not, (a) initiate or participate in any discussions or negotiations with, or solicit any indications of interest from, third parties with respect to the Merger, the Notes Restructuring Transaction, any related transaction, the securities, assets, businesses or operations of the Company, Parent or any other party, or any alternatives to the Merger, the Notes Restructuring Transaction or any related transaction, (b) negotiate the terms of the Merger, the Notes Restructuring Transaction or any related transaction, or (c) advise the Board, the Company or any other party with respect to alternatives to the Merger, the Notes Restructuring Transaction or any related transaction. This Opinion is necessarily based on financial, economic, market and other conditions as in effect on, and the information made available to us as of, the date hereof. As you are aware, the credit, financial and stock markets have been experiencing unusual volatility and we express no opinion or view as to any potential effects of such volatility on the Company, Parent, the Consideration, the Merger, the Notes Restructuring Transaction or any related transaction, and this Opinion does not purport to address potential developments in any such markets. We have not undertaken, and are under no obligation, to update, revise, reaffirm or withdraw this Opinion, or otherwise comment on or consider events occurring or coming to our attention after the date hereof. We are not expressing any view or opinion as to what the value of the Parent Class A Common Stock actually will be when issued pursuant to the Merger or the price or range of prices at which the Company Common Stock or Parent Common Stock may be purchased or sold, or otherwise be transferable, at any time. We have assumed that the Parent Class A Common Stock to be issued in the Merger to holders of Company Common Stock will be listed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furnished for the use of the Board (in its capacity as such) in connection with its evaluation of the Merger and may not be used for any other purpose without our prior written consent. This Opinion is not intended to be, and does not constitute, a recommendation to the Board, the Company any security holder or any other party as to how to act or vote with respect to any matter relating to the Merger, the Notes Restructuring Transaction or any related transaction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Parent, or any other party that may be involved in the Merger, the Notes Restructuring Transaction or any related transaction and their respective affiliates or security holders or any currency or commodity that may be involved in the Merger, the Notes Restructuring Transaction or any related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in the past acted as financial advisor to a group of then-holders of the 2026 Notes in connection with the Company’s deleveraging transaction, which closed in September 2025. Houlihan Lokey and certain of its affiliates may provide investment banking, financial advisory and/or other financial or consulting services to the Company, Parent other participants in the Merger, the Notes Restructuring Transaction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Parent, other participants in the Merger, the Notes Restructuring Transaction or any related transaction or certain of their respective affiliates or security holders, for which advice and services Houlihan Lokey and its affiliates have received and may receive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a fee for rendering this Opinion, which is not contingent upon the successful completion of the Merger. In addition, the Company has agreed to reimburse certain of our expenses and to indemnify us and certain related parties for certain potential liabilities arising out of our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been requested to opine as to, and this Opinion does not express an opinion as to or otherwise address, among other things: (i) the underlying business decision of the Board, the Company, its security holders or any other party to proceed with or effect the Merger, the Notes Restructuring Transaction or any related transaction, (ii) the terms of any arrangements, understandings, agreements or documents related to, or the form, structure or any other portion or aspect of, the Merger or otherwise (other than the Consideration to the extent expressly specified herein), including, without limitation, the Notes Restructuring Transaction or any related transaction, (iii) the fairness of any portion or aspect of the Merger to the holders of any class of securities, creditors or other constituencies of the Company, or to any other party (except if and only to the extent expressly set forth in the last sentence of this Opinion), including, without limitation, the Company Noteholders, holders of the 2026 Notes and their respective affiliates, (iv) the relative merits of the Merger, the Notes Restructuring Transaction or any related transaction as compared to any alternative business strategies or transactions that might be available for the Company or any other party, (v) the fairness of any portion or aspect of the Merger, the Notes Restructuring Transaction or any related transaction to any one class or group of the Company’s or any other party’s security holders or other constituents vis-à-vis any other class or group of the Company’s or such other party’s security holders or other constituents, including, without limitation, (a) the fairness of the Consideration to be received by the holders of Company Common Stock relative to the Notes Restructuring Consideration to be received by the Company Noteholders or amounts received by holders of the 2026 Notes to repurchase such notes, or vice versa, (b) the allocation of the Consideration, the Notes Restructuring Consideration or any amounts paid to repurchase the 2026 Notes as among the holders of Company Common Stock, the Company Noteholders and holders of the 2026 Notes, and (c) the allocation of the Consideration among the holders of Company Common Stock, (vi) whether or not the Company, Parent, their respective security holders or any other party is receiving or paying reasonably equivalent value in the Merger, the Notes Restructuring Transaction or any related transaction, (vii) the solvency, creditworthiness or fair value of the Company, Parent or any other participant in the Merger, the Notes Restructuring Transaction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the Notes Restructuring Transaction or any related transaction, any class of such persons or any other party, relative to the Consideration or otherwise.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the Company and their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respective advisors, as to all legal, regulatory, environmental, accounting, insurance, tax and other similar matters with respect to the Company, Parent, the Merger, the Notes Restructuring Transaction or any related transaction or otherwise. The issuance of this Opinion was approved by a committee authorized to approve opinions of this nature.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and in reliance thereon, it is our opinion that,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2505075" cy="4876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3"/>
                    <a:stretch>
                      <a:fillRect/>
                    </a:stretch>
                  </pic:blipFill>
                  <pic:spPr bwMode="auto">
                    <a:xfrm>
                      <a:off x="0" y="0"/>
                      <a:ext cx="2505075" cy="487680"/>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CAPITAL,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C</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262. Appraisal rights [For application of this section, see 81 Del. Laws, c. 354, § 17; 82 Del. Laws, c. 45, § 23; 82 Del. Laws, c. 256, § 24; 83 Del. Laws, c. 377, § 22; and 84 Del. Laws, c. 98, § 16].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Cash in lieu of fractional shares or fractional depository receipts described in the foregoing paragraphs (b)(2)a. and b. of this section; or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[Repealed.]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Appraisal rights shall be perfected as follows:</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title, the aggregate number of shares (other than any excluded stock (as defined in § 251(h)(6)d. of this title)) that were the subject of, and were not tendered into, and accepted for purchase or exchange in, the offer referred to in § 251(h)(2)</w:t>
      </w:r>
      <w:r>
        <w:rPr>
          <w:caps w:val="false"/>
          <w:smallCaps w:val="false"/>
        </w:rPr>
        <w:t xml:space="preserve"> </w:t>
      </w:r>
      <w:r>
        <w:rPr>
          <w:rFonts w:ascii="Times New Roman PS Std;serif" w:hAnsi="Times New Roman PS Std;serif"/>
          <w:b w:val="false"/>
          <w:i w:val="false"/>
          <w:caps w:val="false"/>
          <w:smallCaps w:val="false"/>
          <w:sz w:val="20"/>
        </w:rPr>
        <w:t>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 of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102(b)(7) of the Delaware General Corporation Law, or 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breach of the director’s duty of loyalty to the company or its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acts or omissions not in good faith or that involve intentional misconduct or a knowing violation of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respect of certain unlawful dividend payments or stock redemptions or repurchases;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transaction from which the director derives an improper personal benefit.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102(b)(7) of the DGCL, Section 8.1 of SoundHound’s second amended and restated certificate of incorporation, which is referred to herein as SoundHound’s certificate of incorporation, provides that that no director shall be personally liable to SoundHound or any of SoundHound’s stockholders for monetary damages resulting from breaches of their fiduciary duty as directors, except to the extent such limitation on or exemption from liability is not permitted under the DGCL. The effect of this provision of SoundHound’s certificate of incorporation is to eliminate SoundHound’s rights and those of its stockholders (through stockholders’ derivative suits on SoundHound’s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SoundHound’s rights or the rights of any stockholder to seek non-monetary relief, such as an injunction or rescission, in the event of a breach of a director’s duty of care.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DGCL is amended to authorize corporate action further eliminating or limiting the liability of directors, then, in accordance with SoundHound’s certificate of incorporation, the liability of SoundHound’s directors to SoundHound or its stockholders will be eliminated or limited to the fullest extent authorized by the DGCL, as so amended. Any repeal or amendment of provisions of SoundHound’s certificate of incorporation limiting or eliminating the liability of directors, whether by SoundHound’s stockholders or by changes in law, or the adoption of any other provisions inconsistent therewith, will (unless otherwise required by law) be prospective only, except to the extent such amendment or change in law permits SoundHound to further limit or eliminate the liability of directors on a retroactive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reasonable cause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SoundHound’s certificate of incorporation provides that it will, to the fullest extent authorized or permitted by applicable law, indemnify all persons whom it may indemnify pursuant to Section 145 of the DGCL.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indemnification conferred by SoundHound’s certificate of incorporation is a contract right that includes the right to be paid by SoundHound the expenses incurred in defending or otherwise participating in any proceeding referenced above in advance of its final disposition, provided, however, that if the DGCL requires, an advancement of expenses incurred by SoundHound’s officer or director will be made only upon delivery to SoundHound of an undertaking, by or on behalf of such officer or director, to repay all amounts so advanced if it is ultimately determined by final judicial decision that such person is not entitled to be indemnified for such expenses under SoundHound’s certificate of incorporation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to indemnification and advancement of expenses will not be deemed exclusive of any other rights which any person covered by SoundHound’s certificate of incorporation may have or hereafter acquire under law, SoundHound’s certificate of incorporation, SoundHound’s bylaws, an agreement, vote of stockholders or disinterested directors,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repeal or amendment of provisions of SoundHound’s certificate of incorporation affecting indemnification rights, whether by SoundHound’s stockholders or by changes in law, or the adoption of any other provisions inconsistent therewith, will (unless otherwise required by law) be prospective only, except to the extent such amendment or change in law permits SoundHound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SoundHound’s certificate of incorporation also permits SoundHound, to the extent and in the manner authorized or permitted by law, to indemnify and to advance expenses to persons other than those specifically covered by SoundHound’s certificate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SoundHound’s bylaws include provisions relating to advancement of expenses and indemnification rights consistent with those set forth in SoundHound’s certificate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repeal or amendment of provisions of SoundHound’s bylaws affecting indemnification rights, whether by the SoundHound board of directors, stockholders or by changes in applicable law, or the adoption of any other provisions inconsistent therewith, will (unless otherwise required by law) be prospective only, except to the extent such amendment or change in law permits SoundHound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has entered into indemnification agreements with each of its current directors and executive officers. These agreements require SoundHound to indemnify these individuals to the fullest extent permitted under Delaware law against liabilities that may arise by reason of their service to SoundHound, and to advance expenses incurred as a result of any proceeding against them as to which they could be indemnified. SoundHound also intends to enter into indemnification agreements with future directors and executive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and Insurance under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the surviving corporation have agreed to indemnify, defend and hold harmless certain directors and officers of LivePerson and its subsidiaries (the “indemnified persons”) against costs and liabilities (including reasonable legal fees and expenses), arising out of acts of omissions in their capacity as directors or officers of LivePerson or its subsidiaries prior to or at, but not after, the Effective Time (such liabilities, the “indemnified liabilities”), including all indemnified liabilities based in whole or in part on, or arising in whole or in part out of, or pertaining to the Merger Agreement or the transactions contemplated by the Merger Agreement, in each case to the fullest extent such person is entitled to indemnification (including an advance of expenses) by LivePerson (whether pursuant to LivePerson’s organizational documents, pursuant to contract or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a period of not less than six years after the Effective Time, SoundHound and the surviving corporation have agreed that the organizational documents of the surviving corporation shall contain provisions no less favorable with respect to exculpation, indemnification of and advancement of expenses to indemnified persons for periods at or prior to the Effective Time than are currently set forth with respect to any indemnified person, in the organizational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of LivePerson or any subsidiary in existence on April 21, 2026. SoundHound and the surviving corporation have also agreed that the surviving corporation shall not amend, repeal or otherwise modify any provision in the organizational documents of the surviving corporation or any of its subsidiaries in any manner that would adversely affect the rights thereunder of any indemnified person to indemnification, exculpation and advancement in respect of the indemnified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of six years after the Effective Time, SoundHound will cause the surviving corporation to maintain in effect the current policies of directors’ and officers’ liability insurance maintained by LivePerson, provided that the surviving corporation shall not be required to pay annual premiums in excess of 300% of the current annual premium paid by LivePerson in respect of the current policies of directors’ and officers’ liability insurance maintained by LivePerson. However, at or prior to the Effective Time, LivePerson may (or, if requested by SoundHound, use reasonable efforts to) purchase (and pay in full the aggregate premium for) “tail” insurance policies for the extension of the directors’ and officers’ liability coverage of LivePerson’s existing directors’ and officers’ insurance policies, for a period of six years from and after the Effective Time (the “tail period”) for a maximum cost of 300% of the current annual premium paid by LivePerson.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exhibits filed as a part of this registration statement.</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Description</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T1510">
              <w:r>
                <w:rPr>
                  <w:rStyle w:val="InternetLink"/>
                  <w:rFonts w:ascii="Times New Roman PS Std;serif" w:hAnsi="Times New Roman PS Std;serif"/>
                  <w:b w:val="false"/>
                  <w:i w:val="false"/>
                  <w:caps w:val="false"/>
                  <w:smallCaps w:val="false"/>
                  <w:sz w:val="20"/>
                </w:rPr>
                <w:t xml:space="preserve">Amended and Restated Merger Agreement, dated as of July 2, 2026, by and among SoundHound AI, Inc., Lightspeed Merger Sub Inc., Lightspeed Merger Sub II Inc. and LivePerson, Inc. (attached as Annex A to this proxy statement/prospectus which forms part of this Registration Statement). </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Opinion of Latham &amp; Watkins LLP regarding the legality of the securities being registered.</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Notes Restructuring Agreement, dated as of April 21, 2026, by and among SoundHound AI, Inc., LivePerson, Inc. and each holder of LivePerson’s Second Lien Senior Subordinated Secured Notes due 2029 (incorporated by reference to Exhibit 10.1 to the Form 8-K, File No. 001-40193, filed by SoundHound AI, Inc. with the SEC on April 21, 2026).</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Form of Registration Rights Agreement by and among SoundHound AI, Inc. and each holder of LivePerson’s Second Lien Senior Subordinated Secured Notes due 2029.</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ea029209003ex23-1.htm">
              <w:r>
                <w:rPr>
                  <w:rStyle w:val="InternetLink"/>
                  <w:rFonts w:ascii="Times New Roman PS Std;serif" w:hAnsi="Times New Roman PS Std;serif"/>
                  <w:b w:val="false"/>
                  <w:i w:val="false"/>
                  <w:caps w:val="false"/>
                  <w:smallCaps w:val="false"/>
                  <w:sz w:val="20"/>
                </w:rPr>
                <w:t>Consent of PricewaterhouseCoopers LLP, independent registered public accounting firm for SoundHound AI, Inc.</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29209003ex23-2.htm">
              <w:r>
                <w:rPr>
                  <w:rStyle w:val="InternetLink"/>
                  <w:rFonts w:ascii="Times New Roman PS Std;serif" w:hAnsi="Times New Roman PS Std;serif"/>
                  <w:b w:val="false"/>
                  <w:i w:val="false"/>
                  <w:caps w:val="false"/>
                  <w:smallCaps w:val="false"/>
                  <w:sz w:val="20"/>
                </w:rPr>
                <w:t>Consent of Ernst &amp; Young LLP, independent auditor for Interactions Corporation.</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ea029209003ex23-3.htm">
              <w:r>
                <w:rPr>
                  <w:rStyle w:val="InternetLink"/>
                  <w:rFonts w:ascii="Times New Roman PS Std;serif" w:hAnsi="Times New Roman PS Std;serif"/>
                  <w:b w:val="false"/>
                  <w:i w:val="false"/>
                  <w:caps w:val="false"/>
                  <w:smallCaps w:val="false"/>
                  <w:sz w:val="20"/>
                </w:rPr>
                <w:t>Consent of BDO USA, P.C., independent registered public accounting firm for LivePerson, Inc.</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Consent of Latham &amp; Watkins LLP (included in Exhibit 5.1)</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"http://www.sec.gov/Archives/edgar/data/1840856/000121390026061593/ea0292090-01.htm" \l "T9001"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Power of Attorney for SoundHound AI, Inc. (included on the signature page of the initial filing of this registration statement on Form S-4).</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29209003ex99-1.htm">
              <w:r>
                <w:rPr>
                  <w:rStyle w:val="InternetLink"/>
                  <w:rFonts w:ascii="Times New Roman PS Std;serif" w:hAnsi="Times New Roman PS Std;serif"/>
                  <w:b w:val="false"/>
                  <w:i w:val="false"/>
                  <w:caps w:val="false"/>
                  <w:smallCaps w:val="false"/>
                  <w:sz w:val="20"/>
                </w:rPr>
                <w:t>Form of Proxy Card for Special Meeting of LivePerson, Inc.</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ea029209003ex99-2.htm">
              <w:r>
                <w:rPr>
                  <w:rStyle w:val="InternetLink"/>
                  <w:rFonts w:ascii="Times New Roman PS Std;serif" w:hAnsi="Times New Roman PS Std;serif"/>
                  <w:b w:val="false"/>
                  <w:i w:val="false"/>
                  <w:caps w:val="false"/>
                  <w:smallCaps w:val="false"/>
                  <w:sz w:val="20"/>
                </w:rPr>
                <w:t>Consent of Houlihan Lokey Capital, Inc., financial advisor for LivePerson, Inc.</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Schedules have been omitted pursuant to Item 601(b)(2) of Regulation S-K. SoundHound agrees to furnish supplementally a copy of such schedules, or any section thereof, to the SEC upon request.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undersigned registrant hereby undertakes: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include any prospectus required by Section 10(a)(3) of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20% change in the maximum aggregate offering price set forth in the “</w:t>
      </w:r>
      <w:r>
        <w:rPr>
          <w:rFonts w:ascii="Times New Roman PS Std;serif" w:hAnsi="Times New Roman PS Std;serif"/>
          <w:b w:val="false"/>
          <w:i/>
          <w:caps w:val="false"/>
          <w:smallCaps w:val="false"/>
          <w:sz w:val="20"/>
        </w:rPr>
        <w:t>Calculation of Registration Fee</w:t>
      </w:r>
      <w:r>
        <w:rPr>
          <w:rFonts w:ascii="Times New Roman PS Std;serif" w:hAnsi="Times New Roman PS Std;serif"/>
          <w:b w:val="false"/>
          <w:i w:val="false"/>
          <w:caps w:val="false"/>
          <w:smallCaps w:val="false"/>
          <w:sz w:val="20"/>
        </w:rPr>
        <w:t>” table in the effective registration statement; and</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include any material information with respect to the plan of distribution not previously disclosed in this registration statement or any material change to such information in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communication that is an offer in the offering made by the undersigned registrant to the purchaser.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undersigned registrant hereby undertakes to supply by means of a post-effective amendment all information concerning a transaction, and the company being acquired involved therein, that was not the subject of and included in this registration statement when it became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S-4 and has duly caused this registration statement to be signed on its behalf by the undersigned, thereunto duly authorized, in Santa Clara, California on the 8th day of July, 2026.</w:t>
      </w:r>
    </w:p>
    <w:tbl>
      <w:tblPr>
        <w:tblW w:w="3260" w:type="dxa"/>
        <w:jc w:val="left"/>
        <w:tblInd w:w="0" w:type="dxa"/>
        <w:tblLayout w:type="fixed"/>
        <w:tblCellMar>
          <w:top w:w="0" w:type="dxa"/>
          <w:left w:w="0" w:type="dxa"/>
          <w:bottom w:w="0" w:type="dxa"/>
          <w:right w:w="0" w:type="dxa"/>
        </w:tblCellMar>
      </w:tblPr>
      <w:tblGrid>
        <w:gridCol w:w="161"/>
        <w:gridCol w:w="146"/>
        <w:gridCol w:w="42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953" w:type="dxa"/>
            <w:gridSpan w:val="3"/>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by the following persons in the capacities indicated on the 8th day of July, 2026.</w:t>
      </w:r>
    </w:p>
    <w:tbl>
      <w:tblPr>
        <w:tblW w:w="7210" w:type="dxa"/>
        <w:jc w:val="left"/>
        <w:tblInd w:w="0" w:type="dxa"/>
        <w:tblLayout w:type="fixed"/>
        <w:tblCellMar>
          <w:top w:w="0" w:type="dxa"/>
          <w:left w:w="0" w:type="dxa"/>
          <w:bottom w:w="0" w:type="dxa"/>
          <w:right w:w="0" w:type="dxa"/>
        </w:tblCellMar>
      </w:tblPr>
      <w:tblGrid>
        <w:gridCol w:w="2326"/>
        <w:gridCol w:w="146"/>
        <w:gridCol w:w="3301"/>
        <w:gridCol w:w="146"/>
        <w:gridCol w:w="1291"/>
      </w:tblGrid>
      <w:tr>
        <w:trPr/>
        <w:tc>
          <w:tcPr>
            <w:tcW w:w="2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3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Keyvan Mohajer</w:t>
            </w:r>
          </w:p>
        </w:tc>
        <w:tc>
          <w:tcPr>
            <w:tcW w:w="146" w:type="dxa"/>
            <w:tcBorders/>
            <w:vAlign w:val="bottom"/>
          </w:tcPr>
          <w:p>
            <w:pPr>
              <w:pStyle w:val="TableContents"/>
              <w:bidi w:val="0"/>
              <w:spacing w:before="0" w:after="283"/>
              <w:jc w:val="left"/>
              <w:rPr/>
            </w:pPr>
            <w:r>
              <w:rPr/>
              <w:t> </w:t>
            </w:r>
          </w:p>
        </w:tc>
        <w:tc>
          <w:tcPr>
            <w:tcW w:w="3301" w:type="dxa"/>
            <w:vMerge w:val="restart"/>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Director, Chief Executive Officer </w:t>
              <w:br/>
              <w:t>(Principal Executive Officer)</w:t>
            </w:r>
          </w:p>
        </w:tc>
        <w:tc>
          <w:tcPr>
            <w:tcW w:w="146" w:type="dxa"/>
            <w:vMerge w:val="restart"/>
            <w:tcBorders/>
            <w:vAlign w:val="bottom"/>
          </w:tcPr>
          <w:p>
            <w:pPr>
              <w:pStyle w:val="TableContents"/>
              <w:bidi w:val="0"/>
              <w:spacing w:before="0" w:after="283"/>
              <w:jc w:val="left"/>
              <w:rPr/>
            </w:pPr>
            <w:r>
              <w:rPr/>
              <w:t> </w:t>
            </w:r>
          </w:p>
        </w:tc>
        <w:tc>
          <w:tcPr>
            <w:tcW w:w="1291" w:type="dxa"/>
            <w:vMerge w:val="restart"/>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8, 2026</w:t>
            </w:r>
          </w:p>
        </w:tc>
      </w:tr>
      <w:tr>
        <w:trPr/>
        <w:tc>
          <w:tcPr>
            <w:tcW w:w="2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c>
          <w:tcPr>
            <w:tcW w:w="146" w:type="dxa"/>
            <w:tcBorders/>
            <w:vAlign w:val="bottom"/>
          </w:tcPr>
          <w:p>
            <w:pPr>
              <w:pStyle w:val="TableContents"/>
              <w:bidi w:val="0"/>
              <w:spacing w:before="0" w:after="283"/>
              <w:jc w:val="left"/>
              <w:rPr/>
            </w:pPr>
            <w:r>
              <w:rPr/>
              <w:t> </w:t>
            </w:r>
          </w:p>
        </w:tc>
        <w:tc>
          <w:tcPr>
            <w:tcW w:w="330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91" w:type="dxa"/>
            <w:vMerge w:val="continue"/>
            <w:tcBorders/>
          </w:tcPr>
          <w:p>
            <w:pPr>
              <w:pStyle w:val="Normal"/>
              <w:bidi w:val="0"/>
              <w:jc w:val="left"/>
              <w:rPr/>
            </w:pPr>
            <w:r>
              <w:rPr/>
            </w:r>
          </w:p>
        </w:tc>
      </w:tr>
      <w:tr>
        <w:trPr/>
        <w:tc>
          <w:tcPr>
            <w:tcW w:w="23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01" w:type="dxa"/>
            <w:vMerge w:val="restart"/>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Director (Principal Financial and </w:t>
              <w:br/>
              <w:t>Accounting Officer)</w:t>
            </w:r>
          </w:p>
        </w:tc>
        <w:tc>
          <w:tcPr>
            <w:tcW w:w="146" w:type="dxa"/>
            <w:vMerge w:val="restart"/>
            <w:tcBorders/>
            <w:vAlign w:val="bottom"/>
          </w:tcPr>
          <w:p>
            <w:pPr>
              <w:pStyle w:val="TableContents"/>
              <w:bidi w:val="0"/>
              <w:spacing w:before="0" w:after="283"/>
              <w:jc w:val="left"/>
              <w:rPr/>
            </w:pPr>
            <w:r>
              <w:rPr/>
              <w:t> </w:t>
            </w:r>
          </w:p>
        </w:tc>
        <w:tc>
          <w:tcPr>
            <w:tcW w:w="1291" w:type="dxa"/>
            <w:vMerge w:val="restart"/>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8, 2026</w:t>
            </w:r>
          </w:p>
        </w:tc>
      </w:tr>
      <w:tr>
        <w:trPr/>
        <w:tc>
          <w:tcPr>
            <w:tcW w:w="2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vAlign w:val="bottom"/>
          </w:tcPr>
          <w:p>
            <w:pPr>
              <w:pStyle w:val="TableContents"/>
              <w:bidi w:val="0"/>
              <w:spacing w:before="0" w:after="283"/>
              <w:jc w:val="left"/>
              <w:rPr/>
            </w:pPr>
            <w:r>
              <w:rPr/>
              <w:t> </w:t>
            </w:r>
          </w:p>
        </w:tc>
        <w:tc>
          <w:tcPr>
            <w:tcW w:w="330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91" w:type="dxa"/>
            <w:vMerge w:val="continue"/>
            <w:tcBorders/>
          </w:tcPr>
          <w:p>
            <w:pPr>
              <w:pStyle w:val="Normal"/>
              <w:bidi w:val="0"/>
              <w:jc w:val="left"/>
              <w:rPr/>
            </w:pPr>
            <w:r>
              <w:rPr/>
            </w:r>
          </w:p>
        </w:tc>
      </w:tr>
      <w:tr>
        <w:trPr/>
        <w:tc>
          <w:tcPr>
            <w:tcW w:w="23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2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8, 2026</w:t>
            </w:r>
          </w:p>
        </w:tc>
      </w:tr>
      <w:tr>
        <w:trPr/>
        <w:tc>
          <w:tcPr>
            <w:tcW w:w="2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r>
      <w:tr>
        <w:trPr/>
        <w:tc>
          <w:tcPr>
            <w:tcW w:w="23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2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8, 2026</w:t>
            </w:r>
          </w:p>
        </w:tc>
      </w:tr>
      <w:tr>
        <w:trPr/>
        <w:tc>
          <w:tcPr>
            <w:tcW w:w="2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r>
      <w:tr>
        <w:trPr/>
        <w:tc>
          <w:tcPr>
            <w:tcW w:w="23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2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8, 2026</w:t>
            </w:r>
          </w:p>
        </w:tc>
      </w:tr>
      <w:tr>
        <w:trPr/>
        <w:tc>
          <w:tcPr>
            <w:tcW w:w="2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undersigned, by signing his name hereto, signs this registration statement on behalf of the directors of the registrant above in front of whose name an asterisk appears pursuant to powers of attorney duly executed by such directors and filed with the SEC.</w:t>
      </w:r>
    </w:p>
    <w:tbl>
      <w:tblPr>
        <w:tblW w:w="3560" w:type="dxa"/>
        <w:jc w:val="left"/>
        <w:tblInd w:w="0" w:type="dxa"/>
        <w:tblLayout w:type="fixed"/>
        <w:tblCellMar>
          <w:top w:w="0" w:type="dxa"/>
          <w:left w:w="0" w:type="dxa"/>
          <w:bottom w:w="0" w:type="dxa"/>
          <w:right w:w="0" w:type="dxa"/>
        </w:tblCellMar>
      </w:tblPr>
      <w:tblGrid>
        <w:gridCol w:w="766"/>
        <w:gridCol w:w="146"/>
        <w:gridCol w:w="2311"/>
        <w:gridCol w:w="146"/>
        <w:gridCol w:w="191"/>
      </w:tblGrid>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Keyvan Mohajer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Attorney-in-Fact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jc w:val="right"/>
        <w:rPr>
          <w:rFonts w:ascii="Times New Roman;Times;Serif" w:hAnsi="Times New Roman;Times;Serif"/>
          <w:b/>
          <w:i w:val="false"/>
          <w:caps w:val="false"/>
          <w:smallCaps w:val="false"/>
          <w:sz w:val="20"/>
        </w:rPr>
      </w:pPr>
      <w:bookmarkStart w:id="27" w:name="ea029209003ex23-1.htm"/>
      <w:bookmarkStart w:id="28" w:name="ksea029209003ex231"/>
      <w:bookmarkEnd w:id="27"/>
      <w:bookmarkEnd w:id="28"/>
      <w:r>
        <w:rPr>
          <w:rFonts w:ascii="Times New Roman;Times;Serif" w:hAnsi="Times New Roman;Times;Serif"/>
          <w:b/>
          <w:i w:val="false"/>
          <w:caps w:val="false"/>
          <w:smallCaps w:val="false"/>
          <w:sz w:val="20"/>
        </w:rPr>
        <w:t>Exhibit 23.1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Amendment No. 2 to the Registration Statement on Form S-4 of SoundHound AI, Inc. of our report dated March 2, 2026 relating to the financial statements and the effectiveness of internal control over financial reporting, which appears in SoundHound AI, Inc.'s Annual Report on Form 10-K for the year ended December 31, 2025. We also consent to the reference to us under the heading “Experts” in such Registration Statement.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br/>
        <w:t>July 8, 2026</w:t>
      </w:r>
    </w:p>
    <w:p>
      <w:pPr>
        <w:pStyle w:val="TextBody"/>
        <w:bidi w:val="0"/>
        <w:ind w:left="360" w:right="0" w:hanging="36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9209003ex23-2.htm"/>
      <w:bookmarkStart w:id="30" w:name="ksea029209003ex232"/>
      <w:bookmarkEnd w:id="29"/>
      <w:bookmarkEnd w:id="30"/>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S-4 No. 333-296284) and to the incorporation by reference therein of our report dated November 14, 2025, relating to the consolidated financial statements of Interactions Corporation as of and for the year ended December 31, 2024 included in the Current Report on Form 8-K/A of SoundHound AI, Inc., filed with the Securities and Exchange Commission on November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29209003ex23-3.htm"/>
      <w:bookmarkStart w:id="32" w:name="ksea029209003ex233"/>
      <w:bookmarkEnd w:id="31"/>
      <w:bookmarkEnd w:id="32"/>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our reports dated March 13, 2026, relating to the consolidated financial statements and the effectiveness of internal control over financial reporting, of LivePerson, Inc. (the Company) appearing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3" w:name="ea029209003ex99-1.htm"/>
      <w:bookmarkStart w:id="34" w:name="ksea029209003ex991"/>
      <w:bookmarkEnd w:id="33"/>
      <w:bookmarkEnd w:id="34"/>
      <w:r>
        <w:rPr>
          <w:rFonts w:ascii="Times New Roman;Times;Serif" w:hAnsi="Times New Roman;Times;Serif"/>
          <w:b/>
          <w:i w:val="false"/>
          <w:caps w:val="false"/>
          <w:smallCaps w:val="false"/>
          <w:sz w:val="20"/>
        </w:rPr>
        <w:t>Exhibit 99.1</w:t>
      </w:r>
      <w:r>
        <w:br w:type="page"/>
      </w:r>
    </w:p>
    <w:p>
      <w:pPr>
        <w:pStyle w:val="TextBody"/>
        <w:bidi w:val="0"/>
        <w:jc w:val="center"/>
        <w:rPr/>
      </w:pPr>
      <w:r>
        <w:rPr/>
        <w:t> </w:t>
      </w:r>
    </w:p>
    <w:p>
      <w:pPr>
        <w:pStyle w:val="TextBody"/>
        <w:bidi w:val="0"/>
        <w:jc w:val="center"/>
        <w:rPr/>
      </w:pPr>
      <w:r>
        <w:rPr/>
        <w:drawing>
          <wp:inline distT="0" distB="0" distL="0" distR="0">
            <wp:extent cx="7724775" cy="1000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9"/>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T00952-TBD 1. To adopt the Amended and Restated Merger Agreement, dated July 2, 2026 (as it may be amended from time to time, the "Merger Agreement"), by and among LivePerson, Inc. ("LivePerson"), SoundHound AI, Inc. ("SoundHound"), Lightspeed Merger Sub Inc., an indirect wholly owned subsidiary of SoundHound, and Lightspeed Merger Sub II Inc., an indirect wholly owned subsidiary of SoundHound, and the transactions contemplated thereby, including the Mergers (as defined in the Merger Agreement) (and such proposal, the "merger proposal"). 3. To approve the adjournment of the LivePerson special meeting of stockholders, if necessary or appropriate, to solicit additional proxies if there are not sufficient votes to approve the merger proposal. 2. To approve, by a non-binding advisory vote, certain compensation that may be paid or become payable to LivePerson's named executive officers that is based on, or otherwise relates to, the mergers contemplated by the Merger Agreement. For Against Abstain ! ! ! ! ! ! LIVEPERSON, INC. LIVEPERSON, INC. 530 7TH AVENUE, FLOOR M1 NEW YORK, NEW YORK 10018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In their discretion, the proxies are authorized to vote upon such other matters as may properly come before the meeting and any adjournment or postponement thereof. The Board of Directors recommends you vote "FOR" proposals 1, 2 and 3 (as listed in the proxy statement). ! ! ! SCAN TO VIEW MATERIALS &amp; VOTEw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website and follow the instructions to obtain your records and to create an electronic voting instruction form. During The Meeting - Go to www.virtualshareholdermeeting.com/LPSN2026SM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w:t>
      </w:r>
    </w:p>
    <w:p>
      <w:pPr>
        <w:pStyle w:val="TextBody"/>
        <w:bidi w:val="0"/>
        <w:ind w:left="0" w:right="0" w:hanging="0"/>
        <w:jc w:val="center"/>
        <w:rPr/>
      </w:pPr>
      <w:r>
        <w:rPr/>
        <w:drawing>
          <wp:inline distT="0" distB="0" distL="0" distR="0">
            <wp:extent cx="7724775" cy="1000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0"/>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Important Notice Regarding the Availability of Proxy Materials for the Special Meeting: The Notice and Proxy Statement is available at www.proxyvote.com. T00953-TBD Continued and to be signed on reverse side LIVEPERSON, INC. Special Meeting of Stockholders August 20, 2026 at 10:00 a.m. Eastern Time THIS PROXY IS SOLICITED ON BEHALF OF THE BOARD OF DIRECTORS The undersigned stockholder of LivePerson, Inc. (the "Company") revokes all previous proxies and acknowledges receipt of the Notice of the Special Meeting of Stockholders to be held on August 20, 2026 at 10:00 a.m. Eastern Time and the Proxy Statement, and appoints John D. Collins, Chief Financial Officer and Chief Operating Officer, and Monica L. Greenberg, Chief Legal and Administrative Officer, and each of them, the Proxy of the undersigned with full power of substitution and resubstitution to vote all shares of common stock of the Company which the undersigned is entitled to vote, either on his or her own behalf or on behalf of any entity or entities, at the Special Meeting of Stockholders of the Company to be held virtually at www.virtualshareholdermeeting.com/LPSN2026SM on August 20, 2026 at 10:00 a.m. Eastern Time and at any adjournment or postponement thereof, with the same force and effect as the undersigned might or could do personally present thereat. The shares represented by this proxy shall be voted in the manner set forth on the reverse side. This proxy, when properly executed, will be voted in the manner directed herein. If no such direction is made, this proxy will be voted in accordance with the Board of Directors' recommendations.</w:t>
      </w:r>
    </w:p>
    <w:p>
      <w:pPr>
        <w:pStyle w:val="TextBody"/>
        <w:bidi w:val="0"/>
        <w:ind w:left="0" w:right="0" w:hanging="0"/>
        <w:jc w:val="right"/>
        <w:rPr>
          <w:rFonts w:ascii="Times New Roman;Times;Serif" w:hAnsi="Times New Roman;Times;Serif"/>
          <w:b/>
        </w:rPr>
      </w:pPr>
      <w:bookmarkStart w:id="35" w:name="ea029209003ex99-2.htm"/>
      <w:bookmarkStart w:id="36" w:name="ksea029209003ex992"/>
      <w:bookmarkEnd w:id="35"/>
      <w:bookmarkEnd w:id="36"/>
      <w:r>
        <w:rPr>
          <w:rFonts w:ascii="Times New Roman;Times;Serif" w:hAnsi="Times New Roman;Times;Serif"/>
          <w:b/>
        </w:rPr>
        <w:t>Exhibit 99.2</w:t>
      </w:r>
      <w:r>
        <w:br w:type="page"/>
      </w:r>
    </w:p>
    <w:p>
      <w:pPr>
        <w:pStyle w:val="TextBody"/>
        <w:bidi w:val="0"/>
        <w:jc w:val="center"/>
        <w:rPr/>
      </w:pPr>
      <w:r>
        <w:rPr/>
        <w:t> </w:t>
      </w:r>
    </w:p>
    <w:p>
      <w:pPr>
        <w:pStyle w:val="TextBody"/>
        <w:bidi w:val="0"/>
        <w:jc w:val="center"/>
        <w:rPr>
          <w:rFonts w:ascii="Times New Roman;Times;Serif" w:hAnsi="Times New Roman;Times;Serif"/>
          <w:b/>
        </w:rPr>
      </w:pPr>
      <w:r>
        <w:rPr>
          <w:rFonts w:ascii="Times New Roman;Times;Serif" w:hAnsi="Times New Roman;Times;Serif"/>
          <w:b/>
        </w:rPr>
        <w:t>CONSENT OF HOULIHAN LOKEY CAPITAL, INC.</w:t>
      </w:r>
    </w:p>
    <w:p>
      <w:pPr>
        <w:pStyle w:val="TextBody"/>
        <w:bidi w:val="0"/>
        <w:jc w:val="center"/>
        <w:rPr/>
      </w:pPr>
      <w:r>
        <w:rPr/>
        <w:t> </w:t>
      </w:r>
    </w:p>
    <w:p>
      <w:pPr>
        <w:pStyle w:val="TextBody"/>
        <w:bidi w:val="0"/>
        <w:jc w:val="left"/>
        <w:rPr>
          <w:rFonts w:ascii="Times New Roman;Times;Serif" w:hAnsi="Times New Roman;Times;Serif"/>
        </w:rPr>
      </w:pPr>
      <w:r>
        <w:rPr>
          <w:rFonts w:ascii="Times New Roman;Times;Serif" w:hAnsi="Times New Roman;Times;Serif"/>
        </w:rPr>
        <w:t>July 8, 2026</w:t>
      </w:r>
    </w:p>
    <w:p>
      <w:pPr>
        <w:pStyle w:val="TextBody"/>
        <w:bidi w:val="0"/>
        <w:spacing w:before="0" w:after="283"/>
        <w:jc w:val="left"/>
        <w:rPr/>
      </w:pPr>
      <w:r>
        <w:rPr/>
        <w:t> </w:t>
      </w:r>
    </w:p>
    <w:p>
      <w:pPr>
        <w:pStyle w:val="TextBody"/>
        <w:bidi w:val="0"/>
        <w:jc w:val="left"/>
        <w:rPr>
          <w:rFonts w:ascii="Times New Roman;Times;Serif" w:hAnsi="Times New Roman;Times;Serif"/>
        </w:rPr>
      </w:pPr>
      <w:r>
        <w:rPr>
          <w:rFonts w:ascii="Times New Roman;Times;Serif" w:hAnsi="Times New Roman;Times;Serif"/>
        </w:rPr>
        <w:t>The Board of Directors of LivePerson, Inc.</w:t>
      </w:r>
    </w:p>
    <w:p>
      <w:pPr>
        <w:pStyle w:val="TextBody"/>
        <w:bidi w:val="0"/>
        <w:jc w:val="left"/>
        <w:rPr>
          <w:rFonts w:ascii="Times New Roman;Times;Serif" w:hAnsi="Times New Roman;Times;Serif"/>
        </w:rPr>
      </w:pPr>
      <w:r>
        <w:rPr>
          <w:rFonts w:ascii="Times New Roman;Times;Serif" w:hAnsi="Times New Roman;Times;Serif"/>
        </w:rPr>
        <w:t>530 7th Avenue</w:t>
      </w:r>
    </w:p>
    <w:p>
      <w:pPr>
        <w:pStyle w:val="TextBody"/>
        <w:bidi w:val="0"/>
        <w:jc w:val="left"/>
        <w:rPr>
          <w:rFonts w:ascii="Times New Roman;Times;Serif" w:hAnsi="Times New Roman;Times;Serif"/>
        </w:rPr>
      </w:pPr>
      <w:r>
        <w:rPr>
          <w:rFonts w:ascii="Times New Roman;Times;Serif" w:hAnsi="Times New Roman;Times;Serif"/>
        </w:rPr>
        <w:t>Floor M1</w:t>
      </w:r>
    </w:p>
    <w:p>
      <w:pPr>
        <w:pStyle w:val="TextBody"/>
        <w:bidi w:val="0"/>
        <w:jc w:val="left"/>
        <w:rPr>
          <w:rFonts w:ascii="Times New Roman;Times;Serif" w:hAnsi="Times New Roman;Times;Serif"/>
        </w:rPr>
      </w:pPr>
      <w:r>
        <w:rPr>
          <w:rFonts w:ascii="Times New Roman;Times;Serif" w:hAnsi="Times New Roman;Times;Serif"/>
        </w:rPr>
        <w:t>New York, NY 10018</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w:t>
            </w:r>
          </w:p>
        </w:tc>
        <w:tc>
          <w:tcPr>
            <w:tcW w:w="98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Proxy Statement of LivePerson, Inc. (“LivePerson”) / Prospectus of SoundHound AI, Inc. (“SoundHound”), which forms part of Amendment No. 2 to Proxy Statement of LivePerson, Inc. (“LivePerson”) / Prospectus of SoundHound AI, Inc. (“SoundHound”), which forms part of Amendment No. 2 to the Registration Statement on Form S-4 of SoundHound (the “Registration Statement”).</w:t>
            </w:r>
          </w:p>
        </w:tc>
      </w:tr>
    </w:tbl>
    <w:p>
      <w:pPr>
        <w:pStyle w:val="TextBody"/>
        <w:bidi w:val="0"/>
        <w:spacing w:before="0" w:after="283"/>
        <w:jc w:val="left"/>
        <w:rPr/>
      </w:pPr>
      <w:r>
        <w:rPr/>
        <w:t> </w:t>
      </w:r>
    </w:p>
    <w:p>
      <w:pPr>
        <w:pStyle w:val="TextBody"/>
        <w:bidi w:val="0"/>
        <w:ind w:left="720" w:right="0" w:hanging="0"/>
        <w:jc w:val="left"/>
        <w:rPr>
          <w:rFonts w:ascii="Times New Roman;Times;Serif" w:hAnsi="Times New Roman;Times;Serif"/>
        </w:rPr>
      </w:pPr>
      <w:r>
        <w:rPr>
          <w:rFonts w:ascii="Times New Roman;Times;Serif" w:hAnsi="Times New Roman;Times;Serif"/>
        </w:rPr>
        <w:t>Dear Members of the Board:</w:t>
      </w:r>
    </w:p>
    <w:p>
      <w:pPr>
        <w:pStyle w:val="TextBody"/>
        <w:bidi w:val="0"/>
        <w:spacing w:before="0" w:after="283"/>
        <w:jc w:val="left"/>
        <w:rPr/>
      </w:pPr>
      <w:r>
        <w:rPr/>
        <w:t> </w:t>
      </w:r>
    </w:p>
    <w:p>
      <w:pPr>
        <w:pStyle w:val="TextBody"/>
        <w:bidi w:val="0"/>
        <w:ind w:left="0" w:right="0" w:firstLine="720"/>
        <w:jc w:val="both"/>
        <w:rPr>
          <w:rFonts w:ascii="Times New Roman;Times;Serif" w:hAnsi="Times New Roman;Times;Serif"/>
        </w:rPr>
      </w:pPr>
      <w:r>
        <w:rPr>
          <w:rFonts w:ascii="Times New Roman;Times;Serif" w:hAnsi="Times New Roman;Times;Serif"/>
        </w:rPr>
        <w:t>Reference is made to our opinion letter (“opinion”), dated April 21, 2026, to the Board of Directors of LivePerson (the “Board”). We understand that LivePerson has determined to include our opinion in the Proxy Statement of LivePerson / Prospectus of SoundHound (the “Joint Proxy Statement/Prospectus”) included in Amendment No. 2 to the above referenced Registration Statement.</w:t>
      </w:r>
    </w:p>
    <w:p>
      <w:pPr>
        <w:pStyle w:val="TextBody"/>
        <w:bidi w:val="0"/>
        <w:spacing w:before="0" w:after="283"/>
        <w:jc w:val="left"/>
        <w:rPr/>
      </w:pPr>
      <w:r>
        <w:rPr/>
        <w:t> </w:t>
      </w:r>
    </w:p>
    <w:p>
      <w:pPr>
        <w:pStyle w:val="TextBody"/>
        <w:bidi w:val="0"/>
        <w:ind w:left="0" w:right="0" w:firstLine="720"/>
        <w:jc w:val="both"/>
        <w:rPr>
          <w:rFonts w:ascii="Times New Roman;Times;Serif" w:hAnsi="Times New Roman;Times;Serif"/>
        </w:rPr>
      </w:pPr>
      <w:r>
        <w:rPr>
          <w:rFonts w:ascii="Times New Roman;Times;Serif" w:hAnsi="Times New Roman;Times;Serif"/>
        </w:rPr>
        <w:t>Our opinion was provided for the Board (in its capacity as such) in connection with its consideration of the transaction contemplated therein and may not be used, circulated, quoted or otherwise referred to for any other purpose, nor is it to be filed with, included in or referred to in whole or in part in any registration statement, proxy statement or any other document, except, in each instance, in accordance with our prior written consent. In that regard, we hereby consent to the reference to our opinion in the Proxy Statement/Prospectus included in Amendment No. 2 to the Registration Statement filed with the Securities and Exchange Commission as of the date hereof under the captions, “</w:t>
      </w:r>
      <w:r>
        <w:rPr>
          <w:rFonts w:ascii="Times New Roman;Times;Serif" w:hAnsi="Times New Roman;Times;Serif"/>
          <w:b/>
        </w:rPr>
        <w:t>SUMMARY – Opinion of LivePerson’s Financial Advisor,” “THE MERGERS — Background of the Mergers,” “THE MERGERS — Recommendation of the LivePerson Board of Directors; LivePerson’s Reasons for the Mergers,” and “THE MERGERS — Opinion of LivePerson’s Financial Advisor</w:t>
      </w:r>
      <w:r>
        <w:rPr>
          <w:rFonts w:ascii="Times New Roman;Times;Serif" w:hAnsi="Times New Roman;Times;Serif"/>
        </w:rPr>
        <w:t>” and to the inclusion of our opinion as Annex B to the Proxy Statement/Prospectus. Notwithstanding the foregoing, it is understood that this consent is being delivered solely in connection with the filing of the above-mentioned Amendment No. 2 to the Registration Statement as of the date hereof and that our opinion is not to be filed with, included in or referred to in whole or in part in any other registration statement (including any other amendments to the above-mentioned Registration Statement), proxy statement or any other document, except, in each instance, in accordance with our prior written consent.</w:t>
      </w:r>
    </w:p>
    <w:p>
      <w:pPr>
        <w:pStyle w:val="TextBody"/>
        <w:bidi w:val="0"/>
        <w:spacing w:before="0" w:after="283"/>
        <w:jc w:val="left"/>
        <w:rPr/>
      </w:pPr>
      <w:r>
        <w:rPr/>
        <w:t> </w:t>
      </w:r>
    </w:p>
    <w:p>
      <w:pPr>
        <w:pStyle w:val="TextBody"/>
        <w:bidi w:val="0"/>
        <w:ind w:left="0" w:right="0" w:firstLine="720"/>
        <w:jc w:val="both"/>
        <w:rPr>
          <w:rFonts w:ascii="Times New Roman;Times;Serif" w:hAnsi="Times New Roman;Times;Serif"/>
        </w:rPr>
      </w:pPr>
      <w:r>
        <w:rPr>
          <w:rFonts w:ascii="Times New Roman;Times;Serif" w:hAnsi="Times New Roman;Times;Serif"/>
        </w:rPr>
        <w:t>In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pStyle w:val="TextBody"/>
        <w:bidi w:val="0"/>
        <w:spacing w:before="0" w:after="283"/>
        <w:jc w:val="left"/>
        <w:rPr/>
      </w:pPr>
      <w:r>
        <w:rPr/>
        <w:t> </w:t>
      </w:r>
    </w:p>
    <w:tbl>
      <w:tblPr>
        <w:tblW w:w="4010" w:type="dxa"/>
        <w:jc w:val="left"/>
        <w:tblInd w:w="0" w:type="dxa"/>
        <w:tblLayout w:type="fixed"/>
        <w:tblCellMar>
          <w:top w:w="0" w:type="dxa"/>
          <w:left w:w="0" w:type="dxa"/>
          <w:bottom w:w="0" w:type="dxa"/>
          <w:right w:w="0" w:type="dxa"/>
        </w:tblCellMar>
      </w:tblPr>
      <w:tblGrid>
        <w:gridCol w:w="3935"/>
        <w:gridCol w:w="75"/>
      </w:tblGrid>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Very truly yours,</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Houlihan Lokey Capital, Inc.</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HOULIHAN LOKEY CAPITAL, INC.</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hyperlink" Target="http://www.sec.gov/Archives/edgar/data/1840856/000184085626000006/soun-20251231.htm" TargetMode="External"/><Relationship Id="rId8" Type="http://schemas.openxmlformats.org/officeDocument/2006/relationships/hyperlink" Target="http://www.sec.gov/Archives/edgar/data/1840856/000121390026041978/ea0285618-01.htm" TargetMode="External"/><Relationship Id="rId9" Type="http://schemas.openxmlformats.org/officeDocument/2006/relationships/hyperlink" Target="http://www.sec.gov/Archives/edgar/data/1840856/000184085626000015/soun-20260331.htm" TargetMode="External"/><Relationship Id="rId10" Type="http://schemas.openxmlformats.org/officeDocument/2006/relationships/hyperlink" Target="http://www.sec.gov/Archives/edgar/data/1840856/000184085625000028/soun-20250903.htm" TargetMode="External"/><Relationship Id="rId11" Type="http://schemas.openxmlformats.org/officeDocument/2006/relationships/hyperlink" Target="http://www.sec.gov/Archives/edgar/data/1840856/000121390026030707/ea0282324-8k_sound.htm" TargetMode="External"/><Relationship Id="rId12" Type="http://schemas.openxmlformats.org/officeDocument/2006/relationships/hyperlink" Target="http://www.sec.gov/Archives/edgar/data/1840856/000121390026045987/ea0287117-8k425_sound.htm" TargetMode="External"/><Relationship Id="rId13" Type="http://schemas.openxmlformats.org/officeDocument/2006/relationships/hyperlink" Target="http://www.sec.gov/Archives/edgar/data/1840856/000121390026061610/ea0292095-8k_sound.htm" TargetMode="External"/><Relationship Id="rId14" Type="http://schemas.openxmlformats.org/officeDocument/2006/relationships/hyperlink" Target="http://www.sec.gov/Archives/edgar/data/1840856/000121390026075086/ea0296856-8k425_sound.htm" TargetMode="External"/><Relationship Id="rId15" Type="http://schemas.openxmlformats.org/officeDocument/2006/relationships/hyperlink" Target="http://www.sec.gov/Archives/edgar/data/1840856/000184085623000019/soun-20221231x10kxexx45.htm" TargetMode="External"/><Relationship Id="rId16" Type="http://schemas.openxmlformats.org/officeDocument/2006/relationships/hyperlink" Target="http://www.sec.gov/Archives/edgar/data/1102993/000110299326000020/lpsn-20251231.htm" TargetMode="External"/><Relationship Id="rId17" Type="http://schemas.openxmlformats.org/officeDocument/2006/relationships/hyperlink" Target="http://www.sec.gov/Archives/edgar/data/1102993/000110299326000025/lpsn-20260331.htm" TargetMode="External"/><Relationship Id="rId18" Type="http://schemas.openxmlformats.org/officeDocument/2006/relationships/hyperlink" Target="http://www.sec.gov/Archives/edgar/data/1102993/000110299326000003/lpsn-20251014.htm" TargetMode="External"/><Relationship Id="rId19" Type="http://schemas.openxmlformats.org/officeDocument/2006/relationships/hyperlink" Target="http://www.sec.gov/Archives/edgar/data/1102993/000119312526167270/d148603d8k.htm" TargetMode="External"/><Relationship Id="rId20" Type="http://schemas.openxmlformats.org/officeDocument/2006/relationships/hyperlink" Target="http://www.sec.gov/Archives/edgar/data/1102993/000119312526294943/d319553d8k.htm" TargetMode="External"/><Relationship Id="rId21" Type="http://schemas.openxmlformats.org/officeDocument/2006/relationships/hyperlink" Target="http://www.sec.gov/Archives/edgar/data/1102993/000110299326000014/exh43-descriptionofregiste.htm" TargetMode="External"/><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hyperlink" Target="http://www.sec.gov/Archives/edgar/data/1840856/000121390026061593/ea029209001ex5-1.htm" TargetMode="External"/><Relationship Id="rId25" Type="http://schemas.openxmlformats.org/officeDocument/2006/relationships/hyperlink" Target="http://www.sec.gov/Archives/edgar/data/1840856/000121390026045987/ea028711701ex10-1.htm" TargetMode="External"/><Relationship Id="rId26" Type="http://schemas.openxmlformats.org/officeDocument/2006/relationships/hyperlink" Target="http://www.sec.gov/Archives/edgar/data/1840856/000121390026061593/ea029209001ex10-2.htm" TargetMode="External"/><Relationship Id="rId27" Type="http://schemas.openxmlformats.org/officeDocument/2006/relationships/hyperlink" Target="http://www.sec.gov/Archives/edgar/data/1840856/000121390026061593/ea029209001ex5-1.htm" TargetMode="External"/><Relationship Id="rId28" Type="http://schemas.openxmlformats.org/officeDocument/2006/relationships/hyperlink" Target="http://www.sec.gov/Archives/edgar/data/1840856/000121390026061593/ea029209001ex-fee.htm" TargetMode="External"/><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263</Pages>
  <Words>174744</Words>
  <Characters>958384</Characters>
  <CharactersWithSpaces>1137892</CharactersWithSpaces>
  <Paragraphs>9398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