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100,000</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1,460,525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51,131</w:t>
            </w:r>
            <w:r>
              <w:rPr>
                <w:rFonts w:ascii="Times New Roman" w:cs="Times New Roman" w:eastAsia="Times New Roman" w:hAnsi="Times New Roman"/>
                <w:sz w:val="22"/>
                <w:szCs w:val="22"/>
                <w:color w:val="008000"/>
                <w:w w:val="97"/>
                <w:vertAlign w:val="superscript"/>
              </w:rPr>
              <w:t>(2)</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9.3559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1,409,394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66,049</w:t>
            </w:r>
            <w:r>
              <w:rPr>
                <w:rFonts w:ascii="Times New Roman" w:cs="Times New Roman" w:eastAsia="Times New Roman" w:hAnsi="Times New Roman"/>
                <w:sz w:val="22"/>
                <w:szCs w:val="22"/>
                <w:color w:val="008000"/>
                <w:w w:val="97"/>
                <w:vertAlign w:val="superscript"/>
              </w:rPr>
              <w:t>(3)</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9.3559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1,346,455</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certain Performance Stock Units ("PSUs") originally granted on August 4, 2022, the vesting of which was subject to the achievement of certain performance criteria. A portion of the PSUs has vested as a result of the achievement of the applicable performance criteria.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performance stock units granted to the reporting person on August 4, 2022.</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3,110 shares of common stock acquired in May 2025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06/24/2025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2025-06-24T17:32:10Z</dcterms:created>
  <dcterms:modified xsi:type="dcterms:W3CDTF">2025-06-24T17:32:10Z</dcterms:modified>
</cp:coreProperties>
</file>