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2022</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from________to________</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001-40193</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tbl>
      <w:tblPr>
        <w:tblW w:w="5008" w:type="dxa"/>
        <w:jc w:val="left"/>
        <w:tblInd w:w="0" w:type="dxa"/>
        <w:tblCellMar>
          <w:top w:w="28" w:type="dxa"/>
          <w:left w:w="28" w:type="dxa"/>
          <w:bottom w:w="28" w:type="dxa"/>
          <w:right w:w="28" w:type="dxa"/>
        </w:tblCellMar>
      </w:tblPr>
      <w:tblGrid>
        <w:gridCol w:w="1215"/>
        <w:gridCol w:w="1066"/>
        <w:gridCol w:w="1078"/>
        <w:gridCol w:w="481"/>
        <w:gridCol w:w="481"/>
        <w:gridCol w:w="687"/>
      </w:tblGrid>
      <w:tr>
        <w:trPr/>
        <w:tc>
          <w:tcPr>
            <w:tcW w:w="121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86-1286799</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5400 Betsy Ross Drive</w:t>
            </w:r>
          </w:p>
          <w:p>
            <w:pPr>
              <w:pStyle w:val="TableContents"/>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(408) 441-3200</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20" w:after="12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10205" w:type="dxa"/>
        <w:jc w:val="left"/>
        <w:tblInd w:w="0" w:type="dxa"/>
        <w:tblCellMar>
          <w:top w:w="28" w:type="dxa"/>
          <w:left w:w="28" w:type="dxa"/>
          <w:bottom w:w="28" w:type="dxa"/>
          <w:right w:w="28" w:type="dxa"/>
        </w:tblCellMar>
      </w:tblPr>
      <w:tblGrid>
        <w:gridCol w:w="1532"/>
        <w:gridCol w:w="1323"/>
        <w:gridCol w:w="1338"/>
        <w:gridCol w:w="109"/>
        <w:gridCol w:w="109"/>
        <w:gridCol w:w="109"/>
        <w:gridCol w:w="551"/>
        <w:gridCol w:w="551"/>
        <w:gridCol w:w="553"/>
        <w:gridCol w:w="109"/>
        <w:gridCol w:w="109"/>
        <w:gridCol w:w="109"/>
        <w:gridCol w:w="1081"/>
        <w:gridCol w:w="1081"/>
        <w:gridCol w:w="1541"/>
      </w:tblGrid>
      <w:tr>
        <w:trPr/>
        <w:tc>
          <w:tcPr>
            <w:tcW w:w="1532"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r>
      <w:tr>
        <w:trPr/>
        <w:tc>
          <w:tcPr>
            <w:tcW w:w="4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1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120" w:after="283"/>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20" w:after="283"/>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2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o No x</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voting stock held by non-affiliates of the Registrant on June 30, 2022, based on the closing price of $2.68 for shares of the Registrant’s Class A common stock, was approximately $315.3 million.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March 23, 2023, there were 180,173,708 shares of the Company’s Class A common stock, $0.0001 par value per share, issued and outstanding, and 39,735,408 shares of the Company’s Class B common stock, $0.0001 par value per share, issued and outstanding.</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2"/>
        <w:gridCol w:w="310"/>
        <w:gridCol w:w="314"/>
        <w:gridCol w:w="2803"/>
        <w:gridCol w:w="2773"/>
        <w:gridCol w:w="2784"/>
        <w:gridCol w:w="253"/>
        <w:gridCol w:w="253"/>
        <w:gridCol w:w="363"/>
      </w:tblGrid>
      <w:tr>
        <w:trPr/>
        <w:tc>
          <w:tcPr>
            <w:tcW w:w="3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803" w:type="dxa"/>
            <w:tcBorders/>
            <w:shd w:fill="auto" w:val="clear"/>
            <w:vAlign w:val="center"/>
          </w:tcPr>
          <w:p>
            <w:pPr>
              <w:pStyle w:val="TableContents"/>
              <w:spacing w:before="0" w:after="283"/>
              <w:rPr>
                <w:sz w:val="4"/>
                <w:szCs w:val="4"/>
              </w:rPr>
            </w:pPr>
            <w:r>
              <w:rPr>
                <w:sz w:val="4"/>
                <w:szCs w:val="4"/>
              </w:rPr>
            </w:r>
          </w:p>
        </w:tc>
        <w:tc>
          <w:tcPr>
            <w:tcW w:w="2773"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0">
              <w:r>
                <w:rPr>
                  <w:rStyle w:val="InternetLink"/>
                  <w:rFonts w:ascii="Times New Roman;sans-serif" w:hAnsi="Times New Roman;sans-serif"/>
                  <w:b/>
                  <w:strike w:val="false"/>
                  <w:dstrike w:val="false"/>
                  <w:color w:val="000000"/>
                  <w:sz w:val="20"/>
                  <w:u w:val="none"/>
                  <w:effect w:val="none"/>
                </w:rPr>
                <w:t>Part I</w:t>
              </w:r>
            </w:hyperlink>
          </w:p>
        </w:tc>
        <w:tc>
          <w:tcPr>
            <w:tcW w:w="8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3">
              <w:r>
                <w:rPr>
                  <w:rStyle w:val="InternetLink"/>
                  <w:rFonts w:ascii="Times New Roman;sans-serif" w:hAnsi="Times New Roman;sans-serif"/>
                  <w:b w:val="false"/>
                  <w:strike w:val="false"/>
                  <w:dstrike w:val="false"/>
                  <w:color w:val="000000"/>
                  <w:sz w:val="20"/>
                  <w:u w:val="none"/>
                  <w:effect w:val="none"/>
                </w:rPr>
                <w:t>Item 1.</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3">
              <w:r>
                <w:rPr>
                  <w:rStyle w:val="InternetLink"/>
                  <w:rFonts w:ascii="Times New Roman;sans-serif" w:hAnsi="Times New Roman;sans-serif"/>
                  <w:b w:val="false"/>
                  <w:strike w:val="false"/>
                  <w:dstrike w:val="false"/>
                  <w:color w:val="000000"/>
                  <w:sz w:val="20"/>
                  <w:u w:val="none"/>
                  <w:effect w:val="none"/>
                </w:rPr>
                <w:t>Business</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3">
              <w:r>
                <w:rPr>
                  <w:rStyle w:val="InternetLink"/>
                  <w:rFonts w:ascii="Times New Roman;sans-serif" w:hAnsi="Times New Roman;sans-serif"/>
                  <w:b w:val="false"/>
                  <w:strike w:val="false"/>
                  <w:dstrike w:val="false"/>
                  <w:color w:val="000000"/>
                  <w:sz w:val="20"/>
                  <w:u w:val="none"/>
                  <w:effect w:val="none"/>
                </w:rPr>
                <w:t>1</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
              <w:r>
                <w:rPr>
                  <w:rStyle w:val="InternetLink"/>
                  <w:rFonts w:ascii="Times New Roman;sans-serif" w:hAnsi="Times New Roman;sans-serif"/>
                  <w:b w:val="false"/>
                  <w:strike w:val="false"/>
                  <w:dstrike w:val="false"/>
                  <w:color w:val="000000"/>
                  <w:sz w:val="20"/>
                  <w:u w:val="none"/>
                  <w:effect w:val="none"/>
                </w:rPr>
                <w:t>Item 1A.</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
              <w:r>
                <w:rPr>
                  <w:rStyle w:val="InternetLink"/>
                  <w:rFonts w:ascii="Times New Roman;sans-serif" w:hAnsi="Times New Roman;sans-serif"/>
                  <w:b w:val="false"/>
                  <w:strike w:val="false"/>
                  <w:dstrike w:val="false"/>
                  <w:color w:val="000000"/>
                  <w:sz w:val="20"/>
                  <w:u w:val="none"/>
                  <w:effect w:val="none"/>
                </w:rPr>
                <w:t>Risk Factors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6">
              <w:r>
                <w:rPr>
                  <w:rStyle w:val="InternetLink"/>
                  <w:rFonts w:ascii="Times New Roman;sans-serif" w:hAnsi="Times New Roman;sans-serif"/>
                  <w:b w:val="false"/>
                  <w:strike w:val="false"/>
                  <w:dstrike w:val="false"/>
                  <w:color w:val="000000"/>
                  <w:sz w:val="20"/>
                  <w:u w:val="none"/>
                  <w:effect w:val="none"/>
                </w:rPr>
                <w:t>13</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9">
              <w:r>
                <w:rPr>
                  <w:rStyle w:val="InternetLink"/>
                  <w:rFonts w:ascii="Times New Roman;sans-serif" w:hAnsi="Times New Roman;sans-serif"/>
                  <w:b w:val="false"/>
                  <w:strike w:val="false"/>
                  <w:dstrike w:val="false"/>
                  <w:color w:val="000000"/>
                  <w:sz w:val="20"/>
                  <w:u w:val="none"/>
                  <w:effect w:val="none"/>
                </w:rPr>
                <w:t>Item 1B.</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9">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9">
              <w:r>
                <w:rPr>
                  <w:rStyle w:val="InternetLink"/>
                  <w:rFonts w:ascii="Times New Roman;sans-serif" w:hAnsi="Times New Roman;sans-serif"/>
                  <w:b w:val="false"/>
                  <w:strike w:val="false"/>
                  <w:dstrike w:val="false"/>
                  <w:color w:val="000000"/>
                  <w:sz w:val="20"/>
                  <w:u w:val="none"/>
                  <w:effect w:val="none"/>
                </w:rPr>
                <w:t>37</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22">
              <w:r>
                <w:rPr>
                  <w:rStyle w:val="InternetLink"/>
                  <w:rFonts w:ascii="Times New Roman;sans-serif" w:hAnsi="Times New Roman;sans-serif"/>
                  <w:b w:val="false"/>
                  <w:strike w:val="false"/>
                  <w:dstrike w:val="false"/>
                  <w:color w:val="000000"/>
                  <w:sz w:val="20"/>
                  <w:u w:val="none"/>
                  <w:effect w:val="none"/>
                </w:rPr>
                <w:t>Item 2.</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22">
              <w:r>
                <w:rPr>
                  <w:rStyle w:val="InternetLink"/>
                  <w:rFonts w:ascii="Times New Roman;sans-serif" w:hAnsi="Times New Roman;sans-serif"/>
                  <w:b w:val="false"/>
                  <w:strike w:val="false"/>
                  <w:dstrike w:val="false"/>
                  <w:color w:val="000000"/>
                  <w:sz w:val="20"/>
                  <w:u w:val="none"/>
                  <w:effect w:val="none"/>
                </w:rPr>
                <w:t>Properties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22">
              <w:r>
                <w:rPr>
                  <w:rStyle w:val="InternetLink"/>
                  <w:rFonts w:ascii="Times New Roman;sans-serif" w:hAnsi="Times New Roman;sans-serif"/>
                  <w:b w:val="false"/>
                  <w:strike w:val="false"/>
                  <w:dstrike w:val="false"/>
                  <w:color w:val="000000"/>
                  <w:sz w:val="20"/>
                  <w:u w:val="none"/>
                  <w:effect w:val="none"/>
                </w:rPr>
                <w:t>37</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25">
              <w:r>
                <w:rPr>
                  <w:rStyle w:val="InternetLink"/>
                  <w:rFonts w:ascii="Times New Roman;sans-serif" w:hAnsi="Times New Roman;sans-serif"/>
                  <w:b w:val="false"/>
                  <w:strike w:val="false"/>
                  <w:dstrike w:val="false"/>
                  <w:color w:val="000000"/>
                  <w:sz w:val="20"/>
                  <w:u w:val="none"/>
                  <w:effect w:val="none"/>
                </w:rPr>
                <w:t>Item 3.</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25">
              <w:r>
                <w:rPr>
                  <w:rStyle w:val="InternetLink"/>
                  <w:rFonts w:ascii="Times New Roman;sans-serif" w:hAnsi="Times New Roman;sans-serif"/>
                  <w:b w:val="false"/>
                  <w:strike w:val="false"/>
                  <w:dstrike w:val="false"/>
                  <w:color w:val="000000"/>
                  <w:sz w:val="20"/>
                  <w:u w:val="none"/>
                  <w:effect w:val="none"/>
                </w:rPr>
                <w:t>Legal Proceedings</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25">
              <w:r>
                <w:rPr>
                  <w:rStyle w:val="InternetLink"/>
                  <w:rFonts w:ascii="Times New Roman;sans-serif" w:hAnsi="Times New Roman;sans-serif"/>
                  <w:b w:val="false"/>
                  <w:strike w:val="false"/>
                  <w:dstrike w:val="false"/>
                  <w:color w:val="000000"/>
                  <w:sz w:val="20"/>
                  <w:u w:val="none"/>
                  <w:effect w:val="none"/>
                </w:rPr>
                <w:t>37</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28">
              <w:r>
                <w:rPr>
                  <w:rStyle w:val="InternetLink"/>
                  <w:rFonts w:ascii="Times New Roman;sans-serif" w:hAnsi="Times New Roman;sans-serif"/>
                  <w:b w:val="false"/>
                  <w:strike w:val="false"/>
                  <w:dstrike w:val="false"/>
                  <w:color w:val="000000"/>
                  <w:sz w:val="20"/>
                  <w:u w:val="none"/>
                  <w:effect w:val="none"/>
                </w:rPr>
                <w:t>Item 4.</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2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28">
              <w:r>
                <w:rPr>
                  <w:rStyle w:val="InternetLink"/>
                  <w:rFonts w:ascii="Times New Roman;sans-serif" w:hAnsi="Times New Roman;sans-serif"/>
                  <w:b w:val="false"/>
                  <w:strike w:val="false"/>
                  <w:dstrike w:val="false"/>
                  <w:color w:val="000000"/>
                  <w:sz w:val="20"/>
                  <w:u w:val="none"/>
                  <w:effect w:val="none"/>
                </w:rPr>
                <w:t>37</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31">
              <w:r>
                <w:rPr>
                  <w:rStyle w:val="InternetLink"/>
                  <w:rFonts w:ascii="Times New Roman;sans-serif" w:hAnsi="Times New Roman;sans-serif"/>
                  <w:b/>
                  <w:strike w:val="false"/>
                  <w:dstrike w:val="false"/>
                  <w:color w:val="000000"/>
                  <w:sz w:val="20"/>
                  <w:u w:val="none"/>
                  <w:effect w:val="none"/>
                </w:rPr>
                <w:t>Part II</w:t>
              </w:r>
            </w:hyperlink>
          </w:p>
        </w:tc>
        <w:tc>
          <w:tcPr>
            <w:tcW w:w="8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34">
              <w:r>
                <w:rPr>
                  <w:rStyle w:val="InternetLink"/>
                  <w:rFonts w:ascii="Times New Roman;sans-serif" w:hAnsi="Times New Roman;sans-serif"/>
                  <w:b w:val="false"/>
                  <w:strike w:val="false"/>
                  <w:dstrike w:val="false"/>
                  <w:color w:val="000000"/>
                  <w:sz w:val="20"/>
                  <w:u w:val="none"/>
                  <w:effect w:val="none"/>
                </w:rPr>
                <w:t>Item 5.</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34">
              <w:r>
                <w:rPr>
                  <w:rStyle w:val="InternetLink"/>
                  <w:rFonts w:ascii="Times New Roman;sans-serif" w:hAnsi="Times New Roman;sans-serif"/>
                  <w:b w:val="false"/>
                  <w:strike w:val="false"/>
                  <w:dstrike w:val="false"/>
                  <w:color w:val="000000"/>
                  <w:sz w:val="20"/>
                  <w:u w:val="none"/>
                  <w:effect w:val="none"/>
                </w:rPr>
                <w:t>Market for Registrant’s Common Equity, Related Stockholder Matters and Issuer Purchases of Equity Securities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34">
              <w:r>
                <w:rPr>
                  <w:rStyle w:val="InternetLink"/>
                  <w:rFonts w:ascii="Times New Roman;sans-serif" w:hAnsi="Times New Roman;sans-serif"/>
                  <w:b w:val="false"/>
                  <w:strike w:val="false"/>
                  <w:dstrike w:val="false"/>
                  <w:color w:val="000000"/>
                  <w:sz w:val="20"/>
                  <w:u w:val="none"/>
                  <w:effect w:val="none"/>
                </w:rPr>
                <w:t>38</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37">
              <w:r>
                <w:rPr>
                  <w:rStyle w:val="InternetLink"/>
                  <w:rFonts w:ascii="Times New Roman;sans-serif" w:hAnsi="Times New Roman;sans-serif"/>
                  <w:b w:val="false"/>
                  <w:strike w:val="false"/>
                  <w:dstrike w:val="false"/>
                  <w:color w:val="000000"/>
                  <w:sz w:val="20"/>
                  <w:u w:val="none"/>
                  <w:effect w:val="none"/>
                </w:rPr>
                <w:t>Item 6.</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37">
              <w:r>
                <w:rPr>
                  <w:rStyle w:val="InternetLink"/>
                  <w:rFonts w:ascii="Times New Roman;sans-serif" w:hAnsi="Times New Roman;sans-serif"/>
                  <w:b w:val="false"/>
                  <w:strike w:val="false"/>
                  <w:dstrike w:val="false"/>
                  <w:color w:val="000000"/>
                  <w:sz w:val="20"/>
                  <w:u w:val="none"/>
                  <w:effect w:val="none"/>
                </w:rPr>
                <w:t>[Reserved]</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37">
              <w:r>
                <w:rPr>
                  <w:rStyle w:val="InternetLink"/>
                  <w:rFonts w:ascii="Times New Roman;sans-serif" w:hAnsi="Times New Roman;sans-serif"/>
                  <w:b w:val="false"/>
                  <w:strike w:val="false"/>
                  <w:dstrike w:val="false"/>
                  <w:color w:val="000000"/>
                  <w:sz w:val="20"/>
                  <w:u w:val="none"/>
                  <w:effect w:val="none"/>
                </w:rPr>
                <w:t>38</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40">
              <w:r>
                <w:rPr>
                  <w:rStyle w:val="InternetLink"/>
                  <w:rFonts w:ascii="Times New Roman;sans-serif" w:hAnsi="Times New Roman;sans-serif"/>
                  <w:b w:val="false"/>
                  <w:strike w:val="false"/>
                  <w:dstrike w:val="false"/>
                  <w:color w:val="000000"/>
                  <w:sz w:val="20"/>
                  <w:u w:val="none"/>
                  <w:effect w:val="none"/>
                </w:rPr>
                <w:t>Item 7.</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40">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40">
              <w:r>
                <w:rPr>
                  <w:rStyle w:val="InternetLink"/>
                  <w:rFonts w:ascii="Times New Roman;sans-serif" w:hAnsi="Times New Roman;sans-serif"/>
                  <w:b w:val="false"/>
                  <w:strike w:val="false"/>
                  <w:dstrike w:val="false"/>
                  <w:color w:val="000000"/>
                  <w:sz w:val="20"/>
                  <w:u w:val="none"/>
                  <w:effect w:val="none"/>
                </w:rPr>
                <w:t>38</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82">
              <w:r>
                <w:rPr>
                  <w:rStyle w:val="InternetLink"/>
                  <w:rFonts w:ascii="Times New Roman;sans-serif" w:hAnsi="Times New Roman;sans-serif"/>
                  <w:b w:val="false"/>
                  <w:strike w:val="false"/>
                  <w:dstrike w:val="false"/>
                  <w:color w:val="000000"/>
                  <w:sz w:val="20"/>
                  <w:u w:val="none"/>
                  <w:effect w:val="none"/>
                </w:rPr>
                <w:t>Item 7A.</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82">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82">
              <w:r>
                <w:rPr>
                  <w:rStyle w:val="InternetLink"/>
                  <w:rFonts w:ascii="Times New Roman;sans-serif" w:hAnsi="Times New Roman;sans-serif"/>
                  <w:b w:val="false"/>
                  <w:strike w:val="false"/>
                  <w:dstrike w:val="false"/>
                  <w:color w:val="000000"/>
                  <w:sz w:val="20"/>
                  <w:u w:val="none"/>
                  <w:effect w:val="none"/>
                </w:rPr>
                <w:t>54</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85">
              <w:r>
                <w:rPr>
                  <w:rStyle w:val="InternetLink"/>
                  <w:rFonts w:ascii="Times New Roman;sans-serif" w:hAnsi="Times New Roman;sans-serif"/>
                  <w:b w:val="false"/>
                  <w:strike w:val="false"/>
                  <w:dstrike w:val="false"/>
                  <w:color w:val="000000"/>
                  <w:sz w:val="20"/>
                  <w:u w:val="none"/>
                  <w:effect w:val="none"/>
                </w:rPr>
                <w:t>Item 8.</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85">
              <w:r>
                <w:rPr>
                  <w:rStyle w:val="InternetLink"/>
                  <w:rFonts w:ascii="Times New Roman;sans-serif" w:hAnsi="Times New Roman;sans-serif"/>
                  <w:b w:val="false"/>
                  <w:strike w:val="false"/>
                  <w:dstrike w:val="false"/>
                  <w:color w:val="000000"/>
                  <w:sz w:val="20"/>
                  <w:u w:val="none"/>
                  <w:effect w:val="none"/>
                </w:rPr>
                <w:t>Financial Statements and Supplementary Data</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85">
              <w:r>
                <w:rPr>
                  <w:rStyle w:val="InternetLink"/>
                  <w:rFonts w:ascii="Times New Roman;sans-serif" w:hAnsi="Times New Roman;sans-serif"/>
                  <w:b w:val="false"/>
                  <w:strike w:val="false"/>
                  <w:dstrike w:val="false"/>
                  <w:color w:val="000000"/>
                  <w:sz w:val="20"/>
                  <w:u w:val="none"/>
                  <w:effect w:val="none"/>
                </w:rPr>
                <w:t>55</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0">
              <w:r>
                <w:rPr>
                  <w:rStyle w:val="InternetLink"/>
                  <w:rFonts w:ascii="Times New Roman;sans-serif" w:hAnsi="Times New Roman;sans-serif"/>
                  <w:b w:val="false"/>
                  <w:strike w:val="false"/>
                  <w:dstrike w:val="false"/>
                  <w:color w:val="000000"/>
                  <w:sz w:val="20"/>
                  <w:u w:val="none"/>
                  <w:effect w:val="none"/>
                </w:rPr>
                <w:t>Item 9.</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0">
              <w:r>
                <w:rPr>
                  <w:rStyle w:val="InternetLink"/>
                  <w:rFonts w:ascii="Times New Roman;sans-serif" w:hAnsi="Times New Roman;sans-serif"/>
                  <w:b w:val="false"/>
                  <w:strike w:val="false"/>
                  <w:dstrike w:val="false"/>
                  <w:color w:val="000000"/>
                  <w:sz w:val="20"/>
                  <w:u w:val="none"/>
                  <w:effect w:val="none"/>
                </w:rPr>
                <w:t>Changes in and Disagreements with Accountants on Accounting and Financial Disclosure</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60">
              <w:r>
                <w:rPr>
                  <w:rStyle w:val="InternetLink"/>
                  <w:rFonts w:ascii="Times New Roman;sans-serif" w:hAnsi="Times New Roman;sans-serif"/>
                  <w:b w:val="false"/>
                  <w:strike w:val="false"/>
                  <w:dstrike w:val="false"/>
                  <w:color w:val="000000"/>
                  <w:sz w:val="20"/>
                  <w:u w:val="none"/>
                  <w:effect w:val="none"/>
                </w:rPr>
                <w:t>96</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3">
              <w:r>
                <w:rPr>
                  <w:rStyle w:val="InternetLink"/>
                  <w:rFonts w:ascii="Times New Roman;sans-serif" w:hAnsi="Times New Roman;sans-serif"/>
                  <w:b w:val="false"/>
                  <w:strike w:val="false"/>
                  <w:dstrike w:val="false"/>
                  <w:color w:val="000000"/>
                  <w:sz w:val="20"/>
                  <w:u w:val="none"/>
                  <w:effect w:val="none"/>
                </w:rPr>
                <w:t>Item 9A.</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3">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63">
              <w:r>
                <w:rPr>
                  <w:rStyle w:val="InternetLink"/>
                  <w:rFonts w:ascii="Times New Roman;sans-serif" w:hAnsi="Times New Roman;sans-serif"/>
                  <w:b w:val="false"/>
                  <w:strike w:val="false"/>
                  <w:dstrike w:val="false"/>
                  <w:color w:val="000000"/>
                  <w:sz w:val="20"/>
                  <w:u w:val="none"/>
                  <w:effect w:val="none"/>
                </w:rPr>
                <w:t>96</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6">
              <w:r>
                <w:rPr>
                  <w:rStyle w:val="InternetLink"/>
                  <w:rFonts w:ascii="Times New Roman;sans-serif" w:hAnsi="Times New Roman;sans-serif"/>
                  <w:b w:val="false"/>
                  <w:strike w:val="false"/>
                  <w:dstrike w:val="false"/>
                  <w:color w:val="000000"/>
                  <w:sz w:val="20"/>
                  <w:u w:val="none"/>
                  <w:effect w:val="none"/>
                </w:rPr>
                <w:t>Item 9B.</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6">
              <w:r>
                <w:rPr>
                  <w:rStyle w:val="InternetLink"/>
                  <w:rFonts w:ascii="Times New Roman;sans-serif" w:hAnsi="Times New Roman;sans-serif"/>
                  <w:b w:val="false"/>
                  <w:strike w:val="false"/>
                  <w:dstrike w:val="false"/>
                  <w:color w:val="000000"/>
                  <w:sz w:val="20"/>
                  <w:u w:val="none"/>
                  <w:effect w:val="none"/>
                </w:rPr>
                <w:t>Other Information</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66">
              <w:r>
                <w:rPr>
                  <w:rStyle w:val="InternetLink"/>
                  <w:rFonts w:ascii="Times New Roman;sans-serif" w:hAnsi="Times New Roman;sans-serif"/>
                  <w:b w:val="false"/>
                  <w:strike w:val="false"/>
                  <w:dstrike w:val="false"/>
                  <w:color w:val="000000"/>
                  <w:sz w:val="20"/>
                  <w:u w:val="none"/>
                  <w:effect w:val="none"/>
                </w:rPr>
                <w:t>96</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6">
              <w:r>
                <w:rPr>
                  <w:rStyle w:val="InternetLink"/>
                </w:rPr>
                <w:t>Item 9</w:t>
              </w:r>
            </w:hyperlink>
            <w:hyperlink w:anchor="ifd41532186be40da864fa25a496db740_166">
              <w:r>
                <w:rPr>
                  <w:rStyle w:val="InternetLink"/>
                </w:rPr>
                <w:t>C</w:t>
              </w:r>
            </w:hyperlink>
            <w:hyperlink w:anchor="ifd41532186be40da864fa25a496db740_166">
              <w:r>
                <w:rPr>
                  <w:rStyle w:val="InternetLink"/>
                </w:rPr>
                <w:t>.</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Regarding Foreign Jurisdictions that Prevent Inspections</w:t>
            </w:r>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66">
              <w:r>
                <w:rPr>
                  <w:rStyle w:val="InternetLink"/>
                  <w:rFonts w:ascii="Times New Roman;sans-serif" w:hAnsi="Times New Roman;sans-serif"/>
                  <w:b w:val="false"/>
                  <w:strike w:val="false"/>
                  <w:dstrike w:val="false"/>
                  <w:color w:val="000000"/>
                  <w:sz w:val="20"/>
                  <w:u w:val="none"/>
                  <w:effect w:val="none"/>
                </w:rPr>
                <w:t>96</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69">
              <w:r>
                <w:rPr>
                  <w:rStyle w:val="InternetLink"/>
                  <w:rFonts w:ascii="Times New Roman;sans-serif" w:hAnsi="Times New Roman;sans-serif"/>
                  <w:b/>
                  <w:strike w:val="false"/>
                  <w:dstrike w:val="false"/>
                  <w:color w:val="000000"/>
                  <w:sz w:val="20"/>
                  <w:u w:val="none"/>
                  <w:effect w:val="none"/>
                </w:rPr>
                <w:t>Part III</w:t>
              </w:r>
            </w:hyperlink>
          </w:p>
        </w:tc>
        <w:tc>
          <w:tcPr>
            <w:tcW w:w="8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72">
              <w:r>
                <w:rPr>
                  <w:rStyle w:val="InternetLink"/>
                  <w:rFonts w:ascii="Times New Roman;sans-serif" w:hAnsi="Times New Roman;sans-serif"/>
                  <w:b w:val="false"/>
                  <w:strike w:val="false"/>
                  <w:dstrike w:val="false"/>
                  <w:color w:val="000000"/>
                  <w:sz w:val="20"/>
                  <w:u w:val="none"/>
                  <w:effect w:val="none"/>
                </w:rPr>
                <w:t>Item 10.</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72">
              <w:r>
                <w:rPr>
                  <w:rStyle w:val="InternetLink"/>
                  <w:rFonts w:ascii="Times New Roman;sans-serif" w:hAnsi="Times New Roman;sans-serif"/>
                  <w:b w:val="false"/>
                  <w:strike w:val="false"/>
                  <w:dstrike w:val="false"/>
                  <w:color w:val="000000"/>
                  <w:sz w:val="20"/>
                  <w:u w:val="none"/>
                  <w:effect w:val="none"/>
                </w:rPr>
                <w:t>Directors, Executive Officers and Corporate Governance</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72">
              <w:r>
                <w:rPr>
                  <w:rStyle w:val="InternetLink"/>
                  <w:rFonts w:ascii="Times New Roman;sans-serif" w:hAnsi="Times New Roman;sans-serif"/>
                  <w:b w:val="false"/>
                  <w:strike w:val="false"/>
                  <w:dstrike w:val="false"/>
                  <w:color w:val="000000"/>
                  <w:sz w:val="20"/>
                  <w:u w:val="none"/>
                  <w:effect w:val="none"/>
                </w:rPr>
                <w:t>97</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75">
              <w:r>
                <w:rPr>
                  <w:rStyle w:val="InternetLink"/>
                  <w:rFonts w:ascii="Times New Roman;sans-serif" w:hAnsi="Times New Roman;sans-serif"/>
                  <w:b w:val="false"/>
                  <w:strike w:val="false"/>
                  <w:dstrike w:val="false"/>
                  <w:color w:val="000000"/>
                  <w:sz w:val="20"/>
                  <w:u w:val="none"/>
                  <w:effect w:val="none"/>
                </w:rPr>
                <w:t>Item 11.</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75">
              <w:r>
                <w:rPr>
                  <w:rStyle w:val="InternetLink"/>
                  <w:rFonts w:ascii="Times New Roman;sans-serif" w:hAnsi="Times New Roman;sans-serif"/>
                  <w:b w:val="false"/>
                  <w:strike w:val="false"/>
                  <w:dstrike w:val="false"/>
                  <w:color w:val="000000"/>
                  <w:sz w:val="20"/>
                  <w:u w:val="none"/>
                  <w:effect w:val="none"/>
                </w:rPr>
                <w:t>Executive Compensation</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75">
              <w:r>
                <w:rPr>
                  <w:rStyle w:val="InternetLink"/>
                  <w:rFonts w:ascii="Times New Roman;sans-serif" w:hAnsi="Times New Roman;sans-serif"/>
                  <w:b w:val="false"/>
                  <w:strike w:val="false"/>
                  <w:dstrike w:val="false"/>
                  <w:color w:val="000000"/>
                  <w:sz w:val="20"/>
                  <w:u w:val="none"/>
                  <w:effect w:val="none"/>
                </w:rPr>
                <w:t>100</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78">
              <w:r>
                <w:rPr>
                  <w:rStyle w:val="InternetLink"/>
                  <w:rFonts w:ascii="Times New Roman;sans-serif" w:hAnsi="Times New Roman;sans-serif"/>
                  <w:b w:val="false"/>
                  <w:strike w:val="false"/>
                  <w:dstrike w:val="false"/>
                  <w:color w:val="000000"/>
                  <w:sz w:val="20"/>
                  <w:u w:val="none"/>
                  <w:effect w:val="none"/>
                </w:rPr>
                <w:t>Item 12.</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78">
              <w:r>
                <w:rPr>
                  <w:rStyle w:val="InternetLink"/>
                  <w:rFonts w:ascii="Times New Roman;sans-serif" w:hAnsi="Times New Roman;sans-serif"/>
                  <w:b w:val="false"/>
                  <w:strike w:val="false"/>
                  <w:dstrike w:val="false"/>
                  <w:color w:val="000000"/>
                  <w:sz w:val="20"/>
                  <w:u w:val="none"/>
                  <w:effect w:val="none"/>
                </w:rPr>
                <w:t>Security Ownership of Certain Beneficial Owners and Management and Related Stockholder Matters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78">
              <w:r>
                <w:rPr>
                  <w:rStyle w:val="InternetLink"/>
                  <w:rFonts w:ascii="Times New Roman;sans-serif" w:hAnsi="Times New Roman;sans-serif"/>
                  <w:b w:val="false"/>
                  <w:strike w:val="false"/>
                  <w:dstrike w:val="false"/>
                  <w:color w:val="000000"/>
                  <w:sz w:val="20"/>
                  <w:u w:val="none"/>
                  <w:effect w:val="none"/>
                </w:rPr>
                <w:t>105</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81">
              <w:r>
                <w:rPr>
                  <w:rStyle w:val="InternetLink"/>
                  <w:rFonts w:ascii="Times New Roman;sans-serif" w:hAnsi="Times New Roman;sans-serif"/>
                  <w:b w:val="false"/>
                  <w:strike w:val="false"/>
                  <w:dstrike w:val="false"/>
                  <w:color w:val="000000"/>
                  <w:sz w:val="20"/>
                  <w:u w:val="none"/>
                  <w:effect w:val="none"/>
                </w:rPr>
                <w:t>Item 13.</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81">
              <w:r>
                <w:rPr>
                  <w:rStyle w:val="InternetLink"/>
                  <w:rFonts w:ascii="Times New Roman;sans-serif" w:hAnsi="Times New Roman;sans-serif"/>
                  <w:b w:val="false"/>
                  <w:strike w:val="false"/>
                  <w:dstrike w:val="false"/>
                  <w:color w:val="000000"/>
                  <w:sz w:val="20"/>
                  <w:u w:val="none"/>
                  <w:effect w:val="none"/>
                </w:rPr>
                <w:t>Certain Relationships and Related Transactions, and Director Independence</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81">
              <w:r>
                <w:rPr>
                  <w:rStyle w:val="InternetLink"/>
                  <w:rFonts w:ascii="Times New Roman;sans-serif" w:hAnsi="Times New Roman;sans-serif"/>
                  <w:b w:val="false"/>
                  <w:strike w:val="false"/>
                  <w:dstrike w:val="false"/>
                  <w:color w:val="000000"/>
                  <w:sz w:val="20"/>
                  <w:u w:val="none"/>
                  <w:effect w:val="none"/>
                </w:rPr>
                <w:t>108</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84">
              <w:r>
                <w:rPr>
                  <w:rStyle w:val="InternetLink"/>
                  <w:rFonts w:ascii="Times New Roman;sans-serif" w:hAnsi="Times New Roman;sans-serif"/>
                  <w:b w:val="false"/>
                  <w:strike w:val="false"/>
                  <w:dstrike w:val="false"/>
                  <w:color w:val="000000"/>
                  <w:sz w:val="20"/>
                  <w:u w:val="none"/>
                  <w:effect w:val="none"/>
                </w:rPr>
                <w:t>Item 14.</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84">
              <w:r>
                <w:rPr>
                  <w:rStyle w:val="InternetLink"/>
                  <w:rFonts w:ascii="Times New Roman;sans-serif" w:hAnsi="Times New Roman;sans-serif"/>
                  <w:b w:val="false"/>
                  <w:strike w:val="false"/>
                  <w:dstrike w:val="false"/>
                  <w:color w:val="000000"/>
                  <w:sz w:val="20"/>
                  <w:u w:val="none"/>
                  <w:effect w:val="none"/>
                </w:rPr>
                <w:t>Principal Accountant Fees and Services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84">
              <w:r>
                <w:rPr>
                  <w:rStyle w:val="InternetLink"/>
                  <w:rFonts w:ascii="Times New Roman;sans-serif" w:hAnsi="Times New Roman;sans-serif"/>
                  <w:b w:val="false"/>
                  <w:strike w:val="false"/>
                  <w:dstrike w:val="false"/>
                  <w:color w:val="000000"/>
                  <w:sz w:val="20"/>
                  <w:u w:val="none"/>
                  <w:effect w:val="none"/>
                </w:rPr>
                <w:t>110</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87">
              <w:r>
                <w:rPr>
                  <w:rStyle w:val="InternetLink"/>
                  <w:rFonts w:ascii="Times New Roman;sans-serif" w:hAnsi="Times New Roman;sans-serif"/>
                  <w:b/>
                  <w:strike w:val="false"/>
                  <w:dstrike w:val="false"/>
                  <w:color w:val="000000"/>
                  <w:sz w:val="20"/>
                  <w:u w:val="none"/>
                  <w:effect w:val="none"/>
                </w:rPr>
                <w:t>Part IV</w:t>
              </w:r>
            </w:hyperlink>
          </w:p>
        </w:tc>
        <w:tc>
          <w:tcPr>
            <w:tcW w:w="8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90">
              <w:r>
                <w:rPr>
                  <w:rStyle w:val="InternetLink"/>
                  <w:rFonts w:ascii="Times New Roman;sans-serif" w:hAnsi="Times New Roman;sans-serif"/>
                  <w:b w:val="false"/>
                  <w:strike w:val="false"/>
                  <w:dstrike w:val="false"/>
                  <w:color w:val="000000"/>
                  <w:sz w:val="20"/>
                  <w:u w:val="none"/>
                  <w:effect w:val="none"/>
                </w:rPr>
                <w:t>Item 15.</w:t>
              </w:r>
            </w:hyperlink>
          </w:p>
        </w:tc>
        <w:tc>
          <w:tcPr>
            <w:tcW w:w="83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90">
              <w:r>
                <w:rPr>
                  <w:rStyle w:val="InternetLink"/>
                  <w:rFonts w:ascii="Times New Roman;sans-serif" w:hAnsi="Times New Roman;sans-serif"/>
                  <w:b w:val="false"/>
                  <w:strike w:val="false"/>
                  <w:dstrike w:val="false"/>
                  <w:color w:val="000000"/>
                  <w:sz w:val="20"/>
                  <w:u w:val="none"/>
                  <w:effect w:val="none"/>
                </w:rPr>
                <w:t>Exhibits and Financial Statement Schedules</w:t>
              </w:r>
            </w:hyperlink>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90">
              <w:r>
                <w:rPr>
                  <w:rStyle w:val="InternetLink"/>
                  <w:rFonts w:ascii="Times New Roman;sans-serif" w:hAnsi="Times New Roman;sans-serif"/>
                  <w:b w:val="false"/>
                  <w:strike w:val="false"/>
                  <w:dstrike w:val="false"/>
                  <w:color w:val="000000"/>
                  <w:sz w:val="20"/>
                  <w:u w:val="none"/>
                  <w:effect w:val="none"/>
                </w:rPr>
                <w:t>111</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93">
              <w:r>
                <w:rPr>
                  <w:rStyle w:val="InternetLink"/>
                  <w:rFonts w:ascii="Times New Roman;sans-serif" w:hAnsi="Times New Roman;sans-serif"/>
                  <w:b w:val="false"/>
                  <w:strike w:val="false"/>
                  <w:dstrike w:val="false"/>
                  <w:color w:val="000000"/>
                  <w:sz w:val="20"/>
                  <w:u w:val="none"/>
                  <w:effect w:val="none"/>
                </w:rPr>
                <w:t>Item 16.</w:t>
              </w:r>
            </w:hyperlink>
          </w:p>
        </w:tc>
        <w:tc>
          <w:tcPr>
            <w:tcW w:w="83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93">
              <w:r>
                <w:rPr>
                  <w:rStyle w:val="InternetLink"/>
                  <w:rFonts w:ascii="Times New Roman;sans-serif" w:hAnsi="Times New Roman;sans-serif"/>
                  <w:b w:val="false"/>
                  <w:strike w:val="false"/>
                  <w:dstrike w:val="false"/>
                  <w:color w:val="000000"/>
                  <w:sz w:val="20"/>
                  <w:u w:val="none"/>
                  <w:effect w:val="none"/>
                </w:rPr>
                <w:t>Form 10-K Summary</w:t>
              </w:r>
            </w:hyperlink>
          </w:p>
        </w:tc>
        <w:tc>
          <w:tcPr>
            <w:tcW w:w="86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93">
              <w:r>
                <w:rPr>
                  <w:rStyle w:val="InternetLink"/>
                  <w:rFonts w:ascii="Times New Roman;sans-serif" w:hAnsi="Times New Roman;sans-serif"/>
                  <w:b w:val="false"/>
                  <w:strike w:val="false"/>
                  <w:dstrike w:val="false"/>
                  <w:color w:val="000000"/>
                  <w:sz w:val="20"/>
                  <w:u w:val="none"/>
                  <w:effect w:val="none"/>
                </w:rPr>
                <w:t>112</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96">
              <w:r>
                <w:rPr>
                  <w:rStyle w:val="InternetLink"/>
                  <w:rFonts w:ascii="Times New Roman;sans-serif" w:hAnsi="Times New Roman;sans-serif"/>
                  <w:b w:val="false"/>
                  <w:strike w:val="false"/>
                  <w:dstrike w:val="false"/>
                  <w:color w:val="000000"/>
                  <w:sz w:val="20"/>
                  <w:u w:val="none"/>
                  <w:effect w:val="none"/>
                </w:rPr>
                <w:t>Signatures</w:t>
              </w:r>
            </w:hyperlink>
          </w:p>
        </w:tc>
        <w:tc>
          <w:tcPr>
            <w:tcW w:w="8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96">
              <w:r>
                <w:rPr>
                  <w:rStyle w:val="InternetLink"/>
                  <w:rFonts w:ascii="Times New Roman;sans-serif" w:hAnsi="Times New Roman;sans-serif"/>
                  <w:b w:val="false"/>
                  <w:strike w:val="false"/>
                  <w:dstrike w:val="false"/>
                  <w:color w:val="000000"/>
                  <w:sz w:val="20"/>
                  <w:u w:val="none"/>
                  <w:effect w:val="none"/>
                </w:rPr>
                <w:t>113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Readers are cautioned that significant known and unknown risks, uncertainties and other important factors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execution of our business strategy, including launching new product offerings and expanding information and technology capabilities, particularly following our recent restructuring efforts;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market opportunity and our ability to acquire new customers and retain existing customers;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and impact of our growth initiatives on our future financial performance;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protect intellectual property and trade secrets;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ability to obtain additional capital, including equity or debt financing, </w:t>
      </w:r>
      <w:r>
        <w:rPr>
          <w:rFonts w:ascii="Times New Roman;sans-serif" w:hAnsi="Times New Roman;sans-serif"/>
          <w:b w:val="false"/>
          <w:color w:val="000000"/>
          <w:sz w:val="20"/>
          <w:highlight w:val="white"/>
        </w:rPr>
        <w:t>on terms that are acceptable to SoundHound, if at all, particularly in light of inflationary pressures and resulting increases in the cost of borrowing</w:t>
      </w:r>
      <w:r>
        <w:rPr>
          <w:rFonts w:ascii="Times New Roman;sans-serif" w:hAnsi="Times New Roman;sans-serif"/>
          <w:b w:val="false"/>
          <w:color w:val="000000"/>
          <w:sz w:val="20"/>
        </w:rPr>
        <w: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applicable laws or regulations and extensive and evolving government regulations that impact the Company’s operations and business;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attract or maintain a qualified workforce, particularly following our recent restructuring efforts;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level of product service failures that could lead our customers to use competitors’ services;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investigations, claims, disputes, enforcement actions, litigation and/or other regulatory or legal proceedings, including with respect to our AI technology;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effects of the COVID-19 pandemic or any similar public health developments on our business;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relating to uncertainty of our estimates of market opportunity and forecasts of market growth;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maintain the listing of SoundHound Class A Common Stock on the Nasdaq Global Market;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possibility that SoundHound may be adversely affected by other economic, business, and/or competitive factors;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risks and uncertainties described under the section titled “Risk Factors” in this Annual Report.</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“Management’s Discussion and Analysis of Financial Condition and Results of Operation,” “Business,” “Risk Factors” and other sections of this Annual Report. 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Mission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mission is to voice-enable the world with conversational intelligence through an independent AI platform enabling humans to interact with products and services like they interact with each other — by speaking naturally.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lineRule="auto" w:line="288" w:before="240" w:after="283"/>
        <w:ind w:left="0" w:right="0" w:firstLine="360"/>
        <w:jc w:val="both"/>
        <w:rPr/>
      </w:pPr>
      <w:r>
        <w:rPr>
          <w:rFonts w:ascii="Times New Roman;sans-serif" w:hAnsi="Times New Roman;sans-serif"/>
          <w:b w:val="false"/>
          <w:color w:val="000000"/>
          <w:sz w:val="20"/>
        </w:rPr>
        <w:t>SoundHound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and Deep Meaning Understanding</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technologies developed over the past 17 years, our advanced Voice AI platform provides exceptional speed and accuracy.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is also committed to enabling product creators to design, customize, differentiate, innovate, and monetize the voice interfaces to their own products and services, as opposed to outsourcing to a third-party assistant.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 often than not, we currently interact with voice-enabled third-party assistants using halted speech patterns, consciously dividing queries into limited, broken, and unnatural instructions. By contrast,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technology is currently being used globally by customers that include Hyundai, Mercedes-Benz, Pandora, Snap, VIZIO, Square, Toast, Oracle, KIA, and Stellantis. We have seen significant inflection in customer adoption of our technology, as measured through activity on our Houndify platform, which surpassed 1 billion annual queries in 2021 and experienced over 85% growth during 2022.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SoundHound’s revenues have grown by more than 45% year over year each fiscal year over the past four years.</w:t>
      </w:r>
    </w:p>
    <w:p>
      <w:pPr>
        <w:pStyle w:val="TextBody"/>
        <w:spacing w:lineRule="auto" w:line="288" w:before="240" w:after="283"/>
        <w:ind w:left="0" w:right="0" w:firstLine="360"/>
        <w:jc w:val="both"/>
        <w:rPr/>
      </w:pPr>
      <w:r>
        <w:rPr>
          <w:rFonts w:ascii="Times New Roman;sans-serif" w:hAnsi="Times New Roman;sans-serif"/>
          <w:b w:val="false"/>
          <w:color w:val="000000"/>
          <w:sz w:val="20"/>
        </w:rPr>
        <w:t>We support our customers by providing them access to Houndify</w:t>
      </w:r>
      <w:r>
        <w:rPr>
          <w:rFonts w:ascii="Times New Roman;sans-serif" w:hAnsi="Times New Roman;sans-serif"/>
          <w:b w:val="false"/>
          <w:color w:val="000000"/>
          <w:sz w:val="13"/>
        </w:rPr>
        <w:t>® </w:t>
      </w:r>
      <w:r>
        <w:rPr>
          <w:color w:val="000000"/>
        </w:rPr>
        <w:t>— </w:t>
      </w:r>
      <w:r>
        <w:rPr>
          <w:rFonts w:ascii="Times New Roman;sans-serif" w:hAnsi="Times New Roman;sans-serif"/>
          <w:b w:val="false"/>
          <w:color w:val="000000"/>
          <w:sz w:val="20"/>
        </w:rPr>
        <w:t>an open-access platform that allows developers to leverage SoundHound’s Voice AI technology and a library of over 100 content domains, including commonly used domains for points of interest, weather, flight status, sports, and more. To ensure that our content domains continue to evolve and grow, our platform is built on our breakthrough Collective AI</w:t>
      </w:r>
      <w:r>
        <w:rPr>
          <w:rFonts w:ascii="Times New Roman;sans-serif" w:hAnsi="Times New Roman;sans-serif"/>
          <w:b w:val="false"/>
          <w:color w:val="000000"/>
          <w:sz w:val="13"/>
        </w:rPr>
        <w:t>® </w:t>
      </w:r>
      <w:r>
        <w:rPr>
          <w:color w:val="000000"/>
        </w:rPr>
        <w:t>— </w:t>
      </w:r>
      <w:r>
        <w:rPr>
          <w:rFonts w:ascii="Times New Roman;sans-serif" w:hAnsi="Times New Roman;sans-serif"/>
          <w:b w:val="false"/>
          <w:color w:val="000000"/>
          <w:sz w:val="20"/>
        </w:rPr>
        <w:t>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is backed by SoundHound’s investments in intellectual property, with over 120 patents granted and over 140 patents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Opportunity</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 significant addressable market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Industry sources predict that 90% of new vehicles globally will have voice assistants by 2028 and that there will be 75 billion connected devices worldwide by 2025. The number of devices with their own voice assistant is expected to surpass the world’s population within four years.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Across industries, 94% of large companies expect to use Voice AI within two years, according to a Pindrop Security, Inc. study, indicating the imperative most companies feel to provide a voice user interface to their products and services.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Custom, branded voice assistants are allowing companies to improve their customer interactions at every touchpoint. In a recent study by Opus Research (sponsored by SoundHound), 77% of business leaders across eight industries stated that voice assistants drive value through improved customer support and 76% agreed that they help companies to control their brand identity and user experience. For those already employing a voice assistant, 81% are using the technology to improve customer service and 52% are using them for sales activity.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Juniper Research, the broader market for Voice AI transactions will exceed $160 billion by 2026, enabled by a growing need for Voice AI in many industries.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these trends are adding up to exponential growth for Voice AI in a variety of markets, including IoT, automotive, retail, hospitality, enterprise, healthcare, contact center, and banking and finance.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Voice AI is poised to be the next disruption in computing and the timing is right for our company and our vision.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 position is strengthened by the significant technical barriers to entry that often face potential participants in the Voice AI space, reducing the likelihood that significant competitors will enter the market in the near term.</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Technical Development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technology represents the evolution of several disruptive breakthroughs in voice-AI and sound recognition developed over the past 15+ years. Using innovative audio and music identification technology, in 2009, our founders launched the SoundHound music identification app. Since its inception, the app has received over 315 million downloads.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SoundHound introduced Dynamic Interaction™, a category-level breakthrough in conversational AI that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 Additionally, in March 2023, we unveiled a new product called "SoundHound Chat AI", which we believe will usher in a new phase of voice-enabled, conversational AI by combining the power of software engineering and machine learning generative AI.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SoundHound’s Vision</w:t>
      </w:r>
    </w:p>
    <w:p>
      <w:pPr>
        <w:pStyle w:val="TextBody"/>
        <w:spacing w:lineRule="auto" w:line="288" w:before="240" w:after="283"/>
        <w:ind w:left="0" w:right="0" w:firstLine="360"/>
        <w:jc w:val="both"/>
        <w:rPr/>
      </w:pPr>
      <w:r>
        <w:rPr>
          <w:rFonts w:ascii="Times New Roman;sans-serif" w:hAnsi="Times New Roman;sans-serif"/>
          <w:b w:val="false"/>
          <w:color w:val="000000"/>
          <w:sz w:val="20"/>
        </w:rPr>
        <w:t>A typical reaction to SoundHound’s technology is “Wow! Even humans cannot do this.” This is the crux of our vision: </w:t>
      </w:r>
      <w:r>
        <w:rPr>
          <w:rFonts w:ascii="Times New Roman;sans-serif" w:hAnsi="Times New Roman;sans-serif"/>
          <w:b w:val="false"/>
          <w:i/>
          <w:color w:val="000000"/>
          <w:sz w:val="20"/>
        </w:rPr>
        <w:t>Create a Voice AI platform that exceeds human capabilities and brings value and delight via an ecosystem of billions of products enhanced by innovation and monetization opportunities.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 In addition, users can follow up and ask it to refine the criteria such as “remove Korean and Vietnamese, sort by rating then by price, and only show the ones that are good for kids and have a patio.”</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through SoundHound's AI-driven restaurant voice ordering solution, SoundHound for Restaurants, automated voice technology can be deployed by any restaurant to take food and drink orders over the phone, via menu kiosks or at the drive-thru. Its sophisticated technology learns the menu of each business and can answer questions, accept modifications and even upsell, helping the restaurant process more orders quickly and efficiently.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Technology Breakthroughs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momentum in the Voice AI market can, in large part, be attributed to our large number of technology breakthroughs. These are anchored by three important innovations: Speech-to-Meaning, Deep Meaning Understanding and Collective AI.</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Speech-to-Meaning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pStyle w:val="TextBody"/>
        <w:spacing w:before="240" w:after="283"/>
        <w:jc w:val="center"/>
        <w:rPr/>
      </w:pPr>
      <w:r>
        <w:rPr/>
        <w:drawing>
          <wp:inline distT="0" distB="63500" distL="0" distR="0">
            <wp:extent cx="6286500" cy="33051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286500" cy="3305175"/>
                    </a:xfrm>
                    <a:prstGeom prst="rect">
                      <a:avLst/>
                    </a:prstGeom>
                  </pic:spPr>
                </pic:pic>
              </a:graphicData>
            </a:graphic>
          </wp:inline>
        </w:drawing>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Deep Meaning Understanding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Deep Meaning Understanding is our innovative approach to language understanding that allows our Voice AI platform to understand highly complex conversation.</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0" name="Frame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it can understand: “Show me hotels in San Francisco that are less than $600, but not less than $300, are pet friendly, have a gym and a pool with at least three stars staying for two nights, and don’t include anything that doesn’t have Wi-Fi.”</w:t>
      </w:r>
    </w:p>
    <w:p>
      <w:pPr>
        <w:pStyle w:val="TextBody"/>
        <w:spacing w:before="240" w:after="283"/>
        <w:jc w:val="center"/>
        <w:rPr/>
      </w:pPr>
      <w:r>
        <w:rPr/>
        <w:drawing>
          <wp:inline distT="0" distB="63500" distL="0" distR="0">
            <wp:extent cx="6286500" cy="330517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286500" cy="3305175"/>
                    </a:xfrm>
                    <a:prstGeom prst="rect">
                      <a:avLst/>
                    </a:prstGeom>
                  </pic:spPr>
                </pic:pic>
              </a:graphicData>
            </a:graphic>
          </wp:inline>
        </w:drawing>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Collective AI</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third breakthrough is called Collective AI: an architecture that gives potential to SoundHound to improve the understanding capability of its platform exponentially based on linear contributions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SoundHound Products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Houndify platform</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Houndify provides a web API that takes in text queries or audio and returns actionable JavaScript Object Notation to anyone with an internet connection wanting to add Voice AI to any product or application.</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2" name="Frame1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Automatic Speech Recognition (“ASR”)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Natural Language Understanding (“NLU”)</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Wake Words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Wake words are the entry point into branded voice experiences, allowing users to invoke the assistant by literally speaking the company’s name. Examples range from “Hey Pandora” in a mobile app to “Hey Peugeot” within a vehicle.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 Domains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Text-to-speech (“TTS”)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high quality TTS helps companies create a unique voice that differentiates them from the competition. Brands can fully express their personality by choosing the gender, tone, and personality that will become their vocal identity.</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3" name="Frame1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Edge (Embedded)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fully-embedded voice solution for brands seeking the convenience of a voice user interface without the privacy or connectivity concerns of the internet. Includes full access to custom commands and the ability to instantly update commands during development.</w:t>
      </w:r>
    </w:p>
    <w:p>
      <w:pPr>
        <w:pStyle w:val="TextBody"/>
        <w:spacing w:lineRule="auto" w:line="288" w:before="240" w:after="283"/>
        <w:ind w:left="0" w:right="0" w:firstLine="360"/>
        <w:jc w:val="both"/>
        <w:rPr/>
      </w:pPr>
      <w:r>
        <w:rPr>
          <w:rFonts w:ascii="Times New Roman;sans-serif" w:hAnsi="Times New Roman;sans-serif"/>
          <w:b w:val="false"/>
          <w:color w:val="000000"/>
          <w:sz w:val="20"/>
        </w:rPr>
        <w:t>To harness the capabilities of full cloud connectivity with the reliability of embedded voice technology. </w:t>
      </w:r>
      <w:r>
        <w:rPr>
          <w:rFonts w:ascii="Times New Roman;sans-serif" w:hAnsi="Times New Roman;sans-serif"/>
          <w:b w:val="false"/>
          <w:i/>
          <w:color w:val="000000"/>
          <w:sz w:val="20"/>
        </w:rPr>
        <w:t>Houndify Edge Hybrid </w:t>
      </w:r>
      <w:r>
        <w:rPr>
          <w:rFonts w:ascii="Times New Roman;sans-serif" w:hAnsi="Times New Roman;sans-serif"/>
          <w:b w:val="false"/>
          <w:color w:val="000000"/>
          <w:sz w:val="20"/>
        </w:rPr>
        <w:t>solutions are designed to ensure that devices are always-on and responsive to commands. Allows for over-the-air product updates and a broader voice experience with the level of cloud-connectivity that best matches the product and its users.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Competitive Strengths and Differentiators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Independent Disruptor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is a growing void and demand for an independent Voice AI platform such as SoundHound.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4" name="Frame1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pStyle w:val="TextBody"/>
        <w:spacing w:before="240" w:after="283"/>
        <w:jc w:val="center"/>
        <w:rPr/>
      </w:pPr>
      <w:r>
        <w:rPr/>
        <w:drawing>
          <wp:inline distT="0" distB="63500" distL="0" distR="0">
            <wp:extent cx="6286500" cy="330517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6286500" cy="3305175"/>
                    </a:xfrm>
                    <a:prstGeom prst="rect">
                      <a:avLst/>
                    </a:prstGeom>
                  </pic:spPr>
                </pic:pic>
              </a:graphicData>
            </a:graphic>
          </wp:inline>
        </w:drawing>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Model</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Momentum</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Building a Diverse, Global Customer Base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continues to expand the capabilities that make us well-positioned to serve the needs of customers globally. We have grown our solution from a single language capability to 25 languages.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pillars for growth</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identified three pillars for revenue growth: Royalties, Subscription, and Monetization, and all three pillars contribute to our current revenues today. While the majority of current revenues come from royalties, over time we expect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6" name="Frame1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from subscription and monetization pillars to increase and eventually represent a larger portion of our overall revenues.</w:t>
      </w:r>
    </w:p>
    <w:p>
      <w:pPr>
        <w:pStyle w:val="TextBody"/>
        <w:spacing w:before="240" w:after="283"/>
        <w:jc w:val="center"/>
        <w:rPr/>
      </w:pPr>
      <w:r>
        <w:rPr/>
        <w:drawing>
          <wp:inline distT="0" distB="63500" distL="0" distR="0">
            <wp:extent cx="6286500" cy="333375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6286500" cy="3333750"/>
                    </a:xfrm>
                    <a:prstGeom prst="rect">
                      <a:avLst/>
                    </a:prstGeom>
                  </pic:spPr>
                </pic:pic>
              </a:graphicData>
            </a:graphic>
          </wp:inline>
        </w:drawing>
      </w:r>
    </w:p>
    <w:p>
      <w:pPr>
        <w:pStyle w:val="TextBody"/>
        <w:spacing w:lineRule="auto" w:line="288" w:before="240" w:after="283"/>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Royalties</w:t>
      </w:r>
      <w:r>
        <w:rPr>
          <w:rFonts w:ascii="Times New Roman;sans-serif" w:hAnsi="Times New Roman;sans-serif"/>
          <w:b w:val="false"/>
          <w:color w:val="000000"/>
          <w:sz w:val="20"/>
        </w:rPr>
        <w:t>: This involves voice-enabling a product. The product creator pays us a royalty based on volume, usage, or duration. SoundHound collects royalties when Houndify is integrated into a product such as a car, smart speaker, or appliance.</w:t>
      </w:r>
    </w:p>
    <w:p>
      <w:pPr>
        <w:pStyle w:val="TextBody"/>
        <w:spacing w:lineRule="auto" w:line="288" w:before="240" w:after="283"/>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Subscription</w:t>
      </w:r>
      <w:r>
        <w:rPr>
          <w:rFonts w:ascii="Times New Roman;sans-serif" w:hAnsi="Times New Roman;sans-serif"/>
          <w:b w:val="false"/>
          <w:color w:val="000000"/>
          <w:sz w:val="20"/>
        </w:rPr>
        <w:t>: This involves voice-enabling a service that doesn’t rely on a physical product. Examples include when SoundHound enables customer service or food ordering for restaurants or content management, appointments, or voice commerce, we generate subscription revenue from the service providers.</w:t>
      </w:r>
    </w:p>
    <w:p>
      <w:pPr>
        <w:pStyle w:val="TextBody"/>
        <w:spacing w:lineRule="auto" w:line="288" w:before="240" w:after="283"/>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Monetization</w:t>
      </w:r>
      <w:r>
        <w:rPr>
          <w:rFonts w:ascii="Times New Roman;sans-serif" w:hAnsi="Times New Roman;sans-serif"/>
          <w:b w:val="false"/>
          <w:color w:val="000000"/>
          <w:sz w:val="20"/>
        </w:rPr>
        <w:t>: This pillar creates an ecosystem that enables monetization services in products and services from both pillar one and pillar two. When users of a voice-enabled product access the voice-enabled monetization, this creates new leads and transactions. SoundHound generates monetization revenue for generating these leads and transactions, and will share revenue with the product creators. Through December 31, 2022, we have not generated revenue from leads and transactions on voice-enabled products from voice-enabled services other than from the SoundHound AI music identification app. Going forward, SoundHound expects monetization revenue to be generated through a combination of advertising revenue from the music identification app and from leads and transactions on voice-enabled products from voice-enabled services.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disruptive three-pillar business model will create a monetization flywheel. As more products integrate into our platform, more users will use it, and more services will choose to integrate as well. This creates even more usage,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8" name="Frame1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results in a flow of revenue share to product creators, which further encourages even greater adoption and integration with our platform, and the cycle will perpetually continue and expand.</w:t>
      </w:r>
    </w:p>
    <w:p>
      <w:pPr>
        <w:pStyle w:val="TextBody"/>
        <w:spacing w:before="60" w:after="283"/>
        <w:jc w:val="center"/>
        <w:rPr/>
      </w:pPr>
      <w:r>
        <w:rPr/>
        <w:drawing>
          <wp:inline distT="0" distB="63500" distL="0" distR="0">
            <wp:extent cx="6286500" cy="32956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6286500" cy="3295650"/>
                    </a:xfrm>
                    <a:prstGeom prst="rect">
                      <a:avLst/>
                    </a:prstGeom>
                  </pic:spPr>
                </pic:pic>
              </a:graphicData>
            </a:graphic>
          </wp:inline>
        </w:drawing>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on a trajectory with much higher potential.</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SoundHound’s undeniable criteria for adoption</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it comes to criteria for adoption, our goal is to win on every dimension. We believe our product will be adopted for the following reasons:</w:t>
      </w:r>
    </w:p>
    <w:p>
      <w:pPr>
        <w:pStyle w:val="TextBody"/>
        <w:spacing w:before="60" w:after="283"/>
        <w:jc w:val="center"/>
        <w:rPr/>
      </w:pPr>
      <w:r>
        <w:rPr/>
        <w:drawing>
          <wp:inline distT="0" distB="63500" distL="0" distR="0">
            <wp:extent cx="6286500" cy="315277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6286500" cy="315277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1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disruptive monetization strategy, we also provide a path to monetization. By choosing our platform, product creators can generate additional revenue while making their product better using Voice AI, providing further incentive to choose our platform.</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superior ecosystem with Collective AI along with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1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 As part of a targeted restructuring, the Company will increase its focus on SoundHound for Restaurants while reducing investment in new verticals and already completed language development projects. It will maintain its growing licensing business in smart devices, TV and automotive verticals.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Strategic Global Partners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and experienced over 85% growth during 2022. Information provided to us by our strategic partners suggest that our customers’ products have a reach of over a billion users.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strategic partners that are featured here utilizes SoundHound’s product integrations: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Mercedes: MBUX (multiple models in North America)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Hyundai/KIA: Dynamic Voice Recognition (multiple models in North America and India)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Honda: Select models in Japan and Europe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Snapchat: Voice Scan and Captioning features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Pandora: In-app Voice Mode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VIZIO: Smart TV Voice Remote for multiple product lines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White Castle: Voice AI Drive Through</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Stellantis N.V.: Multiple models in Europe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intellectual property portfolio includes over 120 patents granted and over 140 patents pending. These patents cover areas such as speech recognition, natural language understanding, machine learning, human interfaces, and others, including monetization and advertising.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 of our over 260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SoundHound, our success is driven by the quality of our people, who we believe are among the best and brightest in the industry. We strive to create an environment that supports employee success and a culture where everyone has a voice in driving innovation.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approximately 430 full-time employees, of which approximately 57% were in the United States and 43% were in our international locations. Our restructuring efforts in January 2023 included a reduction of our then-current workforce by approximately 40%. We have not experienced work stoppages and believe our employee relations are good.</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1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Experience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from the COVID-19 pandemic, we have further increased our focus on delivering a great employee experience, anchored by meaningful work, career opportunities and well-being, to continue to attract and retain high quality talent. We support employee well-being from multiple dimensions, including economic, health, development, and lifestyle with a comprehensive suite of compensation, benefits and flexible work options.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vast majority of SoundHound’s employees, productivity is not tied to being in an office and collaboration can happen between people anywhere. SoundHound’s modern approach to work gives our employees more flexibility to choose where and how to work. Depending on their role, many of our employees can choose their office location, as well as work from home some or all of the time. We believe this allows us to engage with a wider pool of talent and retain employees who want or need more flexibility.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Diversity and Inclusion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that everyone deserves respect and equal treatment, regardless of gender, race, ethnicity, age, disability, sexual orientation, gender identity, cultural background or religious belief. We are creating an inclusive workplace through community-building, training and internal awareness. In 2022, we continued to support our many community partners and employee resource groups that build community for employees from underrepresented groups.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Government Regulations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240" w:after="283"/>
        <w:ind w:left="0" w:right="0" w:firstLine="360"/>
        <w:jc w:val="both"/>
        <w:rPr/>
      </w:pPr>
      <w:r>
        <w:rPr>
          <w:rFonts w:ascii="Times New Roman;sans-serif" w:hAnsi="Times New Roman;sans-serif"/>
          <w:b w:val="false"/>
          <w:color w:val="000000"/>
          <w:sz w:val="20"/>
        </w:rPr>
        <w:t xml:space="preserve">Our website is located at </w:t>
      </w:r>
      <w:r>
        <w:rPr>
          <w:rFonts w:ascii="Times New Roman;sans-serif" w:hAnsi="Times New Roman;sans-serif"/>
          <w:b w:val="false"/>
          <w:i/>
          <w:color w:val="000000"/>
          <w:sz w:val="20"/>
        </w:rPr>
        <w:t>www.soundhound.com</w:t>
      </w:r>
      <w:r>
        <w:rPr>
          <w:rFonts w:ascii="Times New Roman;sans-serif" w:hAnsi="Times New Roman;sans-serif"/>
          <w:b w:val="false"/>
          <w:color w:val="000000"/>
          <w:sz w:val="20"/>
        </w:rPr>
        <w:t xml:space="preserve">, and our investor relations website is located at </w:t>
      </w:r>
      <w:r>
        <w:rPr>
          <w:rFonts w:ascii="Times New Roman;sans-serif" w:hAnsi="Times New Roman;sans-serif"/>
          <w:b w:val="false"/>
          <w:i/>
          <w:color w:val="000000"/>
          <w:sz w:val="20"/>
        </w:rPr>
        <w:t>investors.soundhound.com</w:t>
      </w:r>
      <w:r>
        <w:rPr>
          <w:rFonts w:ascii="Times New Roman;sans-serif" w:hAnsi="Times New Roman;sans-serif"/>
          <w:b w:val="false"/>
          <w:color w:val="000000"/>
          <w:sz w:val="20"/>
        </w:rPr>
        <w:t>. Access to copies of our SEC filings, corporate governance information, and other items that may be material or of interest to our investors is available via our investor relations website. The contents of our websites are not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highlight w:val="white"/>
        </w:rPr>
        <w:t xml:space="preserve">Item 1A. </w:t>
      </w:r>
      <w:r>
        <w:rPr>
          <w:rFonts w:ascii="Times New Roman;sans-serif" w:hAnsi="Times New Roman;sans-serif"/>
          <w:b/>
          <w:color w:val="000000"/>
          <w:sz w:val="20"/>
        </w:rPr>
        <w:t>Risk Factors</w:t>
      </w:r>
    </w:p>
    <w:p>
      <w:pPr>
        <w:pStyle w:val="TextBody"/>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You should carefully consider the following information about these risks, together with the other information appearing elsewhere in this Annual Report, including our financial statements, the notes thereto and the section entitled “Management’s Discussion and Analysis of Financial Condition and Results of Operations.”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1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described below are a summary of the principal risk factors associated with an investment in us. These are not the only risks we face. You should carefully consider these risk factors and the other reports and documents filed by us with the SEC.</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Financial Condition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have generated substantial net losses and negative operating cash flows since inception and expect to continue to do so for the foreseeable future;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will require additional capital to continue planned business operations but may not be able to obtain such capital when desired on favorable terms, if at all, or without dilution to our stockholders;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operating results could be materially and adversely affected if it loses any of its largest customers due to concentration risk;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loss of one or more key members of our management team or personnel, or our failure to attract, integrate and retain additional personnel in the future, could harm our business and negatively affect our ability to successfully grow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market in which we operate is highly competitive and rapidly changing and we may be unable to compete successfully;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Adverse conditions in the Voice AI market or the global economy more generally could have adverse effects on our results of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operating results could be materially and adversely affected if we lose any of our largest customers, many of which are OEMs;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depend on skilled employees and the loss of one or more key members of our management team or personnel, or our failure to attract, integrate and retain additional personnel in the future, could harm our business and negatively affect our ability to successfully grow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 and data privacy incidents or breaches may damage client relations and inhibit our growth;</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is subject to a variety of domestic and international laws, rules, policies and other obligations, including data protection and anticorruption;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Interruptions or delays in our services or services from data center hosting facilities or public clouds could impair the delivery of services and harm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rely on third-party telecommunications and internet service providers, including connectivity to our cloud software, and any failure by these service providers to provide reliable services could cause us to lose customers and subject us to claims for credits or damages, among other things;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customers rely on third-party telecommunications and internet service providers to provide them with access and connectivity to our cloud software, and changes in how telecommunication and internet service providers handle and charge for access to telecommunications and the internet could materially harm our customer relationships, business, financial condition and operations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we are unable to maintain and enhance our brand or reputation as an industry leader, our operating results may be adversely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 and Technology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use of open source technology could impose limitations on our ability to commercialize our software;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Third parties have claimed in the past and may claim in the future that we are infringing their intellectual property, and we could be exposed to significant litigation or licensing expenses or be prevented from selling our products or making our technologies available to our customers if such claims are successful;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Unauthorized use of our proprietary technology and intellectual property could adversely affect our business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Securities and our Dual Class Common Stock Structure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stock price and trading volume may fluctuate significantly;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management has limited experience in operating a public company. The requirements of being a public company may strain our resources and divert management’s attention, and the increases in legal, accounting and compliance expenses may be greater than we anticipate;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have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1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and any merger, consolidation, sale of all or substantially all of our assets, or other major corporate transactions requiring stockholder approval, and that may adversely affect the trading price of our Class A Common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U.S. and International Taxation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use its net operating loss carryforwards and certain other tax attributes may be limited.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SoundHound’s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market in which SoundHound operates is highly competitive and rapidly changing and SoundHound may be unable to compete successfully.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Adverse conditions in the Voice AI market or the global economy more generally could have adverse effects on SoundHound’s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 production and sales trends can be affected by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strategy to increase cloud connected and embedded products and technologies and expand the number of foreign languages SoundHound understands may adversely affect its near-term revenue growth and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 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Pricing pressures from SoundHound’s customers may adversely affect its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may experience pricing pressure from its customers in the future, including, relative to its automotive industry customers, pricing pressure resulting from the strong purchasing power of major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operating results could be materially and adversely affected if it loses any of its largest customers.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2022 and 2021, three customers accounted for the following approximate percentages of SoundHound’s total revenues during the respective applicable period: 67% and 61%. Accounts receivable balances due from two customers collectively totaling 75% of the Company’s consolidated accounts receivable balance at December 31, 2022. Accounts receivable balances due from five customers collectively totaling 86% of the Company’s consolidated accounts receivable balance at December 31, 2021.</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Adverse economic conditions or reduced technology spending may adversely impact SoundHound's business.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technology and on the economic performance of our current and prospective customers. In general, worldwide economic conditions may remain unstable, including inflation, and these conditions would make it difficult for our customers, prospective customers and us to forecast and plan future business activities accurately, and they could cause our customers or prospective customers to reevaluate their decision to purchase our features. Weak global economic conditions, changes in consumer behavior or a reduction in technology spending even if economic conditions stabilize, could adversely impact our business and results of operations in a number of ways, including longer sales cycles, lower demand or prices for our platform, fewer subscriptions and lower or no growth. For example, increased inflation in recent months, the residual effects of the collapse of Silicon Valley Bank and other financial institutions in March 2023, and related instability in the global financial markets, may cause difficulties for our customers, resulting in reduced spending by them on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operating results may fluctuate significantly from period to period, and this may cause its stock price to decline.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volume, timing and fulfillment of large customer contracts;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renewals of existing customer contracts and wins of new customer programs;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expenditures incurred pursuing new product or market opportunities;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receipt of royalty reports;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fluctuating sales by SoundHound’s customers to their end-users;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contractual counterparties failing to meet their contractual commitments to SoundHound;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introduction of new products by SoundHound or its competitors;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cybersecurity or data breaches;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reduction in the prices of SoundHound’s products in response to competition, market conditions or contractual obligations;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costs to raise cash in the market place, including increased borrowing costs as a result of inflation;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accounts receivable that are not collectible;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higher than anticipated costs related to fixed-price contracts with SoundHound’s customers;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 in costs due to regulatory or trade restrictions;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expenses incurred in litigation matters, whether initiated by SoundHound or brought by third-parties against SoundHound, and settlements or judgments it is required to pay in connection with disputes;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economic trends as they affect the customer bases into which SoundHound and its customers sell and operate.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 has generated substantial net losses and negative operating cash flows since its inception and expects to continue to do so for the foreseeable future.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SoundHound has generated substantial net losses and negative cash flows from operating activities. SoundHound is continuing to implement its restructuring plan in an effort to reduce such losses and accelerate a pathway to profitability, however there is no guarantee that the restructuring plan will be successful. If such restructuring plan is unsuccessful, SoundHound expects that its net losses and its negative operating cash flows will continue for the foreseeable future. Even if the restructuring plan is successful, SoundHound may continue to have net losses and negative operating cash flows as SoundHound continues to invest in its development activities, and in sales and marketing. SoundHound also expects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SoundHound’s net losses and accumulated deficit could increase significantly and the price of shares of its common stock could decline.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 will require additional capital to continue its planned business operations but may not be able to obtain such capital when desired on favorable terms, if at all, or without dilution to its stockholders.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 will require additional capital to continue its planned business operations. SoundHound implemented its restructuring plan to reduce the amount of capital required to meet its current business needs, but anticipates that current cash, cash equivalents, cash provided by operating activities and funds available through SoundHound’s equity line of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will not be sufficient to meet its future capital needs. SoundHound will need additional financing to execute on its current or future business strategies, including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potentially hire additional software engineers, sales and marketing professionals, and other personnel as needed following implementation of the restructuring plan;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develop new or enhance existing products and services;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enhance SoundHound’s operating infrastructure;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acquire complementary businesses or technologies;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otherwise respond to competitive pressures.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SoundHound raises additional funds through the issuance of equity, including its current equity line of credit arrangement,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cannot assure you that additional financing will be available on terms favorable to SoundHound, or at all, particularly in light of inflationary pressures and resulting increases in the cost of borrowing.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loss of one or more key members of SoundHound’s management team or personnel, or its failure to attract, integrate and retain additional personnel in the future, could harm its business and negatively affect its ability to successfully grow its business.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any of SoundHound’s key management team members or other employees were to leave, SoundHound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as needed (with consideration to our restructuring plan)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 depends on skilled employees and could be impacted by a shortage of critical skills.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Cybersecurity and data privacy incidents or breaches may damage client relations and inhibit SoundHound’s growth.</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2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loss of revenue resulting from the operational disruption;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loss of revenue or increased bad debt expense due to the inability to invoice properly or to customer dissatisfaction resulting in collection issues;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loss of revenue due to loss of customers;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material remediation costs to recreate or restore systems;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material investments in new or enhanced systems in order to enhance SoundHound’s information security posture;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 of incentives offered to customers to restore confidence and maintain business relationships;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reputational damage resulting in the failure to retain or attract customers;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associated with potential litigation or governmental investigations;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associated with any required notices of a data breach;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associated with the potential loss of critical business data;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difficulties enhancing or creating new products due to loss of data or data integrity issues;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consequences of which SoundHound is not currently aware but would discover through the process of remediating any cybersecurity or data privacy incidents or breaches that may occur.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business is subject to a variety of domestic and international laws, rules, policies and other obligations, including data protection and anticorruption.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to incur substantial costs and may require it to change our business practices. Additionally,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2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is a public. Compliance with data 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cause SoundHound’s customers to lose confidence in its solutions;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harm SoundHound’s reputation;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expose SoundHound to litigation, regulatory investigations and to resulting liabilities including reimbursement of customer costs, damages penalties or fines imposed by regulatory agencies;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require SoundHound to incur significant expenses for remediation.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2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pound, Canadian dollar, Chinese RMB, Japanese yen, Indian rupee and South Korean won. Accordingly, SoundHound’s future results could be harmed by a variety of factors associated with international sales and operations,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adverse political and economic conditions, or changes to such conditions, in a specific region or country;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trade protection measures, including tariffs and import/export controls, imposed by the United States and/or by other countries or regional authorities such as China, Canada or the European Union;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impact on local and global economies of the United Kingdom leaving the European Union;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foreign currency exchange rates or the lack of ability to hedge certain foreign currencies;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compliance with laws and regulations in many countries and any subsequent changes in such laws and regulations;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turmoil, including terrorism and war;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changing data privacy regulations and customer requirements to locate data centers in certain jurisdictions;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applicable tax laws;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difficulties in staffing and managing operations in multiple locations in many countries;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longer payment cycles of foreign customers and timing of collections in foreign jurisdictions;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less effective protection of intellectual property than in the United States.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business in China is subject to aggressive competition and is sensitive to economic, market and political conditions.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operates in the highly competitive Voice AI market in China and face competition from both international and smaller domestic manufacturers. SoundHound currently generates less than $1.0 million annually in revenue from its operations in China, though SoundHound expects to expand its business in China going forward. SoundHound anticipates that additional competitors, both international and domestic, may seek to enter the Chinese market resulting in increased competition. Increased competition may result in price reductions, reduced margins and SoundHound’s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because SoundHound’s largest customers are currently OEMs. In addition, political tensions between China and the United States may negatively impact SoundHound’s ability to conduct business in China. If SoundHound is unable to grow or maintain its position in the Chinese market, the pace of growth slows or vehicle sales in China decrease, SoundHound’s business, results of operations and financial condition could be materially adversely effected. Government regulations and business considerations may also require SoundHound to conduct business in China through joint ventures with Chinese companies. SoundHound’s participation in joint ventures would limit its control over Chinese operations and may expose SoundHound’s proprietary technologies to misappropriation by joint venture partners. The above risks, if realized, could have a material adverse effect on SoundHound’s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the Chinese government deems that the contractual arrangements in relation to SoundHound’s variable interest entity do not comply with Chinese governmental restrictions on foreign investment, or if these regulations or the interpretation of existing regulations changes in the future, SoundHound could be subject to penalties or be forced to relinquish SoundHound’s interests in those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 currently generates less than $1.0 million annually in revenue from its operations in China, though SoundHound expects to expand its business in China going forward. Foreign ownership of certain types of internet businesses, such as internet information services, is subject to restrictions under applicable Chinese laws, rules and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2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will lose the license that currently permits its operations of its Chinese subsidiary.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uncertain whether any new Chinese laws, rules or regulations relating to variable interest entity structures will be adopted or if adopted, what they would provide. If SoundHound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to discontinue or restrict its operations, restricting its right to collect revenue, blocking one or more of its websites, requiring SoundHound to restructure its operations or taking other regulatory or enforcement actions against SoundHound. The imposition of any of these measures could result in a material adverse effect on SoundHound’s ability to conduct all or any portion of its business operations through its Chinese subsidiary. In addition, it is unclear what impact Chinese government actions would have on SoundHound and on its ability to consolidate the financial results of its variable interest entity in its consolidated financial statements, if the Chinese government authorities were to find SoundHound’s legal structure and contractual arrangements to be in violation of Chinese laws, rules and regulations. If the imposition of any of these government actions causes SoundHound to lose its right to direct the activities of its variable interest entity or otherwise separate from it and if SoundHound is not able to restructure its ownership structure and operations in a satisfactory manner, SoundHound would no longer be able to consolidate the financial results of its variable interest entity in its consolidated financial statements. Any of these events could have a material adverse effect on SoundHound’s business, financial condition and results of operations through its Chinese subsidiary.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Interruptions or delays in SoundHound’s services or services from data center hosting facilities or public clouds could impair the delivery of its services and harm its business.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 is subject to certain U.S. and foreign anti-corruption, anti-money laundering, export control, sanctions, and other trade laws and regulations. SoundHound can face serious consequences for violations.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business is subject to risks, expenses and uncertainties associated with selling its solutions in locations outside the United States that could adversely affect its operating results.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2022 and 2021, SoundHound derived approximately 89% and 81%,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SoundHound’s international operating results may be affected by volatility in currency exchange rates and its ability to effectively manage its currency transaction risks. SoundHound would incur currency transaction risks if SoundHound were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2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risks and uncertainties SoundHound faces from its global operations include, but are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limited protection for the enforcement of contract and intellectual property rights in certain countries where SoundHound may sell SoundHound’s solutions or work with suppliers or other third parties;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potentially longer sales and payment cycles and potentially greater difficulties in collecting accounts receivable;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and difficulties of customizing solutions for foreign countries;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challenges in providing solutions across a significant distance, in different languages and among different cultures;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laws and business practices favoring local competition;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being subject to a wide variety of complex foreign laws, treaties and regulations and adjusting to any unexpected changes in such laws, treaties and regulations;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specific and significant regulations, including, but not limited to, the European Union’s General Data Protection Regulation (“GDPR”), which imposes compliance obligations on companies who possess and use data of EU residents;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differences in analysis of regulatory, legal and tax issues across various countries, such as different interpretations of antitrust and competition laws;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uncertainty and resultant political, financial and market instability arising from the United Kingdom’s exit from the European Union;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compliance with U.S. laws affecting activities of U.S. companies abroad, including the U.S. Foreign Corrupt Practices Act;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uncertainties related to geopolitical risks, including the relationship between the U.S. government and the government of other nations;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tariffs, trade barriers and other regulatory or contractual limitations on SoundHound’s ability to sell or develop its solutions in certain foreign markets;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operating in countries with a higher incidence of corruption and fraudulent business practices;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regulatory requirements, including export controls, tariffs and embargoes, other trade restrictions, competition, corporate practices and data privacy concerns;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potential adverse tax consequences arising from global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seasonal reductions in business activity in certain parts of the world, particularly during the summer months in Europe and at year-end globally;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rapid changes in government, economic and political policies and conditions; and</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2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political or civil unrest or instability, terrorism or epidemics or pandemics (including any risks related to or resulting from COVID-19) and other similar outbreaks or events.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failure to effectively manage the risks and uncertainties associated with its existing and planned global operations could limit the future growth of its business and adversely affect its operating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plans to expand upon and establish new public cloud-based data centers for its U.S. and international operations may be unsuccessful and may present execution and competitive risks.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plans to expand upon and establish new public cloud deployments in the future to facilitate its platform in the U.S. and certain international markets. SoundHound may partner with one or more third-parties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to customers outside the United States or customers with international operations and SoundHound’s international sales efforts and operations expose it to risks inherent in international sales and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element of SoundHound’s growth strategy is to expand its international sales efforts and develop a worldwide customer base. SoundHound’s international expansion may not be successful and may not produce the return on investment it expects.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increases its international sales efforts it will face risks in doing business internationally that could harm its business,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need to establish and protect SoundHound’s brand in international markets;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need to localize and adapt SoundHound’s products for specific countries, including translation into foreign languages and associated costs and expenses;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particularly hiring and training qualified sales and service personnel;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need to implement and offer customer care in various languages;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different pricing environments, longer sales and accounts receivable payment cycles and collections issues;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weaker protection for intellectual property and other legal rights than in the U.S. and practical difficulties in enforcing intellectual property and other rights outside of the U.S.;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privacy and data protection laws and regulations that are complex, expensive to comply with and may require that customer data be stored and processed in a designated territory;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risk of piracy, counterfeiting and other misappropriation of SoundHound’s intellectual property in its locations outside the U.S.;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new and different sources of competition;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economic conditions in international markets;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fluctuations in the value of the U.S. dollar and foreign currencies, which may make SoundHound’s products more expensive in other countries or may increase its costs, impacting its operating results when translated into U.S. dollars;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compliance challenges related to the complexity of multiple, conflicting and changing governmental laws and regulations, including employment, tax, telecommunications and telemarketing laws and regulations;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risk of international telecom fraud;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laws and business practices favoring local competitors;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restrictions or taxes on the transfer of funds;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adverse tax consequences;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unstable economic and political conditions and potential accompanying shifts in laws and regulations.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could harm SoundHound’s international operations, increase its operating costs and hinder its ability to grow its international business and, consequently, its overall business and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compliance with laws and regulations applicable to SoundHound’s international operations increases its cost of doing business outside the United States. SoundHound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Tax matters may cause significant variability in SoundHound’s operating results and may impact its overall financial condition.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projected levels of taxable income;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pre-tax income being lower than anticipated in countries with lower statutory rates or higher than anticipated in countries with higher statutory rates;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increases or decreases to valuation allowances recorded against deferred tax assets;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tax audits conducted and settled by various tax authorities;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adjustments to income taxes upon finalization of income tax returns;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claim foreign tax credits;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repatriation of non-U.S. earnings for which SoundHound has not previously provided for income taxes;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tax laws and their interpretations in countries in which SoundHound is subject to taxation.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assets is necessary. This could have a material adverse effect on SoundHound’s results of operations and financial condition.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Forecasts of SoundHound’s market and market growth may prove to be inaccurate, and even if the markets in which it competes achieve the forecasted growth, there can be no assurance that its business will grow at similar rates, or at all.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Growth forecasts described in this Annual Report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Annual Report should not be taken as indicative of its future growth.</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SoundHound is unable to acquire new customers, its operating results will be harmed. Likewise, potential customer turnover in the future, or costs it incurs to retain its existing customers, could materially and adversely affect its operating results.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New products, as well as enhancements to its existing products, could fail to attain sufficient market acceptance for many reasons,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delays in releasing new products, or product enhancements;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failure to accurately predict market demand and to supply products that meet this demand in a timely fashion;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defects in its products, errors or failures of its products;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negative publicity or perceptions about the performance or effectiveness of products;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introduction or anticipated introduction of competing products or technologies by its competitors;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installation, configuration or usage errors by its customers.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SoundHound spends significant time and effort on research and development and is unable to generate an adequate return on its investment, its results of operations may be materially and adversely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brand, reputation and ability to attract, retain and serve its customers are dependent in part upon the reliable performance of its products and technologies.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 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SoundHound is unable to maintain and enhance its brand or reputation as an industry leader, its operating results may be adversely affected.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does not successfully maintain and enhance its brand and reputation, its operating results may be adversely affected.</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3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Relating to SoundHound’s Intellectual Property and Technology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use of open source technology could impose limitations on its ability to commercialize its software.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pStyle w:val="TextBody"/>
        <w:spacing w:lineRule="auto" w:line="288" w:before="240" w:after="283"/>
        <w:ind w:left="0" w:right="0" w:firstLine="360"/>
        <w:jc w:val="both"/>
        <w:rPr/>
      </w:pPr>
      <w:r>
        <w:rPr>
          <w:rFonts w:ascii="Times New Roman;sans-serif" w:hAnsi="Times New Roman;sans-serif"/>
          <w:b w:val="false"/>
          <w:color w:val="000000"/>
          <w:sz w:val="20"/>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Times New Roman;sans-serif" w:hAnsi="Times New Roman;sans-serif"/>
          <w:b/>
          <w:i/>
          <w:color w:val="000000"/>
          <w:sz w:val="20"/>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has been and in the future may be subject to claims and legal actions alleging that we or its customers may be infringing or contributing to the infringement of the intellectual property rights of others (though no material legal actions against SoundHound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Unauthorized use of SoundHound’s proprietary technology and intellectual property could adversely affect its business and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3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rights, to protect its trade secrets, to determine the validity and scope of the proprietary rights of others, or to defend against claims of infringement or invalidity. Litigation, regardless of the outcome, can be very expensive and can divert management’s efforts.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software products may have bugs, which could result in delayed or lost revenue, expensive correction, liability to its customers and claims against us.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respond quickly enough to changes in technology and technological risks and to develop its intellectual property into commercially viable products.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SoundHound’s Class A Common Stock and the Securities Market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stock price and trading volume may fluctuate significantly.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and trading volume of SoundHound’s Class A Common Stock has fluctuated widely and may continue to fluctuate widely, depending on many factors, some of which may be beyond our control, including: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actual or anticipated fluctuations in our results of operations due to factors related to our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success or failure of our business strategies;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competition and industry capacity;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interest rates and other factors that affect earnings and cash flow;</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level of indebtedness, our ability to make payments on or service our indebtedness and our ability to obtain financing as needed;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retain and recruit qualified personnel, particularly in light of our recent restructuring;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quarterly or annual earnings, or those of other companies in our industry;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announcements by us or our competitors of significant acquisitions or dispositions;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failure of securities analysts to cover, or positively cover, our Class A Common Stock;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earnings estimates by securities analysts or our ability to meet those estimates;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operating and stock price performance of other comparable companies;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3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investor perception of the Company and the AI industry;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overall market fluctuations unrelated to our operating performance;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results from any material litigation or government investigation;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laws and regulations (including tax laws and regulations) affecting our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capital gains taxes and taxes on dividends affecting stockholders;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general economic conditions and other external factors.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Low trading volume for SoundHound’s Class A Common Stock, which may occur if an active trading market does not develop, among other reasons, would amplify the effect of the above factors on stock price volatility.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over the last few years, the stock market more broadly has experienced price and volume fluctuations, including due to factors relating to the ongoing outbreak of COVID-19 and the war in Ukraine,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 effects of COVID-19 or the war in Ukraine,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Should the market price of our shares drop significantly, stockholders may institute securities class action lawsuits against us. A lawsuit against SoundHound could cause SoundHound to incur substantial costs and could divert the time and attention of its management and other resources.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SoundHound’s management has limited experience in operating a public company. The requirements of being a public company may strain SoundHound’s resources and divert management’s attention, and the increases in legal, accounting and compliance expenses may be greater than SoundHound anticipates.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and particularly after we are no longer an “emerging growth company” or a “smaller reporting company,” we will continue to incur significant legal, accounting and other expenses that SoundHound did not incur as a private company. SoundHound is subject to the reporting requirements of the Exchange Act, and is required to comply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3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expects to incur significant expenses and devote substantial management effort toward ensuring compliance with the requirements of Section 404 of the Sarbanes-Oxley Act, which will increase when SoundHound is no longer an “emerging growth company” or a “smaller reporting company” with revenues of less than $100 million. SoundHound will need to hire additional accounting and financial staff, and engage outside consultants, all with appropriate public company experience and technical accounting knowledge and maintain an internal audit function, which will increase its operating expenses. Moreover, SoundHound could incur additional compensation costs in the event that it decides to pay cash compensation closer to that of other publicly listed companies, which would increase its general and administrative expenses and could materially and adversely affect its profitability. SoundHound will evaluate these rules and regulations, and cannot predict or estimate the amount of additional costs SoundHound may incur or the timing of such costs.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may not have adequate personnel with the appropriate level of knowledge, experience and training in the accounting policies, practices or internal control over financial reporting required of public companies. SoundHound’s management will need to continually assess its staffing and training procedures to improve its internal control over financial reporting. For example, SoundHound did not timely file its Form 10-Q for the quarter ended March 31, 2021 and unless the matters discussed in this risk factor and elsewhere in this Annual Report are mitigated, the risk exists that SoundHound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will be required to expand its employee base and hire additional employees to support its operations as a public company which will increase our operating costs in future periods.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 may be subject to securities litigation, which is expensive and could divert management attention.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to significant liabilities.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3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Applicable to a Dual Class Common Stock Structure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has a dual class common stock structure and the holders of SoundHound Class B Common Stock have ten votes per share. SoundHound Founders own shares of Class B Common Stock representing approximately 72% of the voting power of the outstanding capital stock of SoundHound.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Amended Charter provides for a dual-class multiple voting Common Stock structure, and we cannot predict the effect this structure of our Common Stock may have on the market price of our Class A Common Stock.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3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Delaware law and provisions in our charter documents could make a merger, tender offer, or proxy contest difficult, thereby depressing the trading price of our common stock.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Charter, Amended Bylaws, and Delaware law contain provisions that could depress the trading price of our common stock by acting to discourage, delay, or prevent a change of control of SoundHound or changes in SoundHound that our management or stockholders may deem advantageous. Among other things, the Amended Charter and Amended Bylaws include the following provisions: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permit the board of directors to establish the number of directors and fill any vacancies and newly created directorships;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eliminates the ability of our stockholders to call special meetings of stockholders, except to the extent otherwise provided in the Amended Bylaws;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prohibit stockholder action by written consent, except to the extent otherwise provided in the Amended Bylaws, which requires all stockholder actions to be taken at a meeting of our stockholders;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provide that the board of directors is expressly authorized to make, alter, or repeal our Amended Bylaws;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SoundHound’s ability to enter into certain business combination transactions within a three (3) year period following the adoption of the Amended Charter.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U.S. and International Taxation Generally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tax laws or exposure to additional income tax liabilities could affect SoundHound’s future profitability.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materially affect SoundHound’s future effective tax rates include but are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tax laws or the regulatory environment;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accounting and tax standards or practices;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composition of operating income by tax jurisdiction;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SoundHound’s operating results before taxes.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legislation has had no effect on SoundHound’s provision for income taxes because SoundHound has incurred annual losses in the U.S. to date and management set up a full valuation allowance against its U.S. federal and states deferred tax assets.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SoundHound’s ability to use its net operating loss carryforwards and certain other tax attributes may be limited.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SoundHound had $344.6 million of U.S. federal and $106.9 million of state net operating loss carryforwards available to reduce future taxable income. Of the U.S. federal net operating loss carryforwards, $256.0 million will be carried forward indefinitely for U.S. federal tax purposes and $88.6 million will begin to expire in 2025. SoundHound’s U.S. state net operating loss carryforwards will begin to expire in 2028.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shareholders” that exceeds 50 percentage points over a rolling three-year period. Similar rules may apply under state tax laws. In addition, certain U.S. states have imposed additional limitations on the use of net operating loss carryforwards not otherwise imposed on the use of U.S. federal net operating loss carryforwards and may impose additional limitations in the future.</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Unanticipated changes in effective tax rates or adverse outcomes resulting from examination of our income or other tax returns could adversely affect our financial condition and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valuation of our deferred tax assets and liabilities;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expected timing and amount of the release of any tax valuation allowances;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tax effects of stock-based compensation;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related to intercompany restructurings;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tax laws, regulations or interpretations thereof;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lower than anticipated future earnings in jurisdictions where we have lower statutory tax rates and higher than anticipated future earnings in jurisdictions where we have higher statutory tax rates.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be subject to audits of our income, sales and other transaction taxes by taxing authorities. Outcomes from these audits could have an adverse effect on our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set forth in the section titled “Legal Proceedings” in Note 7 of our Notes to Consolidated Financial Statements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the Nasdaq Global Market under the symbol “SOUN.” Our Class B common stock is neither listed nor traded. Our listed redeemable warrants are listed on the Nasdaq Global Market under the symbol “SOUNW.”</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Stockholders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the records of our transfer agent, there were 141 holders of record of our Class A common stock, 3 holders of record of our Class B common stock and 31 holders of record of our listed redeemable warrants on December 31, 2022.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do not anticipate paying any cash dividends in the foreseeable future.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Item 12 for information regarding securities authorized for issuance under our equity compensation plans.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our Consolidated Financial Statements and Notes thereto. Unless otherwise indicated or the context otherwise requires, references in this section to “SoundHound,” “we,” “us,” “our” and other similar terms refer to SoundHound AI, Inc. and its consolidated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17 years, our advanced Voice AI platform provides exceptional speed and accuracy and enables humans to interact with products and services like they interact with each other — by speaking naturally.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technology is live in production and at scale with companies around the globe, including Hyundai, Mercedes-Benz, Pandora, Snap, VIZIO, KIA and Stellantis. As a testament to its capabilities, the Houndify platform surpassed 1 billion annual queries in 2021 and experienced over 85% growth during 2022.</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partners span multiple industries and geographies, and together have a combined reach of over 2 billion end users. By growing these strategic relationships, our year-over-year revenues have grown by more than 45% over the past four years.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by 2026.</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creates a great opportunity for SoundHound: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strongly believe that product creators know their product and users best. The idea of a single third-party assistant taking over their product is not reflective of our anticipated future. We envision that every product will have its own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4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contributed to our revenues during the years ended December 31, 2022 and 2021. While the majority of the contribution is currently from our first pillar of royalties, over time, the subscription and monetization portions are expected to grow and make a bigger contribution to our overall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4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Line of Credit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On February 14, 2023, the Company’s Registration Statement on Form S-1 registering the resale of the ELOC Shares was declared effective. The Company expects to utilize proceeds from the ELOC for working capital and other general corporate purposes. Through March 17, 2023, the Company has sold approximately 8.8 million shares under the ELOC program for aggregate proceeds of approximately $24.9 million.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Common Stock Purchase Agreement, the Company issued CFPI 250,000 shares as consideration for its irrevocable commitment to purchase the shares upon the terms and subject to the satisfaction of the conditions set forth in the Common Stock Purchase Agreement. The Company has also agreed to make a cash payment of $250,000 within 120 days after the commencement date of the offering and to reimburse CFPI of up to $75,000 of expenses.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Preferred Stock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around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$25.0 million.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 Plan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5, 2023, we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it will incur approximately $4.5 million to $5.5 million in charges in connection with the Restructuring Plan, of which the majority is expected to be incurred in the first quarter of 2023 and consists of severance payments, employee benefits and share-based compensation. Of the aggregate amount of charges that the Company estimates it will incur in connection with the Restructuring Plan, the Company expects that approximately $2.0 million to $3.0 million will be in cash expenditures.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ATSP Merger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Archimedes Tech SPAC Partners Co. (“ATSP”), SoundHound, Inc. (“Legacy SoundHound”) and ATSPC Merger Sub, Inc. (“Merger Sub”) entered into a merger agreement (“Merger Agreement”) pursuant to which Merger Sub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a private placement (the "PIPE") investment. Upon the Closing of the Business Combination, ATSP changed its name to SoundHound AI, Inc.</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4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proceeds of the Business Combination were funded through a combination of $5.4 million in cash held in trust by ATSP (following satisfaction of redemptions by public stockholders) with 532,050 shares of SoundHound AI Class A common stock remaining outstanding, and $113.0 million in aggregate gross proceeds from PIPE investors in exchange for 11,300,000 shares of SoundHound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Impact of the Business Combination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Known Trends, Demands, Commitments, Events or Uncertainties Impacting Our Business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believes that its performance and future success depend on many factors that present significant opportunities for us but also pose risks and challenges, including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Investments in Technology. </w:t>
      </w:r>
      <w:r>
        <w:rPr>
          <w:rFonts w:ascii="Times New Roman;sans-serif" w:hAnsi="Times New Roman;sans-serif"/>
          <w:b w:val="false"/>
          <w:color w:val="000000"/>
          <w:sz w:val="20"/>
        </w:rPr>
        <w:t>Our business model since inception has been to invest significantly in 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Revenue Growth. </w:t>
      </w:r>
      <w:r>
        <w:rPr>
          <w:rFonts w:ascii="Times New Roman;sans-serif" w:hAnsi="Times New Roman;sans-serif"/>
          <w:b w:val="false"/>
          <w:color w:val="000000"/>
          <w:sz w:val="20"/>
        </w:rPr>
        <w:t xml:space="preserve">Our commercial success, including acceptance and use of our applications, will 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4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foregoing basis, based on the number of customers to whom we provide services during one year compared to the prior year period, our customer retention rate as of December 31, 2022 was at least 80%</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Cost of Revenues. </w:t>
      </w:r>
      <w:r>
        <w:rPr>
          <w:rFonts w:ascii="Times New Roman;sans-serif" w:hAnsi="Times New Roman;sans-serif"/>
          <w:b w:val="false"/>
          <w:color w:val="000000"/>
          <w:sz w:val="20"/>
        </w:rPr>
        <w:t>The results of our business will depend in part on our ability to establish and 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Seasonality. </w:t>
      </w:r>
      <w:r>
        <w:rPr>
          <w:rFonts w:ascii="Times New Roman;sans-serif" w:hAnsi="Times New Roman;sans-serif"/>
          <w:b w:val="false"/>
          <w:color w:val="000000"/>
          <w:sz w:val="20"/>
        </w:rPr>
        <w:t>Our ability to accurately forecast demand for our technology could be negatively 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Development of International Markets. </w:t>
      </w:r>
      <w:r>
        <w:rPr>
          <w:rFonts w:ascii="Times New Roman;sans-serif" w:hAnsi="Times New Roman;sans-serif"/>
          <w:b w:val="false"/>
          <w:color w:val="000000"/>
          <w:sz w:val="20"/>
        </w:rPr>
        <w:t>We have rapidly expanded our capabilities and global reach. We have globalized our solution from 1 to 25 languages. We view opportunities for conversational Voice AI to be global in reach, and we expect our growth to be fueled across multiple geographies.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Industry Risks. </w:t>
      </w:r>
      <w:r>
        <w:rPr>
          <w:rFonts w:ascii="Times New Roman;sans-serif" w:hAnsi="Times New Roman;sans-serif"/>
          <w:b w:val="false"/>
          <w:color w:val="000000"/>
          <w:sz w:val="20"/>
        </w:rPr>
        <w:t xml:space="preserve">In addition to the COVID-19 pandemic as addressed herein, the military conflict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pStyle w:val="TextBody"/>
        <w:spacing w:lineRule="auto" w:line="288" w:before="240" w:after="283"/>
        <w:ind w:left="0" w:right="0" w:firstLine="360"/>
        <w:jc w:val="both"/>
        <w:rPr>
          <w:color w:val="000000"/>
        </w:rPr>
      </w:pPr>
      <w:r>
        <w:rPr>
          <w:color w:val="000000"/>
        </w:rPr>
        <w:t>“</w:t>
      </w:r>
      <w:r>
        <w:rPr>
          <w:rFonts w:ascii="Times New Roman;sans-serif" w:hAnsi="Times New Roman;sans-serif"/>
          <w:b w:val="false"/>
          <w:color w:val="000000"/>
          <w:sz w:val="20"/>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and may continue to experience volatility for our remaining performance obligations and deferred revenue as a result of the timing for completing our performance obligations. We had remaining performance obligations in the amount of $20.7 million as of December 31,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4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 not believe that changes in our remaining performance obligations and deferred revenue in a given period are directly correlated with our revenue growth in that period.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consolidated financial statements included within this Annual Report on Form 10-K for more information.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 Although we expect our operating expenses in these categories to moderate significantly as a result of the Restructuring Plan, we plan to continue investing to support our go-to-market strategies and customer engagement, develop our current and future applications and support our operations as a public company.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of personnel-related expenses related costs of the sales and marketing team, promotional campaigns, advertising fees and other marketing related costs. Advertising costs are expensed to sales and marketing when incurred.</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are our largest operating expense as we continue to develop our software platforms and produce new technological capabilities.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personnel-related costs, accounting and legal expenses, third-party consulting costs, insurance and allocated overhead including rent, depreciation and utilities. Our general and administrative expenses may fluctuate from period-to-period due to seasonality.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4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Derivative and Warrant Liability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We've historically accounted for certain warrants and conversion features as liabilities at fair value and adjusted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as applicable, is recognized in the Company’s consolidated statement of operations and comprehensive loss as other expense, net.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includes federal, state and foreign taxes and is based on reported income before income taxes. We are in a cumulative loss position for tax purposes based on historical earnings. 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pStyle w:val="TextBody"/>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significant components of our results of operations ($ in thousands):</w:t>
      </w:r>
    </w:p>
    <w:tbl>
      <w:tblPr>
        <w:tblW w:w="8471" w:type="dxa"/>
        <w:jc w:val="left"/>
        <w:tblInd w:w="0" w:type="dxa"/>
        <w:tblCellMar>
          <w:top w:w="28" w:type="dxa"/>
          <w:left w:w="28" w:type="dxa"/>
          <w:bottom w:w="28" w:type="dxa"/>
          <w:right w:w="28" w:type="dxa"/>
        </w:tblCellMar>
      </w:tblPr>
      <w:tblGrid>
        <w:gridCol w:w="1646"/>
        <w:gridCol w:w="800"/>
        <w:gridCol w:w="809"/>
        <w:gridCol w:w="211"/>
        <w:gridCol w:w="901"/>
        <w:gridCol w:w="109"/>
        <w:gridCol w:w="109"/>
        <w:gridCol w:w="109"/>
        <w:gridCol w:w="109"/>
        <w:gridCol w:w="211"/>
        <w:gridCol w:w="796"/>
        <w:gridCol w:w="109"/>
        <w:gridCol w:w="109"/>
        <w:gridCol w:w="109"/>
        <w:gridCol w:w="109"/>
        <w:gridCol w:w="211"/>
        <w:gridCol w:w="796"/>
        <w:gridCol w:w="109"/>
        <w:gridCol w:w="109"/>
        <w:gridCol w:w="109"/>
        <w:gridCol w:w="109"/>
        <w:gridCol w:w="232"/>
        <w:gridCol w:w="234"/>
        <w:gridCol w:w="316"/>
      </w:tblGrid>
      <w:tr>
        <w:trPr/>
        <w:tc>
          <w:tcPr>
            <w:tcW w:w="1646"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revenues by type and geographic regions ($ in thousands):</w:t>
      </w:r>
    </w:p>
    <w:tbl>
      <w:tblPr>
        <w:tblW w:w="6729" w:type="dxa"/>
        <w:jc w:val="left"/>
        <w:tblInd w:w="0" w:type="dxa"/>
        <w:tblCellMar>
          <w:top w:w="28" w:type="dxa"/>
          <w:left w:w="28" w:type="dxa"/>
          <w:bottom w:w="28" w:type="dxa"/>
          <w:right w:w="28" w:type="dxa"/>
        </w:tblCellMar>
      </w:tblPr>
      <w:tblGrid>
        <w:gridCol w:w="678"/>
        <w:gridCol w:w="597"/>
        <w:gridCol w:w="5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316"/>
      </w:tblGrid>
      <w:tr>
        <w:trPr/>
        <w:tc>
          <w:tcPr>
            <w:tcW w:w="67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0"/>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Subscriptions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087" w:type="dxa"/>
        <w:jc w:val="left"/>
        <w:tblInd w:w="0" w:type="dxa"/>
        <w:tblCellMar>
          <w:top w:w="28" w:type="dxa"/>
          <w:left w:w="28" w:type="dxa"/>
          <w:bottom w:w="28" w:type="dxa"/>
          <w:right w:w="28" w:type="dxa"/>
        </w:tblCellMar>
      </w:tblPr>
      <w:tblGrid>
        <w:gridCol w:w="433"/>
        <w:gridCol w:w="381"/>
        <w:gridCol w:w="38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43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increased by $9.9 million, or 47%, in 2022 compared to 2021. Product Royalties revenue increased by $10.1 million, or 55%, during 2022 compared to 2021. The increase is primarily attributable to $7.6 million of licensing revenue from our Houndify Edge solution, which we delivered to a customer during the second half of 2022, related to minimum guarantee units to be utilized over the life of the contract and resulted in a corresponding increase in our contract assets balance. The increase is also due to the scaling of our Houndify Products with large automotive partners in Korea, Germany and France. The increases are partially offset by the recognition of $4.3 million in nonrecurring royalties revenue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 contract modification to end a distinct professional service contract prior to completion with a customer in Germany during the second quarter of 2021. Service Subscriptions revenue increased by $0.3 million, or 19%, during 2022 compared to 2021 primarily due to the completion of a non-recurring engineering service for a specific customer during 2022. Monetization revenue decreased by $0.4 million, or 35%, during 2022 compared to 2021 primarily due to a decrease in advertising revenue through decreased user impressions on the SoundHound music application.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revenue growth experienced in Korea due to the $7.6 million Houndify Edge licensing agreement, we benefited from revenue growth in Korea and France from scaling our Houndify Products with large automotive and device makers of $4.0 million and $1.0 million, respectively, during 2022 compared to 2021. We experienced a $3.4 million decrease in revenue from Germany during 2022 compared to 2021. The decrease is primarily due to a one-time contract modification from a customer in Germany to end a distinct professional service contract prior to completion during the second quarter of 2021 and was partially offset by an increase in revenue of $2.1 million from scaling our Houndify Products with large automotive and device makers in Germany during 2022. Revenue in both periods came principally from customers across the automotive and IoT sectors, with less significant amounts derived from other industry verticals.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increased by $3.0 million, or 46%, in 2022 compared to 2021. The increase is primarily related to incurring additional data center and hosting costs due to system migrations in order to support our revenue growth. Gross margin was consistent at 69% during 2022 and 2021. Gross margin in 2022 benefited from increased margins on the Houndify Edge solution delivered to a customer during the second half of 2022. Gross margin in 2021 benefited from increased margins due to the one-time contract modification to end the distinct professional service contract prior to completion with a customer in Germany during the second quarter of 2021. While our gross margin may fluctuate in the near-term due to revenue contributions from varying product mixes, we expect it will stabilize as we look to expand our revenue from subscriptions and monetization.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$16.1 million, or 380%, in 2022 compared to 2021. The increase is primarily due to increased program spend to support a greater investment in go-to-market strategies and customer engagement and drive growth in our revenue from subscriptions and monetization. Sales and marketing headcount increased by approximately 142% on average during 2022 compared to 2021 and was accompanied by an additional $11.4 million in compensation and other benefits expense, including an additional $2.3 million of stock-based compensation expense. Additionally, marketing and advertising expense increased by $1.5 million during 2022 compared to 2021.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$17.2 million, or 29%, in 2022 compared to 2021. The increase is primarily due to our investment in technology and engineering and increasing our full-time engineer headcount to ensure we remain at the forefront of innovation, while also helping to develop and scale new products and services. Research and development headcount increased by approximately 14% on average during 2022 compared to 2021 and was accompanied by an additional $12.0 million in compensation and other benefits expense, including an additional $9.6 million of stock-based compensation expense.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$13.7 million, or 83%, in 2022 compared to 2021. The increase represents investments in our human resources, finance and legal functions, including increased personnel-related expenses in 2022 as we prepared and began to function as a public entity. General and administrative headcount increased by approximately 70% on average during 2022 compared to 2021 and was accompanied by higher salaries and compensation packages and an additional $10.5 million of stock-based compensation expense. Our expansion efforts, focused both on geographical reach and service compatibility, led to an increase in operational costs. Expenses related to the Business Combination also contributed to an increase in costs related to third-party specialists in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growth as we scale as a new public company.</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$1.4 million, or 17%, in 2022 compared to 2021. The decrease in interest expense is primarily attributable to the conversion of the SNAP June 2020 Note into shares of our Class A Common Stock during the second quarter of 2022 and largely offset by the issuances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2022 compared to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other expense, net, by type ($ in thousands):</w:t>
      </w:r>
    </w:p>
    <w:tbl>
      <w:tblPr>
        <w:tblW w:w="9330" w:type="dxa"/>
        <w:jc w:val="left"/>
        <w:tblInd w:w="0" w:type="dxa"/>
        <w:tblCellMar>
          <w:top w:w="28" w:type="dxa"/>
          <w:left w:w="28" w:type="dxa"/>
          <w:bottom w:w="28" w:type="dxa"/>
          <w:right w:w="28" w:type="dxa"/>
        </w:tblCellMar>
      </w:tblPr>
      <w:tblGrid>
        <w:gridCol w:w="1646"/>
        <w:gridCol w:w="1443"/>
        <w:gridCol w:w="1456"/>
        <w:gridCol w:w="231"/>
        <w:gridCol w:w="546"/>
        <w:gridCol w:w="119"/>
        <w:gridCol w:w="119"/>
        <w:gridCol w:w="119"/>
        <w:gridCol w:w="119"/>
        <w:gridCol w:w="231"/>
        <w:gridCol w:w="698"/>
        <w:gridCol w:w="126"/>
        <w:gridCol w:w="109"/>
        <w:gridCol w:w="109"/>
        <w:gridCol w:w="109"/>
        <w:gridCol w:w="211"/>
        <w:gridCol w:w="616"/>
        <w:gridCol w:w="109"/>
        <w:gridCol w:w="109"/>
        <w:gridCol w:w="109"/>
        <w:gridCol w:w="109"/>
        <w:gridCol w:w="285"/>
        <w:gridCol w:w="286"/>
        <w:gridCol w:w="316"/>
      </w:tblGrid>
      <w:tr>
        <w:trPr/>
        <w:tc>
          <w:tcPr>
            <w:tcW w:w="1646"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and warrant liability</w:t>
            </w:r>
          </w:p>
        </w:tc>
        <w:tc>
          <w:tcPr>
            <w:tcW w:w="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Derivative and Warrant Liability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losses attributable to the change in fair value of derivative and warrant liability decreased by $4.3 million, or 88%, in 2022 compared to 2021. The decrease was primarily attributable to $3.8 million in losses, from the change in fair value of the warrant liability during 2021, as compared to no change in the fair value of the warrant liability during 2022, due to the exercise of Series C Warrants in December 2021, which extinguished the Company’s corresponding warrant liability.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2022 balance solely reflects the change in fair value of the embedded derivative from the SNAP June 2020 Note. The fair value of the derivative liability decreased by $0.6 million during 2022, compared to a decrease of $1.1 million during 2021. The changes in fair value of the derivative liability represent corresponding gains or losses on the Consolidated Statements of Operations and Comprehensive Loss due to changes in probability assumptions of a change in control or SPAC transaction.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958" w:type="dxa"/>
        <w:jc w:val="left"/>
        <w:tblInd w:w="0" w:type="dxa"/>
        <w:tblCellMar>
          <w:top w:w="28" w:type="dxa"/>
          <w:left w:w="28" w:type="dxa"/>
          <w:bottom w:w="28" w:type="dxa"/>
          <w:right w:w="28" w:type="dxa"/>
        </w:tblCellMar>
      </w:tblPr>
      <w:tblGrid>
        <w:gridCol w:w="823"/>
        <w:gridCol w:w="726"/>
        <w:gridCol w:w="730"/>
        <w:gridCol w:w="237"/>
        <w:gridCol w:w="694"/>
        <w:gridCol w:w="122"/>
        <w:gridCol w:w="122"/>
        <w:gridCol w:w="122"/>
        <w:gridCol w:w="122"/>
        <w:gridCol w:w="237"/>
        <w:gridCol w:w="525"/>
        <w:gridCol w:w="126"/>
        <w:gridCol w:w="109"/>
        <w:gridCol w:w="109"/>
        <w:gridCol w:w="109"/>
        <w:gridCol w:w="211"/>
        <w:gridCol w:w="616"/>
        <w:gridCol w:w="109"/>
        <w:gridCol w:w="109"/>
        <w:gridCol w:w="109"/>
        <w:gridCol w:w="109"/>
        <w:gridCol w:w="233"/>
        <w:gridCol w:w="233"/>
        <w:gridCol w:w="316"/>
      </w:tblGrid>
      <w:tr>
        <w:trPr/>
        <w:tc>
          <w:tcPr>
            <w:tcW w:w="823"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in thousands) </w:t>
            </w:r>
          </w:p>
        </w:tc>
        <w:tc>
          <w:tcPr>
            <w:tcW w:w="23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for 2022 and 2021 differs from the U.S. statutory rate primarily due to an increase in the domestic valuation allowance caused by tax losses, foreign withholding taxes and foreign tax rate differentials from the U.S. domestic statutory tax rate.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360"/>
        <w:jc w:val="both"/>
        <w:rPr/>
      </w:pPr>
      <w:r>
        <w:rPr>
          <w:rFonts w:ascii="Times New Roman;sans-serif" w:hAnsi="Times New Roman;sans-serif"/>
          <w:b w:val="false"/>
          <w:color w:val="000000"/>
          <w:sz w:val="20"/>
        </w:rPr>
        <w:t xml:space="preserve">We had $9.2 million in cash and cash equivalents as of December 31, 2022. Although the Company has incurred recurring losses each year since its inception, with consideration to the Restructuring Plan, the Company expects it will be able to fund its operations for at least the next twelve months through a combination of cash on hand (including as a result of the net proceeds from the recently closed Series A Preferred Stock Transaction (See </w:t>
      </w:r>
      <w:r>
        <w:rPr>
          <w:rFonts w:ascii="Times New Roman;sans-serif" w:hAnsi="Times New Roman;sans-serif"/>
          <w:b w:val="false"/>
          <w:i/>
          <w:color w:val="000000"/>
          <w:sz w:val="20"/>
        </w:rPr>
        <w:t>Issuance of Preferred Stock</w:t>
      </w:r>
      <w:r>
        <w:rPr>
          <w:color w:val="000000"/>
        </w:rPr>
        <w:t xml:space="preserve"> </w:t>
      </w:r>
      <w:r>
        <w:rPr>
          <w:rFonts w:ascii="Times New Roman;sans-serif" w:hAnsi="Times New Roman;sans-serif"/>
          <w:b w:val="false"/>
          <w:color w:val="000000"/>
          <w:sz w:val="20"/>
        </w:rPr>
        <w:t xml:space="preserve">below)), proceeds from sales of Class A common stock under the ELOC program (see </w:t>
      </w:r>
      <w:r>
        <w:rPr>
          <w:rFonts w:ascii="Times New Roman;sans-serif" w:hAnsi="Times New Roman;sans-serif"/>
          <w:b w:val="false"/>
          <w:i/>
          <w:color w:val="000000"/>
          <w:sz w:val="20"/>
        </w:rPr>
        <w:t>Equity Line of Credit</w:t>
      </w:r>
      <w:r>
        <w:rPr>
          <w:color w:val="000000"/>
        </w:rPr>
        <w:t xml:space="preserve"> </w:t>
      </w:r>
      <w:r>
        <w:rPr>
          <w:rFonts w:ascii="Times New Roman;sans-serif" w:hAnsi="Times New Roman;sans-serif"/>
          <w:b w:val="false"/>
          <w:color w:val="000000"/>
          <w:sz w:val="20"/>
        </w:rPr>
        <w:t xml:space="preserve">below), securing additional funding through debt or equity financings, implementing incremental expense reduction measures or a combination thereof. Additionally, in the future, the Company may seek additional funding through debt or equity financing arrangements, implement incremental expense reduction measures or a combination thereof to continue financing its operations. Although management continues to pursue these plans, there is no assurance that the Company will be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successful in obtaining sufficient funding on terms acceptable to the Company to fund continuing operations, if at all. The Company's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Line of Credit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On February 14, 2023, the Company’s Registration Statement on Form S-1 registering the resale of the ELOC Shares was declared effective. The Company expects to utilize proceeds from the ELOC for working capital and other general corporate purposes. Through March 17, 2023, the Company has sold approximately 8.8 million shares under the ELOC program for aggregate proceeds of approximately $24.9 million.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Common Stock Purchase Agreement, the Company issued CFPI 250,000 shares as consideration for its irrevocable commitment to purchase the shares upon the terms and subject to the satisfaction of the conditions set forth in the Common Stock Purchase Agreement. The Company has also agreed to make a cash payment of $250,000 within 120 days after the commencement date of the offering and to reimburse CFPI of up to $75,000 of expenses.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Preferred Stock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around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$25.0 million.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5, 2023, SoundHound announced the Restructuring Plan intended to reduce operating costs, improve operating margins, improve cash flows and accelerate the Company’s path to profitability. The Restructuring Plan included a reduction of the Company’s then-current workforce by approximately 40%.</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it will incur approximately $4.5 million to $5.5 million in charges in connection with the Restructuring Plan, of which the majority is expected to be incurred in the first quarter of 2023 and consists of severance payments, employee benefits and share-based compensation. Of the aggregate amount of charges that the Company estimates it will incur in connection with the Restructuring Plan, the Company expects that approximately $2.0 million to $3.0 million will be in cash expenditures.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in April 2022, we raised gross proceeds of $118.4 million including a combination of $5.4 million in cash held in trust by ATSP (following satisfaction of redemptions by public stockholders),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5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$113.0 million in aggregate gross proceeds from PIPE investors. The combined company incurred $27.7 million of expenses related to the transaction.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Contractual and Other Obligations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Note 9 and Note 14 to our consolidated financial statements included within this Annual Report on Form 10-K for more information.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Debt Financing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material debt agreements as of December 31, 2022:</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SVB March 2021 Note</w:t>
      </w:r>
      <w:r>
        <w:rPr>
          <w:color w:val="000000"/>
        </w:rPr>
        <w:t xml:space="preserve">— </w:t>
      </w:r>
      <w:r>
        <w:rPr>
          <w:rFonts w:ascii="Times New Roman;sans-serif" w:hAnsi="Times New Roman;sans-serif"/>
          <w:b w:val="false"/>
          <w:color w:val="000000"/>
          <w:sz w:val="20"/>
        </w:rPr>
        <w:t>In March 2021, we entered into a loan and security agreement with a 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SCI June 2021 Note </w:t>
      </w:r>
      <w:r>
        <w:rPr>
          <w:color w:val="000000"/>
        </w:rPr>
        <w:t xml:space="preserve">— </w:t>
      </w:r>
      <w:r>
        <w:rPr>
          <w:rFonts w:ascii="Times New Roman;sans-serif" w:hAnsi="Times New Roman;sans-serif"/>
          <w:b w:val="false"/>
          <w:color w:val="000000"/>
          <w:sz w:val="20"/>
        </w:rPr>
        <w:t>In June 2021, we issued a note pursuant to a loan and security agreement with a lender to borrow up to a commitment amount of $15.0 million in $5.0 million increments (“SCI June 2021 Note”). Through December 31, 2021, we had borrowed $15.0 million. The maturity date of the loan is May 31, 2025.</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(in thousands):</w:t>
      </w:r>
    </w:p>
    <w:tbl>
      <w:tblPr>
        <w:tblW w:w="8274" w:type="dxa"/>
        <w:jc w:val="left"/>
        <w:tblInd w:w="0" w:type="dxa"/>
        <w:tblCellMar>
          <w:top w:w="28" w:type="dxa"/>
          <w:left w:w="28" w:type="dxa"/>
          <w:bottom w:w="28" w:type="dxa"/>
          <w:right w:w="28" w:type="dxa"/>
        </w:tblCellMar>
      </w:tblPr>
      <w:tblGrid>
        <w:gridCol w:w="2051"/>
        <w:gridCol w:w="1807"/>
        <w:gridCol w:w="1812"/>
        <w:gridCol w:w="211"/>
        <w:gridCol w:w="796"/>
        <w:gridCol w:w="109"/>
        <w:gridCol w:w="109"/>
        <w:gridCol w:w="109"/>
        <w:gridCol w:w="109"/>
        <w:gridCol w:w="211"/>
        <w:gridCol w:w="796"/>
        <w:gridCol w:w="154"/>
      </w:tblGrid>
      <w:tr>
        <w:trPr/>
        <w:tc>
          <w:tcPr>
            <w:tcW w:w="2051"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w:t>
            </w:r>
          </w:p>
        </w:tc>
      </w:tr>
      <w:tr>
        <w:trPr/>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Operating Activities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$94.0 million during 2022 compared to $66.2 million during 2021. The $27.8 million increase in cash used in operating activities was primarily due to our increased net loss, adjusted for non-cash expenses, including stock-based compensation and depreciation and amortization, as well as an increase in our contract assets balance of $8.7 million.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$1.3 million during 2022 compared to $0.6 million during 2021. The $0.7 million increase in cash used in investing activities was driven by purchases of property and equipment.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Financing Activities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$82.0 million during 2022 compared to $44.7 million during 2021. The $37.3 million increase in cash provided by financing activities was primarily due to the $90.7 million in net proceeds from the Business Combination. This was partially offset by net proceeds of $44.7 million from the issuance of the SVB March 2021 Note and the SCI June 2021 Note during 2021 and payments on our notes payable of $11.5 million during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5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Consolidated Financial Statements in accordance with GAAP and pursuant to the rules and regulations of the SEC, we make assumptions, judgments and estimates that affect the reported amounts of assets, liabilities, revenue and expenses, and related disclosures of contingent assets and liabilities. We base our assumptions, judgments and estimates on historical experience and various other factors that we believe to be reasonable under the circumstances. Actual results could differ materially from these estimates under different assumptions or conditions. We evaluate our assumptions, judgments and estimates on a regular basis. We also discuss our critical accounting policies and estimates with the Audit Committee of the Board of Directors.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judgments and estimates involved in the accounting for revenue recognition, convertible notes and derivative liabilities, warrant liabilities and stock-based compensation have the greatest potential impact on our Consolidated Financial Statements. These areas are key components of our results of operations and are based on complex rules requiring us to make judgments and estimates, and consequently, we consider these to be our critical accounting policies. Historically, our assumptions, judgments and estimates relative to our critical accounting policies have not differed materially from actual results.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40" w:after="283"/>
        <w:ind w:left="0" w:right="0" w:firstLine="360"/>
        <w:jc w:val="both"/>
        <w:rPr/>
      </w:pPr>
      <w:r>
        <w:rPr>
          <w:rFonts w:ascii="Times New Roman;sans-serif" w:hAnsi="Times New Roman;sans-serif"/>
          <w:b w:val="false"/>
          <w:color w:val="000000"/>
          <w:sz w:val="20"/>
        </w:rPr>
        <w:t>We recognize revenue with customers in accordance with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We primarily derive revenue from the following performance obligations: (1) hosted services, (2) professional services, (3) monetization, and (4) licensing.</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Hosted Services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where the Company concluded that the up-front services are not distinct performance obligations, revenue for these activities is recognized over the period which the hosted services are provided and is included within hosted services revenue.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distinct professional services, such as non-integrated development services, is either recognized over time based upon the progress towards completion of the project, or at a point in time at project completion, depending on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5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nature of the arrangement. Measuring the stage of completion of a project requires significant judgement and estimates, including actual efforts spent in relation to estimated total costs, and percentage of completion based on input and output measures.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Monetization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the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Costs of developing and supplying each performance obligation;</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Industry standards;</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Major product groupings; and</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Gross margin objectives and pricing practices, such as contractually stated prices, discounts offered, and applicable price lists.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Convertible Notes and Derivative Liabilities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convertible notes and other contracts, if any, to determine if those contracts or embedded components of those contracts qualify as derivatives requiring bifurcation. We account for conversion features that meet criteria for bifurcation as liabilities at fair value and adjust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was estimated using a probability-weighted discount model with and without the conversion feature until extinguished on April 26, 2022 in connection with the Business Combination. See Note 10 for additional information.</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5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whether to classify contracts, such as warrants, that may be settled in our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 The Company uses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by using the Black-Scholes option-pricing model with the following assumptions:</w:t>
      </w:r>
    </w:p>
    <w:p>
      <w:pPr>
        <w:pStyle w:val="TextBody"/>
        <w:spacing w:lineRule="auto" w:line="288" w:before="240" w:after="283"/>
        <w:jc w:val="both"/>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Company estimates volatility for the awards by evaluating the average historical volatility of a peer group of companies for the period immediately preceding the award grant for a term that is approximately equal to the awards’s expected term.</w:t>
      </w:r>
    </w:p>
    <w:p>
      <w:pPr>
        <w:pStyle w:val="TextBody"/>
        <w:spacing w:lineRule="auto" w:line="288" w:before="240" w:after="283"/>
        <w:jc w:val="both"/>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 xml:space="preserve">The expected term of the Company’s awards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 </w:t>
      </w:r>
    </w:p>
    <w:p>
      <w:pPr>
        <w:pStyle w:val="TextBody"/>
        <w:spacing w:lineRule="auto" w:line="288" w:before="240" w:after="283"/>
        <w:jc w:val="both"/>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risk-free interest rate is based on the implied yield currently available on U.S. Treasury zero-coupon issues with a term that is equal to the awards' expected term at the grant date.</w:t>
      </w:r>
    </w:p>
    <w:p>
      <w:pPr>
        <w:pStyle w:val="TextBody"/>
        <w:spacing w:lineRule="auto" w:line="288" w:before="240" w:after="283"/>
        <w:jc w:val="both"/>
        <w:rPr/>
      </w:pPr>
      <w:r>
        <w:rPr>
          <w:rFonts w:ascii="Times New Roman;sans-serif" w:hAnsi="Times New Roman;sans-serif"/>
          <w:b w:val="false"/>
          <w:i/>
          <w:color w:val="000000"/>
          <w:sz w:val="20"/>
        </w:rPr>
        <w:t>Expected Dividend Yield</w:t>
      </w:r>
      <w:r>
        <w:rPr>
          <w:color w:val="000000"/>
        </w:rPr>
        <w:t xml:space="preserve"> — </w:t>
      </w:r>
      <w:r>
        <w:rPr>
          <w:rFonts w:ascii="Times New Roman;sans-serif" w:hAnsi="Times New Roman;sans-serif"/>
          <w:b w:val="false"/>
          <w:color w:val="000000"/>
          <w:sz w:val="20"/>
        </w:rPr>
        <w:t>The Company has not declared or paid dividends to date and does not anticipate declaring dividends. As such, expected dividend yield is zero.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of our Notes to Consolidated Financial Statements for information regarding recent accounting pronouncements that are of significance, or potential significance to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Jumpstart Our Business Startups Act of 2012 ("JOBS Act"). As an emerging growth company, we may take advantage of certain reduced reporting requirements that are otherwise applicable generally to public companies. We currently intend to take advantage of several of these reduced reporting requirements such as an extended transition period to comply with new or revised accounting standards applicable to public companies. We have elected to use this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who have adopted new or revised accounting pronouncements.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5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as defined in Rule 12b-2 under the Exchange Act, and (2) the date on which we have issued more than $1.0 billion in non-convertible debt during the prior three-year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Required.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5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554" w:type="dxa"/>
        <w:jc w:val="center"/>
        <w:tblInd w:w="0" w:type="dxa"/>
        <w:tblCellMar>
          <w:top w:w="28" w:type="dxa"/>
          <w:left w:w="28" w:type="dxa"/>
          <w:bottom w:w="28" w:type="dxa"/>
          <w:right w:w="28" w:type="dxa"/>
        </w:tblCellMar>
      </w:tblPr>
      <w:tblGrid>
        <w:gridCol w:w="3133"/>
        <w:gridCol w:w="2753"/>
        <w:gridCol w:w="2769"/>
        <w:gridCol w:w="263"/>
        <w:gridCol w:w="263"/>
        <w:gridCol w:w="373"/>
      </w:tblGrid>
      <w:tr>
        <w:trPr/>
        <w:tc>
          <w:tcPr>
            <w:tcW w:w="3133"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c>
          <w:tcPr>
            <w:tcW w:w="276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8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8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88">
              <w:r>
                <w:rPr>
                  <w:rStyle w:val="InternetLink"/>
                </w:rPr>
                <w:t>Report of Independent Registered Public Accounting Firm (</w:t>
              </w:r>
            </w:hyperlink>
            <w:r>
              <w:rPr>
                <w:rFonts w:ascii="Times New Roman;sans-serif" w:hAnsi="Times New Roman;sans-serif"/>
                <w:b w:val="false"/>
                <w:color w:val="0000FF"/>
                <w:sz w:val="20"/>
                <w:u w:val="single"/>
              </w:rPr>
              <w:t>Armanino LLP</w:t>
            </w:r>
            <w:hyperlink w:anchor="ifd41532186be40da864fa25a496db740_88">
              <w:r>
                <w:rPr>
                  <w:rStyle w:val="InternetLink"/>
                </w:rPr>
                <w:t xml:space="preserve">, </w:t>
              </w:r>
            </w:hyperlink>
            <w:r>
              <w:rPr>
                <w:rFonts w:ascii="Times New Roman;sans-serif" w:hAnsi="Times New Roman;sans-serif"/>
                <w:b w:val="false"/>
                <w:color w:val="0000FF"/>
                <w:sz w:val="20"/>
                <w:u w:val="single"/>
              </w:rPr>
              <w:t>San Jose, CA</w:t>
            </w:r>
            <w:hyperlink w:anchor="ifd41532186be40da864fa25a496db740_88">
              <w:r>
                <w:rPr>
                  <w:rStyle w:val="InternetLink"/>
                </w:rPr>
                <w:t xml:space="preserve">, PCAOB ID: </w:t>
              </w:r>
            </w:hyperlink>
            <w:r>
              <w:rPr>
                <w:rFonts w:ascii="Times New Roman;sans-serif" w:hAnsi="Times New Roman;sans-serif"/>
                <w:b w:val="false"/>
                <w:color w:val="0000FF"/>
                <w:sz w:val="20"/>
                <w:u w:val="single"/>
              </w:rPr>
              <w:t>32</w:t>
            </w:r>
            <w:hyperlink w:anchor="ifd41532186be40da864fa25a496db740_88">
              <w:r>
                <w:rPr>
                  <w:rStyle w:val="InternetLink"/>
                </w:rPr>
                <w:t>)</w:t>
              </w:r>
            </w:hyperlink>
          </w:p>
        </w:tc>
        <w:tc>
          <w:tcPr>
            <w:tcW w:w="89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88">
              <w:r>
                <w:rPr>
                  <w:rStyle w:val="InternetLink"/>
                  <w:rFonts w:ascii="Times New Roman;sans-serif" w:hAnsi="Times New Roman;sans-serif"/>
                  <w:b w:val="false"/>
                  <w:strike w:val="false"/>
                  <w:dstrike w:val="false"/>
                  <w:color w:val="000000"/>
                  <w:sz w:val="20"/>
                  <w:u w:val="none"/>
                  <w:effect w:val="none"/>
                </w:rPr>
                <w:t>56</w:t>
              </w:r>
            </w:hyperlink>
          </w:p>
        </w:tc>
      </w:tr>
      <w:tr>
        <w:trPr/>
        <w:tc>
          <w:tcPr>
            <w:tcW w:w="865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91">
              <w:r>
                <w:rPr>
                  <w:rStyle w:val="InternetLink"/>
                  <w:rFonts w:ascii="Times New Roman;sans-serif" w:hAnsi="Times New Roman;sans-serif"/>
                  <w:b w:val="false"/>
                  <w:color w:val="0000FF"/>
                  <w:sz w:val="20"/>
                  <w:u w:val="single"/>
                </w:rPr>
                <w:t>Consolidated Balance Sheets</w:t>
              </w:r>
            </w:hyperlink>
          </w:p>
        </w:tc>
        <w:tc>
          <w:tcPr>
            <w:tcW w:w="89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91">
              <w:r>
                <w:rPr>
                  <w:rStyle w:val="InternetLink"/>
                  <w:rFonts w:ascii="Times New Roman;sans-serif" w:hAnsi="Times New Roman;sans-serif"/>
                  <w:b w:val="false"/>
                  <w:strike w:val="false"/>
                  <w:dstrike w:val="false"/>
                  <w:color w:val="000000"/>
                  <w:sz w:val="20"/>
                  <w:u w:val="none"/>
                  <w:effect w:val="none"/>
                </w:rPr>
                <w:t>57</w:t>
              </w:r>
            </w:hyperlink>
          </w:p>
        </w:tc>
      </w:tr>
      <w:tr>
        <w:trPr/>
        <w:tc>
          <w:tcPr>
            <w:tcW w:w="865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94">
              <w:r>
                <w:rPr>
                  <w:rStyle w:val="InternetLink"/>
                  <w:rFonts w:ascii="Times New Roman;sans-serif" w:hAnsi="Times New Roman;sans-serif"/>
                  <w:b w:val="false"/>
                  <w:color w:val="0000FF"/>
                  <w:sz w:val="20"/>
                  <w:u w:val="single"/>
                </w:rPr>
                <w:t>Consolidated Statements of Operations and Comprehensive Loss</w:t>
              </w:r>
            </w:hyperlink>
          </w:p>
        </w:tc>
        <w:tc>
          <w:tcPr>
            <w:tcW w:w="89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94">
              <w:r>
                <w:rPr>
                  <w:rStyle w:val="InternetLink"/>
                  <w:rFonts w:ascii="Times New Roman;sans-serif" w:hAnsi="Times New Roman;sans-serif"/>
                  <w:b w:val="false"/>
                  <w:strike w:val="false"/>
                  <w:dstrike w:val="false"/>
                  <w:color w:val="000000"/>
                  <w:sz w:val="20"/>
                  <w:u w:val="none"/>
                  <w:effect w:val="none"/>
                </w:rPr>
                <w:t>58</w:t>
              </w:r>
            </w:hyperlink>
          </w:p>
        </w:tc>
      </w:tr>
      <w:tr>
        <w:trPr/>
        <w:tc>
          <w:tcPr>
            <w:tcW w:w="865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97">
              <w:r>
                <w:rPr>
                  <w:rStyle w:val="InternetLink"/>
                </w:rPr>
                <w:t xml:space="preserve">Consolidated Statements of Redeemable Convertible Preferred Stock and Stockholders' </w:t>
              </w:r>
            </w:hyperlink>
            <w:hyperlink w:anchor="ifd41532186be40da864fa25a496db740_97">
              <w:r>
                <w:rPr>
                  <w:rStyle w:val="InternetLink"/>
                </w:rPr>
                <w:t>Deficit</w:t>
              </w:r>
            </w:hyperlink>
          </w:p>
        </w:tc>
        <w:tc>
          <w:tcPr>
            <w:tcW w:w="89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97">
              <w:r>
                <w:rPr>
                  <w:rStyle w:val="InternetLink"/>
                  <w:rFonts w:ascii="Times New Roman;sans-serif" w:hAnsi="Times New Roman;sans-serif"/>
                  <w:b w:val="false"/>
                  <w:strike w:val="false"/>
                  <w:dstrike w:val="false"/>
                  <w:color w:val="000000"/>
                  <w:sz w:val="20"/>
                  <w:u w:val="none"/>
                  <w:effect w:val="none"/>
                </w:rPr>
                <w:t>59</w:t>
              </w:r>
            </w:hyperlink>
          </w:p>
        </w:tc>
      </w:tr>
      <w:tr>
        <w:trPr/>
        <w:tc>
          <w:tcPr>
            <w:tcW w:w="865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00">
              <w:r>
                <w:rPr>
                  <w:rStyle w:val="InternetLink"/>
                  <w:rFonts w:ascii="Times New Roman;sans-serif" w:hAnsi="Times New Roman;sans-serif"/>
                  <w:b w:val="false"/>
                  <w:color w:val="0000FF"/>
                  <w:sz w:val="20"/>
                  <w:u w:val="single"/>
                </w:rPr>
                <w:t>Consolidated Statements of Cash Flows</w:t>
              </w:r>
            </w:hyperlink>
          </w:p>
        </w:tc>
        <w:tc>
          <w:tcPr>
            <w:tcW w:w="899"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00">
              <w:r>
                <w:rPr>
                  <w:rStyle w:val="InternetLink"/>
                  <w:rFonts w:ascii="Times New Roman;sans-serif" w:hAnsi="Times New Roman;sans-serif"/>
                  <w:b w:val="false"/>
                  <w:strike w:val="false"/>
                  <w:dstrike w:val="false"/>
                  <w:color w:val="000000"/>
                  <w:sz w:val="20"/>
                  <w:u w:val="none"/>
                  <w:effect w:val="none"/>
                </w:rPr>
                <w:t>60</w:t>
              </w:r>
            </w:hyperlink>
          </w:p>
        </w:tc>
      </w:tr>
      <w:tr>
        <w:trPr/>
        <w:tc>
          <w:tcPr>
            <w:tcW w:w="865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w:anchor="ifd41532186be40da864fa25a496db740_103">
              <w:r>
                <w:rPr>
                  <w:rStyle w:val="InternetLink"/>
                  <w:rFonts w:ascii="Times New Roman;sans-serif" w:hAnsi="Times New Roman;sans-serif"/>
                  <w:b w:val="false"/>
                  <w:color w:val="0000FF"/>
                  <w:sz w:val="20"/>
                  <w:u w:val="single"/>
                </w:rPr>
                <w:t>Notes to Consolidated Financial Statements</w:t>
              </w:r>
            </w:hyperlink>
          </w:p>
        </w:tc>
        <w:tc>
          <w:tcPr>
            <w:tcW w:w="899"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pPr>
            <w:hyperlink w:anchor="ifd41532186be40da864fa25a496db740_103">
              <w:r>
                <w:rPr>
                  <w:rStyle w:val="InternetLink"/>
                  <w:rFonts w:ascii="Times New Roman;sans-serif" w:hAnsi="Times New Roman;sans-serif"/>
                  <w:b w:val="false"/>
                  <w:strike w:val="false"/>
                  <w:dstrike w:val="false"/>
                  <w:color w:val="000000"/>
                  <w:sz w:val="20"/>
                  <w:u w:val="none"/>
                  <w:effect w:val="none"/>
                </w:rPr>
                <w:t>61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before="240" w:after="283"/>
        <w:jc w:val="right"/>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Board of Directors and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Stockholders of SoundHound AI, Inc.</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Santa Clara, California</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Opinion on the Consolidated Financial Statements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SoundHound AI, Inc. (the "Company") as of December 31, 2022 and 2021, and the related consolidated statements of operations and comprehensive loss, consolidated statements of redeemable convertible preferred stock and stockholders' deficit, and consolidated statements of cash flows for each of the years then ended, and the related notes (collectively, referred to as the “consolidated financial statements”). In our opinion, the consolidated financial statements present fairly, in all material respects, the financial position of the Company as of December 31, 2022 and 2021, and the results of their operations and their cash flows for each of the years then ended in conformity with accounting principles generally accepted in the United States of America.</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Basis for Opinion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240" w:after="283"/>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Armanino</w:t>
      </w:r>
      <w:r>
        <w:rPr>
          <w:rFonts w:ascii="Times New Roman;sans-serif" w:hAnsi="Times New Roman;sans-serif"/>
          <w:b w:val="false"/>
          <w:color w:val="000000"/>
          <w:sz w:val="13"/>
        </w:rPr>
        <w:t>LLP</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3125"/>
        <w:gridCol w:w="2556"/>
        <w:gridCol w:w="2551"/>
        <w:gridCol w:w="179"/>
        <w:gridCol w:w="503"/>
        <w:gridCol w:w="117"/>
        <w:gridCol w:w="109"/>
        <w:gridCol w:w="109"/>
        <w:gridCol w:w="109"/>
        <w:gridCol w:w="178"/>
        <w:gridCol w:w="501"/>
        <w:gridCol w:w="168"/>
      </w:tblGrid>
      <w:tr>
        <w:trPr/>
        <w:tc>
          <w:tcPr>
            <w:tcW w:w="3125" w:type="dxa"/>
            <w:tcBorders/>
            <w:shd w:fill="auto" w:val="clear"/>
            <w:vAlign w:val="center"/>
          </w:tcPr>
          <w:p>
            <w:pPr>
              <w:pStyle w:val="TableContents"/>
              <w:spacing w:before="0" w:after="283"/>
              <w:rPr>
                <w:sz w:val="4"/>
                <w:szCs w:val="4"/>
              </w:rPr>
            </w:pPr>
            <w:r>
              <w:rPr>
                <w:sz w:val="4"/>
                <w:szCs w:val="4"/>
              </w:rPr>
            </w:r>
          </w:p>
        </w:tc>
        <w:tc>
          <w:tcPr>
            <w:tcW w:w="2556"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8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w:t>
              <w:br/>
              <w:t>2021</w:t>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ASSETS</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assets:</w:t>
            </w:r>
          </w:p>
        </w:tc>
        <w:tc>
          <w:tcPr>
            <w:tcW w:w="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7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3"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9,245 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 equivalents</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 of allowances of $109 as of December 31, 2022 and 2021</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3,414 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Prepaid expenses</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assets</w:t>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17,703 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 equivalents, non-current</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Right-of-use assets</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8,119 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10,291 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net</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3,447 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6,155 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tax asset</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non-current</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7,041 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assets</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2,381 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assets</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38,251 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49,203 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LIABILITIES, REDEEMABLE CONVERTIBLE PREFERRED STOCK, </w:t>
              <w:br/>
              <w:t>AND STOCKHOLDERS’ DEFICIT</w:t>
            </w:r>
          </w:p>
        </w:tc>
        <w:tc>
          <w:tcPr>
            <w:tcW w:w="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liabilities:</w:t>
            </w:r>
          </w:p>
        </w:tc>
        <w:tc>
          <w:tcPr>
            <w:tcW w:w="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17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3,760 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liabilities</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7,462 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7,298 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3,282 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3,281 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Finance lease liabilities</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5,812 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6,042 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Convertible note</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29,868 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Derivative liability</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3,488 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Notes payable</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16,668 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29,964 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liabilities</w:t>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37,496 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87,739 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net of current portion</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8,611 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Finance lease liabilities, net of current portion</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 net of current portion</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7,543 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14,959 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Notes payable, net of current portion</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18,299 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liabilities</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4,295 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w:t>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73,476 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112,937 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Commitments and contingencies (Note 7)</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12"/>
              </w:rPr>
            </w:pPr>
            <w:r>
              <w:rPr>
                <w:rFonts w:ascii="Times New Roman;sans-serif" w:hAnsi="Times New Roman;sans-serif"/>
                <w:b w:val="false"/>
                <w:color w:val="000000"/>
                <w:sz w:val="12"/>
              </w:rPr>
              <w:t>Legacy SoundHound redeemable convertible preferred stock; $0.0001 par value; 0 and 146,218,514 shares authorized; 0 and 106,949,326 shares issued and outstanding, liquidation preference of $0 and $284,826 as of December 31, 2022 and 2021, respectively</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279,503 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Stockholders’ deficit:</w:t>
            </w:r>
          </w:p>
        </w:tc>
        <w:tc>
          <w:tcPr>
            <w:tcW w:w="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Legacy SoundHound Common Stock, $0.0001 par value; 250,030,433 shares authorized; 0 and 68,258,556 shares issued and outstanding as of December 31, 2022 and 2021, respectively</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$0.0001 par value; 455,000,000 shares authorized; 160,297,664 and 0 shares issued and outstanding as of December 31, 2022 and 2021, respectively</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Class B Common Stock, $0.0001 par value; 44,000,000 shares authorized; 39,735,408 and 0 shares issued and outstanding as of December 31, 2022 and 2021, respectively</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Additional paid-in capital</w:t>
            </w:r>
          </w:p>
        </w:tc>
        <w:tc>
          <w:tcPr>
            <w:tcW w:w="68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466,857 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43,491 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deficit</w:t>
            </w:r>
          </w:p>
        </w:tc>
        <w:tc>
          <w:tcPr>
            <w:tcW w:w="6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(502,102)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(386,729)</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stockholders’ deficit</w:t>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(35,225)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(343,237)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 redeemable convertible preferred stock, and stockholders’ deficit</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38,251 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49,203 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COMPREHENSIVE LOSS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bl>
      <w:tblPr>
        <w:tblW w:w="8183" w:type="dxa"/>
        <w:jc w:val="left"/>
        <w:tblInd w:w="0" w:type="dxa"/>
        <w:tblCellMar>
          <w:top w:w="28" w:type="dxa"/>
          <w:left w:w="28" w:type="dxa"/>
          <w:bottom w:w="28" w:type="dxa"/>
          <w:right w:w="28" w:type="dxa"/>
        </w:tblCellMar>
      </w:tblPr>
      <w:tblGrid>
        <w:gridCol w:w="1982"/>
        <w:gridCol w:w="1736"/>
        <w:gridCol w:w="1756"/>
        <w:gridCol w:w="211"/>
        <w:gridCol w:w="901"/>
        <w:gridCol w:w="109"/>
        <w:gridCol w:w="109"/>
        <w:gridCol w:w="109"/>
        <w:gridCol w:w="109"/>
        <w:gridCol w:w="211"/>
        <w:gridCol w:w="796"/>
        <w:gridCol w:w="154"/>
      </w:tblGrid>
      <w:tr>
        <w:trPr/>
        <w:tc>
          <w:tcPr>
            <w:tcW w:w="1982"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w:t>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0"/>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 on available-for-sale securities, net of tax</w:t>
            </w:r>
          </w:p>
        </w:tc>
        <w:tc>
          <w:tcPr>
            <w:tcW w:w="11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221"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157,317,695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67,255,538</w:t>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REDEEMABLE CONVERTIBLE PREFERRED STOCK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DEFICIT</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bl>
      <w:tblPr>
        <w:tblW w:w="15087" w:type="dxa"/>
        <w:jc w:val="left"/>
        <w:tblInd w:w="0" w:type="dxa"/>
        <w:tblCellMar>
          <w:top w:w="28" w:type="dxa"/>
          <w:left w:w="28" w:type="dxa"/>
          <w:bottom w:w="28" w:type="dxa"/>
          <w:right w:w="28" w:type="dxa"/>
        </w:tblCellMar>
      </w:tblPr>
      <w:tblGrid>
        <w:gridCol w:w="610"/>
        <w:gridCol w:w="220"/>
        <w:gridCol w:w="221"/>
        <w:gridCol w:w="344"/>
        <w:gridCol w:w="344"/>
        <w:gridCol w:w="198"/>
        <w:gridCol w:w="109"/>
        <w:gridCol w:w="109"/>
        <w:gridCol w:w="109"/>
        <w:gridCol w:w="181"/>
        <w:gridCol w:w="616"/>
        <w:gridCol w:w="109"/>
        <w:gridCol w:w="109"/>
        <w:gridCol w:w="109"/>
        <w:gridCol w:w="109"/>
        <w:gridCol w:w="109"/>
        <w:gridCol w:w="109"/>
        <w:gridCol w:w="109"/>
        <w:gridCol w:w="287"/>
        <w:gridCol w:w="287"/>
        <w:gridCol w:w="237"/>
        <w:gridCol w:w="109"/>
        <w:gridCol w:w="109"/>
        <w:gridCol w:w="109"/>
        <w:gridCol w:w="181"/>
        <w:gridCol w:w="406"/>
        <w:gridCol w:w="109"/>
        <w:gridCol w:w="109"/>
        <w:gridCol w:w="109"/>
        <w:gridCol w:w="109"/>
        <w:gridCol w:w="295"/>
        <w:gridCol w:w="295"/>
        <w:gridCol w:w="251"/>
        <w:gridCol w:w="109"/>
        <w:gridCol w:w="109"/>
        <w:gridCol w:w="109"/>
        <w:gridCol w:w="181"/>
        <w:gridCol w:w="406"/>
        <w:gridCol w:w="109"/>
        <w:gridCol w:w="109"/>
        <w:gridCol w:w="109"/>
        <w:gridCol w:w="109"/>
        <w:gridCol w:w="269"/>
        <w:gridCol w:w="269"/>
        <w:gridCol w:w="228"/>
        <w:gridCol w:w="109"/>
        <w:gridCol w:w="109"/>
        <w:gridCol w:w="109"/>
        <w:gridCol w:w="181"/>
        <w:gridCol w:w="406"/>
        <w:gridCol w:w="109"/>
        <w:gridCol w:w="109"/>
        <w:gridCol w:w="109"/>
        <w:gridCol w:w="109"/>
        <w:gridCol w:w="181"/>
        <w:gridCol w:w="616"/>
        <w:gridCol w:w="109"/>
        <w:gridCol w:w="109"/>
        <w:gridCol w:w="109"/>
        <w:gridCol w:w="109"/>
        <w:gridCol w:w="265"/>
        <w:gridCol w:w="595"/>
        <w:gridCol w:w="161"/>
        <w:gridCol w:w="327"/>
        <w:gridCol w:w="181"/>
        <w:gridCol w:w="631"/>
        <w:gridCol w:w="109"/>
        <w:gridCol w:w="327"/>
        <w:gridCol w:w="181"/>
        <w:gridCol w:w="631"/>
        <w:gridCol w:w="154"/>
      </w:tblGrid>
      <w:tr>
        <w:trPr/>
        <w:tc>
          <w:tcPr>
            <w:tcW w:w="61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Legacy SoundHound Redeemable Convertible </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8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Legacy SoundHound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 xml:space="preserve">Paid-in </w:t>
              <w:br/>
              <w:t xml:space="preserve">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 xml:space="preserve">Comprehensive </w:t>
              <w:br/>
              <w:t xml:space="preserve">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Balances as of December 31, 2020</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19,132,387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11,818,761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(276,353)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Retroactive application of Business Combination (Note 3)</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87,171,583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53,849,015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Adjusted Balances, beginning of period</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106,303,970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65,667,776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(276,353)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2,590,780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warrants</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gain, net of tax</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redeemable convertible Series C preferred stock upon net exercise of Series C Warrants</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645,356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(79,540)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(79,540)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Balances as of December 31, 2021</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106,949,326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68,258,556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(343,237)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2,582,535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exercise of outstanding warrants</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673,416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convertible note    </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2,046,827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reverse recapitalization, net of costs (Note 3)    </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(106,949,326)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(73,561,334)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140,114,060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40,396,600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279,503 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PIPE financing    </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86,585 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shares pursuant to the Business Combination    </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4,693,050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shares upon conversion of Class B common shares</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661,192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(661,192)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shares upon exercise of stock options    </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1,013,171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shares upon vesting of restricted stock units    </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2,516,191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28,792 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(115,373)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Balances as of December 31, 2022</w:t>
            </w:r>
          </w:p>
        </w:tc>
        <w:tc>
          <w:tcPr>
            <w:tcW w:w="8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160,297,664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39,735,408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(502,102)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6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7628" w:type="dxa"/>
        <w:jc w:val="center"/>
        <w:tblInd w:w="0" w:type="dxa"/>
        <w:tblCellMar>
          <w:top w:w="28" w:type="dxa"/>
          <w:left w:w="28" w:type="dxa"/>
          <w:bottom w:w="28" w:type="dxa"/>
          <w:right w:w="28" w:type="dxa"/>
        </w:tblCellMar>
      </w:tblPr>
      <w:tblGrid>
        <w:gridCol w:w="2023"/>
        <w:gridCol w:w="1775"/>
        <w:gridCol w:w="1796"/>
        <w:gridCol w:w="166"/>
        <w:gridCol w:w="586"/>
        <w:gridCol w:w="109"/>
        <w:gridCol w:w="109"/>
        <w:gridCol w:w="109"/>
        <w:gridCol w:w="109"/>
        <w:gridCol w:w="166"/>
        <w:gridCol w:w="526"/>
        <w:gridCol w:w="154"/>
      </w:tblGrid>
      <w:tr>
        <w:trPr/>
        <w:tc>
          <w:tcPr>
            <w:tcW w:w="2023"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Year Ended </w:t>
              <w:br/>
              <w:t>December 31,</w:t>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2021</w:t>
            </w:r>
          </w:p>
        </w:tc>
      </w:tr>
      <w:tr>
        <w:trPr/>
        <w:tc>
          <w:tcPr>
            <w:tcW w:w="55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flows from operating activities:</w:t>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(79,540)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Adjustments to reconcile net loss to net cash used in operating activities: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fair value of derivative and warrant liability</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Amortization of debt issuance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Non-cash lease amortization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income taxes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Prepaid expenses</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liabilities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cash used in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(66,177)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flows from investing activities: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flows from financing activities: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Proceeds from issuance of convertible notes, net of issuance costs</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14,905 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Proceeds from note payable, net of issuance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29,833 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Proceeds from the issuance of common stock upon exercise of options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Proceeds from Business Combination and PIPE, net of transaction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Payments on notes payable</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Payments on finance leases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cash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cash, cash equivalents, and restricted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cash equivalents, and restricted cash equivalents, beginning of year</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44,982 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cash equivalents, and restricted cash equivalents, end of year</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Reconciliation to amounts on the consolidated balance sheets: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portion of restricted cash equivalents</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Non-current portion of restricted cash equivalents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88" w:before="0" w:after="8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Total cash, cash equivalents, and restricted cash equivalents shown in the consolidated statements of cash flows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Supplemental disclosures of cash flow information:</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paid for interest</w:t>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paid for income taxes</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and right-of-use assets through adoption of ASC 842</w:t>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11,428 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arising from obtaining right-of-use assets</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3,422 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acquired under finance leases or debt</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convertible note into common stock pursuant to Business Combination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redeemable convertible preferred stock to common stock pursuant to Business Combination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279,503 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Debt discount through issuance of common stock warrants</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3,842 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Non-cash debt discount</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Issues of series C redeemable convertible preferred stock for exercise of warrants</w:t>
            </w:r>
          </w:p>
        </w:tc>
        <w:tc>
          <w:tcPr>
            <w:tcW w:w="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5,816 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6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Nature of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consolidated financial statements for more information on the Business Combination.</w:t>
      </w:r>
    </w:p>
    <w:p>
      <w:pPr>
        <w:pStyle w:val="TextBody"/>
        <w:spacing w:lineRule="auto" w:line="288" w:before="240" w:after="283"/>
        <w:jc w:val="both"/>
        <w:rPr/>
      </w:pPr>
      <w:r>
        <w:rPr>
          <w:rFonts w:ascii="Times New Roman;sans-serif" w:hAnsi="Times New Roman;sans-serif"/>
          <w:b w:val="false"/>
          <w:color w:val="000000"/>
          <w:sz w:val="20"/>
        </w:rPr>
        <w:t xml:space="preserve">Legacy SoundHound determined that it was the accounting acquirer in the Business Combination based on an analysis of the criteria outlined in Accounting Standards Codification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determination was primarily based on the following facts: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Former Legacy SoundHound stockholders have a controlling voting interest in the Company;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Company’s board of directors immediately after the closing of the Business Combination was comprised of five board members, primarily from the board of directors of Legacy SoundHound;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Legacy SoundHound’s management continues to hold executive management roles for the Company following the Business Combination and are responsible for the day-to-day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 prior to the Business Combination; (ii) the combined results of the Company and Legacy SoundHound following the Closing of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6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(iii) the assets and liabilities of Legacy SoundHound at their historical cost; and (iv) the Company’s equity structure for all periods presented.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Going Concern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the Company has generated recurring losses as well as negative operating cash flows and reported a net loss of $115.4 million for the year ended December 31, 2022. As of December 31, 2022, the Company had an accumulated deficit of $502.1 million. Management expects to continue to incur additional substantial losses in the foreseeable future primarily as a result of research and development activities. The Company has historically funded its operations primarily through equity or debt financings.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on hand as of December 31, 2022 was $9.2 million. Although the Company has incurred recurring losses each year since its inception, the Company expects it will be able to fund its operations for at least the next twelve months through a combination of cash on hand (including as a result of the net proceeds from the recently closed Series A Preferred Stock Transaction (See Note 19)), proceeds from sales of Class A common stock under the ELOC program (see Note 19), securing additional funding through debt or equity financings, implementing incremental expense reduction measures or a combination thereof. Further, in the future, the Company may seek additional funding through debt or equity financing arrangements,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Other Risk and Uncertainties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 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6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    BASIS OF PRESENTATION AND SIGNIFICANT ACCOUNTING POLICIES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Basis of Presentation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Principles of Consolidation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include the accounts of the Company and its wholly-owned subsidiaries. All intercompany accounts and transactions have been eliminated in consolidation.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Reclassification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balances have been reclassified to conform to the current year presentation. Such changes include reclassifications or combinations of certain accounts on the consolidated balance sheets. These reclassifications had no effect on previously reported results of operations or accumulated deficit.</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Foreign Currency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2022 and 2021, the Company recognized net losses related to foreign currency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6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and remeasurements of $0.7 million and $0.5 million, respectively, in the consolidated statements of operations as other expense, net.</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Use of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Cash and Cash Equivalents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Restricted Cash Equivalents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2022 and 2021 represent funds held in certificates of deposit, have original maturities of six months to one year and are recorded at cost plus accrued interest, which approximates fair value as of December 31, 2022 and 2021. Restricted cash equivalents are classified as current or non-current on the consolidated balance sheets based on the remaining term of the restriction.</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Accounts Receivable,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Property and Equipment,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and amortization is provided using the straight-line method over the estimated useful lives of the respective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of the Company’s property and equipment are as follows:</w:t>
      </w:r>
    </w:p>
    <w:tbl>
      <w:tblPr>
        <w:tblW w:w="5759" w:type="dxa"/>
        <w:jc w:val="left"/>
        <w:tblInd w:w="0" w:type="dxa"/>
        <w:tblCellMar>
          <w:top w:w="28" w:type="dxa"/>
          <w:left w:w="28" w:type="dxa"/>
          <w:bottom w:w="28" w:type="dxa"/>
          <w:right w:w="28" w:type="dxa"/>
        </w:tblCellMar>
      </w:tblPr>
      <w:tblGrid>
        <w:gridCol w:w="782"/>
        <w:gridCol w:w="686"/>
        <w:gridCol w:w="691"/>
        <w:gridCol w:w="1053"/>
        <w:gridCol w:w="1053"/>
        <w:gridCol w:w="1494"/>
      </w:tblGrid>
      <w:tr>
        <w:trPr/>
        <w:tc>
          <w:tcPr>
            <w:tcW w:w="7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4 years</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useful life or the term of the lease</w:t>
            </w:r>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6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Maintenance and repairs that do not extend the life or improve the asset are expensed as incurred.</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Impairment of Long-Lived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2022, there have been no such impairments.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its inception. Operating lease liabilities are recognized at the lease commencement date based on the present value of lease payments over the lease term. We generally use our incremental borrowing rate based on the information available at the lease commencement date in determining the present value of future payments, because the implicit rate of the lease is generally not known. Right-of-use ("ROU") assets related to our operating lease liabilities are measured at lease inception based on the initial measurement of the lease liability, plus any prepaid lease payments and less any lease incentives, as applicable. Our lease terms that are used in determining our operating lease liabilities at lease inception may include options to extend or terminate the leases when it is reasonably certain that we will exercise such options. We amortize our ROU assets as operating lease expense generally on a straight-line basis over the lease term and classify both the lease amortization and imputed interest as operating expenses.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Segment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 Chief Executive Officer is its chief operating decision maker. The Company’s Chief Executive Officer reviews financial information on a consolidated basis for purposes of allocating resources and evaluating financial performance. The Company’s property and equipment is primarily located in the United States. Accordingly, the Company has determined that it operates as a single reportable segment.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is primarily located in the United States. As of December 31, 2022, the Company’s property and equipment was located in the United States, except for 11.4% of assets located in Canada and 7.0% in other foreign jurisdictions. As of December 31, 2021, the Company’s property and equipment was located in the United States, except for 11.7% of assets located in Canada and 1.7% in other foreign jurisdictions.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Emerging Growth Company Status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Concentrations of Credit Risk and Other Risks and Uncertainties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accounts receivable balances due from two customers collectively totaled 75% of the Company’s consolidated accounts receivable balance. As of December 31, 2021, accounts receivable balances due from five customers collectively totaled 86% of the Company’s consolidated accounts receivable balance.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had three customers that accounted for 67% of revenue. For the year ended December 31, 2021, the Company had three customers that accounted for 61% of revenue. </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Equity Issuance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 and comprehensive loss.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Revenue Recognition</w:t>
      </w:r>
    </w:p>
    <w:p>
      <w:pPr>
        <w:pStyle w:val="TextBody"/>
        <w:spacing w:lineRule="auto" w:line="288" w:before="240" w:after="283"/>
        <w:jc w:val="both"/>
        <w:rPr/>
      </w:pPr>
      <w:r>
        <w:rPr>
          <w:rFonts w:ascii="Times New Roman;sans-serif" w:hAnsi="Times New Roman;sans-serif"/>
          <w:b w:val="false"/>
          <w:color w:val="000000"/>
          <w:sz w:val="20"/>
        </w:rPr>
        <w:t xml:space="preserve">The Company recognizes revenue under Accounting Standards Codification Topic 606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(i)Identification of the contract(s) with a customer;</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(ii)Identification of the performance obligations in the contract;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(iii)Determination of the transaction price, including the constraint on variable consideration;</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(iv)Allocation of the transaction price to the performance obligations in the contract;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(v)Recognition of revenue when, or as, performance obligations are satisfied.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(3) monetization and (4) licensing.</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Research and Development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7" name="Frame7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interest and penalties related to uncertain tax positions in income tax expense, if applicable. There has been no interest expense or penalties related to unrecognized tax benefits recorded through December 31, 2022.</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all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by using the Black-Scholes option-pricing model with the following assumptions:</w:t>
      </w:r>
    </w:p>
    <w:p>
      <w:pPr>
        <w:pStyle w:val="TextBody"/>
        <w:spacing w:lineRule="auto" w:line="288" w:before="240" w:after="283"/>
        <w:jc w:val="both"/>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Company estimates volatility for the awards by evaluating the average historical volatility of a peer group of companies for the period immediately preceding the award grant for a term that is approximately equal to the award’s expected term.</w:t>
      </w:r>
    </w:p>
    <w:p>
      <w:pPr>
        <w:pStyle w:val="TextBody"/>
        <w:spacing w:lineRule="auto" w:line="288" w:before="240" w:after="283"/>
        <w:jc w:val="both"/>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 xml:space="preserve">The expected term of the Company’s awards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 </w:t>
      </w:r>
    </w:p>
    <w:p>
      <w:pPr>
        <w:pStyle w:val="TextBody"/>
        <w:spacing w:lineRule="auto" w:line="288" w:before="240" w:after="283"/>
        <w:jc w:val="both"/>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risk-free interest rate is based on the implied yield currently available on U.S. Treasury zero-coupon issues with a term that is equal to the awards' expected term at the grant date.</w:t>
      </w:r>
    </w:p>
    <w:p>
      <w:pPr>
        <w:pStyle w:val="TextBody"/>
        <w:spacing w:lineRule="auto" w:line="288" w:before="240" w:after="283"/>
        <w:jc w:val="both"/>
        <w:rPr/>
      </w:pPr>
      <w:r>
        <w:rPr>
          <w:rFonts w:ascii="Times New Roman;sans-serif" w:hAnsi="Times New Roman;sans-serif"/>
          <w:b w:val="false"/>
          <w:i/>
          <w:color w:val="000000"/>
          <w:sz w:val="20"/>
        </w:rPr>
        <w:t>Expected Dividend Yield</w:t>
      </w:r>
      <w:r>
        <w:rPr>
          <w:color w:val="000000"/>
        </w:rPr>
        <w:t xml:space="preserve"> — </w:t>
      </w:r>
      <w:r>
        <w:rPr>
          <w:rFonts w:ascii="Times New Roman;sans-serif" w:hAnsi="Times New Roman;sans-serif"/>
          <w:b w:val="false"/>
          <w:color w:val="000000"/>
          <w:sz w:val="20"/>
        </w:rPr>
        <w:t>The Company has not declared or paid dividends to date and does not anticipate declaring dividends. As such, expected dividend yield is zero.</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Restricted Stock Units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Measurements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Level 1 — </w:t>
      </w:r>
      <w:r>
        <w:rPr>
          <w:rFonts w:ascii="Times New Roman;sans-serif" w:hAnsi="Times New Roman;sans-serif"/>
          <w:b w:val="false"/>
          <w:color w:val="000000"/>
          <w:sz w:val="20"/>
        </w:rPr>
        <w:t>Inputs are unadjusted quoted prices in active markets for identical assets or liabilities at the measurement date.</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Level 2 — </w:t>
      </w:r>
      <w:r>
        <w:rPr>
          <w:rFonts w:ascii="Times New Roman;sans-serif" w:hAnsi="Times New Roman;sans-serif"/>
          <w:b w:val="false"/>
          <w:color w:val="000000"/>
          <w:sz w:val="20"/>
        </w:rPr>
        <w:t>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Level 3 — </w:t>
      </w:r>
      <w:r>
        <w:rPr>
          <w:rFonts w:ascii="Times New Roman;sans-serif" w:hAnsi="Times New Roman;sans-serif"/>
          <w:b w:val="false"/>
          <w:color w:val="000000"/>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Redeemable Convertible Preferred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Legacy SoundHound Preferred Stock did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shares of Legacy SoundHound Preferred Stock outstanding immediately prior to the effective time of the Business Combination (the “Effective Time”) were converted into 106,949,326 shares of the Company’s Class A Common Stock. See Note 11 for additional information.</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9" name="Frame7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Convertible Notes and Derivative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Net Loss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ESPP shares, RSUs, warrants and convertible notes are considered to be potentially dilutive securities. See Note 16 for further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in periods in which the Company reports a net loss, diluted net loss per share is the same as basic net loss per share, since dilutive common stock is not assumed to have been issued if their effect is anti-dilutive.</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 — Adopted</w:t>
      </w:r>
    </w:p>
    <w:p>
      <w:pPr>
        <w:pStyle w:val="TextBody"/>
        <w:spacing w:lineRule="auto" w:line="288" w:before="240" w:after="283"/>
        <w:jc w:val="both"/>
        <w:rPr/>
      </w:pPr>
      <w:r>
        <w:rPr>
          <w:rFonts w:ascii="Times New Roman;sans-serif" w:hAnsi="Times New Roman;sans-serif"/>
          <w:b w:val="false"/>
          <w:color w:val="000000"/>
          <w:sz w:val="20"/>
        </w:rPr>
        <w:t xml:space="preserve">In February 2016, the FASB issued Accounting Standards Update 2016-02,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an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elected the transition package of three practical expedients which allow companies not to reassess (i) whether agreements contain leases, (ii) the classification of leases, and (iii) 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80" name="Frame7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adoption of the new lease accounting guidance, the Company recognized on January 1, 2021:</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Operating lease liabilities of approximately $11.4 million, which represent the present value of the remaining lease payments, as of the date of adoption, discounted using the Company’s incremental borrowing rate on a lease-by-lease basis,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Operating lease ROU assets of approximately $9.8 million which represent the operating lease liabilities of $11.4 million, adjusted for (1) deferred rent of approximately $0.8 million, (2) lease incentives or tenant improvement allowance of $1.1 million and (3) prepaid rent of $0.3 million.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Company additionally recharacterized its capital leases as finance leases. However, there was no quantitative impact to capital leases upon transitioning to the new standard.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14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1" name="Frame7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the Business Combination and after redemptions, net proceeds received by the Company totaled $90.7 million. The table below shows the total net proceeds from the Business Combination and the PIPE Investment (in thousands):</w:t>
      </w:r>
    </w:p>
    <w:tbl>
      <w:tblPr>
        <w:tblW w:w="6290" w:type="dxa"/>
        <w:jc w:val="left"/>
        <w:tblInd w:w="0" w:type="dxa"/>
        <w:tblCellMar>
          <w:top w:w="28" w:type="dxa"/>
          <w:left w:w="28" w:type="dxa"/>
          <w:bottom w:w="28" w:type="dxa"/>
          <w:right w:w="28" w:type="dxa"/>
        </w:tblCellMar>
      </w:tblPr>
      <w:tblGrid>
        <w:gridCol w:w="1887"/>
        <w:gridCol w:w="1653"/>
        <w:gridCol w:w="1664"/>
        <w:gridCol w:w="211"/>
        <w:gridCol w:w="721"/>
        <w:gridCol w:w="154"/>
      </w:tblGrid>
      <w:tr>
        <w:trPr/>
        <w:tc>
          <w:tcPr>
            <w:tcW w:w="1887"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ATSP trust and cash (net of redemption)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PIPE Investment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transaction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Business Combination and PIPE Investment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consolidated balance sheets. Total transaction expenses were recorded as an offset against proceeds received on the closing of the Business Combination, accounted for as additional paid-in capital.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recorded to additional paid-in-capital was comprised of $86.6 million net proceeds from the PIPE investment and $4.1 million after net redemptions of ATSP shareholders.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issued immediately following the consummation of the Business Combination was as follows:</w:t>
      </w:r>
    </w:p>
    <w:tbl>
      <w:tblPr>
        <w:tblW w:w="10205" w:type="dxa"/>
        <w:jc w:val="left"/>
        <w:tblInd w:w="0" w:type="dxa"/>
        <w:tblCellMar>
          <w:top w:w="28" w:type="dxa"/>
          <w:left w:w="28" w:type="dxa"/>
          <w:bottom w:w="28" w:type="dxa"/>
          <w:right w:w="28" w:type="dxa"/>
        </w:tblCellMar>
      </w:tblPr>
      <w:tblGrid>
        <w:gridCol w:w="3290"/>
        <w:gridCol w:w="2846"/>
        <w:gridCol w:w="2861"/>
        <w:gridCol w:w="379"/>
        <w:gridCol w:w="347"/>
        <w:gridCol w:w="482"/>
      </w:tblGrid>
      <w:tr>
        <w:trPr/>
        <w:tc>
          <w:tcPr>
            <w:tcW w:w="3290" w:type="dxa"/>
            <w:tcBorders/>
            <w:shd w:fill="auto" w:val="clear"/>
            <w:vAlign w:val="center"/>
          </w:tcPr>
          <w:p>
            <w:pPr>
              <w:pStyle w:val="TableContents"/>
              <w:spacing w:before="0" w:after="283"/>
              <w:rPr>
                <w:sz w:val="4"/>
                <w:szCs w:val="4"/>
              </w:rPr>
            </w:pPr>
            <w:r>
              <w:rPr>
                <w:sz w:val="4"/>
                <w:szCs w:val="4"/>
              </w:rPr>
            </w:r>
          </w:p>
        </w:tc>
        <w:tc>
          <w:tcPr>
            <w:tcW w:w="2846"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ind w:left="0" w:right="0" w:hanging="180"/>
              <w:rPr>
                <w:sz w:val="4"/>
                <w:szCs w:val="4"/>
              </w:rPr>
            </w:pPr>
            <w:r>
              <w:rPr>
                <w:sz w:val="4"/>
                <w:szCs w:val="4"/>
              </w:rPr>
            </w:r>
          </w:p>
        </w:tc>
      </w:tr>
      <w:tr>
        <w:trPr/>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conversion of Legacy SoundHound Common Stock and Legacy SoundHound Preferred Stock outstanding prior to Business Combination</w:t>
            </w:r>
          </w:p>
        </w:tc>
        <w:tc>
          <w:tcPr>
            <w:tcW w:w="120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140,114,060</w:t>
            </w:r>
          </w:p>
        </w:tc>
      </w:tr>
      <w:tr>
        <w:trPr/>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 conversion of Legacy SoundHound Common Stock and Legacy SoundHound Preferred Stock outstanding prior to Business Combination</w:t>
            </w:r>
          </w:p>
        </w:tc>
        <w:tc>
          <w:tcPr>
            <w:tcW w:w="12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40,396,600</w:t>
            </w:r>
          </w:p>
        </w:tc>
      </w:tr>
      <w:tr>
        <w:trPr/>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PIPE Investment</w:t>
            </w:r>
          </w:p>
        </w:tc>
        <w:tc>
          <w:tcPr>
            <w:tcW w:w="12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11,300,000</w:t>
            </w:r>
          </w:p>
        </w:tc>
      </w:tr>
      <w:tr>
        <w:trPr/>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issuance to ATSP shareholders</w:t>
            </w:r>
          </w:p>
        </w:tc>
        <w:tc>
          <w:tcPr>
            <w:tcW w:w="12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532,050</w:t>
            </w:r>
          </w:p>
        </w:tc>
      </w:tr>
      <w:tr>
        <w:trPr/>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issuance to Legacy SoundHound founders and representatives</w:t>
            </w:r>
          </w:p>
        </w:tc>
        <w:tc>
          <w:tcPr>
            <w:tcW w:w="12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4,161,000</w:t>
            </w:r>
          </w:p>
        </w:tc>
      </w:tr>
      <w:tr>
        <w:trPr/>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immediately after Business Combination</w:t>
            </w:r>
          </w:p>
        </w:tc>
        <w:tc>
          <w:tcPr>
            <w:tcW w:w="12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196,503,710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82" name="Frame7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Revenue Recognition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primarily from the following performance obligations: (1) hosted services, (2) professional services, (3) monetization and (4) licensing. Revenue is reported net of applicable sales and use taxes that are passed through to customers.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performance obligations in contracts with customers: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Hosted Services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where the Company concluded that the up-front services are not distinct performance obligations, revenue for these activities is recognized over the period which the hosted services are provided and is included within hosted services revenue.</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Professional Services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83" name="Frame7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2022, $2.2 million of professional service revenue was recognized over time, with the remaining $2.0 million recognized at a point in time when the performance obligation was fulfilled and control of the service was transferred to the customer. During the year ended December 31, 2021, $2.4 million of professional service revenue was recognized over time, with the remaining $4.7 million recognized at a point in time when the performance obligation was fulfilled and control of the service was transferred to the customer.</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Monetization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Licensing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of developing and supplying each performance obligation;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Industry standards;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Major product groupings;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Gross margin objectives and pricing practices, such as contractually stated prices, discounts offered, and applicable price lists.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84" name="Frame7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2021, revenue under each performance obligation was as follows (in thousands):</w:t>
      </w:r>
    </w:p>
    <w:tbl>
      <w:tblPr>
        <w:tblW w:w="4253" w:type="dxa"/>
        <w:jc w:val="left"/>
        <w:tblInd w:w="0" w:type="dxa"/>
        <w:tblCellMar>
          <w:top w:w="28" w:type="dxa"/>
          <w:left w:w="28" w:type="dxa"/>
          <w:bottom w:w="28" w:type="dxa"/>
          <w:right w:w="28" w:type="dxa"/>
        </w:tblCellMar>
      </w:tblPr>
      <w:tblGrid>
        <w:gridCol w:w="651"/>
        <w:gridCol w:w="573"/>
        <w:gridCol w:w="575"/>
        <w:gridCol w:w="211"/>
        <w:gridCol w:w="721"/>
        <w:gridCol w:w="109"/>
        <w:gridCol w:w="109"/>
        <w:gridCol w:w="109"/>
        <w:gridCol w:w="109"/>
        <w:gridCol w:w="211"/>
        <w:gridCol w:w="721"/>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Hosted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2021, the disaggregated revenue by geographic location was as follows (in thousands):</w:t>
      </w:r>
    </w:p>
    <w:tbl>
      <w:tblPr>
        <w:tblW w:w="3653" w:type="dxa"/>
        <w:jc w:val="left"/>
        <w:tblInd w:w="0" w:type="dxa"/>
        <w:tblCellMar>
          <w:top w:w="28" w:type="dxa"/>
          <w:left w:w="28" w:type="dxa"/>
          <w:bottom w:w="28" w:type="dxa"/>
          <w:right w:w="28" w:type="dxa"/>
        </w:tblCellMar>
      </w:tblPr>
      <w:tblGrid>
        <w:gridCol w:w="433"/>
        <w:gridCol w:w="381"/>
        <w:gridCol w:w="385"/>
        <w:gridCol w:w="211"/>
        <w:gridCol w:w="721"/>
        <w:gridCol w:w="109"/>
        <w:gridCol w:w="109"/>
        <w:gridCol w:w="109"/>
        <w:gridCol w:w="109"/>
        <w:gridCol w:w="211"/>
        <w:gridCol w:w="721"/>
        <w:gridCol w:w="154"/>
      </w:tblGrid>
      <w:tr>
        <w:trPr/>
        <w:tc>
          <w:tcPr>
            <w:tcW w:w="43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2021, the disaggregated revenue by recognition pattern was as follows (in thousands):</w:t>
      </w:r>
    </w:p>
    <w:tbl>
      <w:tblPr>
        <w:tblW w:w="3655" w:type="dxa"/>
        <w:jc w:val="left"/>
        <w:tblInd w:w="0" w:type="dxa"/>
        <w:tblCellMar>
          <w:top w:w="28" w:type="dxa"/>
          <w:left w:w="28" w:type="dxa"/>
          <w:bottom w:w="28" w:type="dxa"/>
          <w:right w:w="28" w:type="dxa"/>
        </w:tblCellMar>
      </w:tblPr>
      <w:tblGrid>
        <w:gridCol w:w="434"/>
        <w:gridCol w:w="380"/>
        <w:gridCol w:w="387"/>
        <w:gridCol w:w="211"/>
        <w:gridCol w:w="721"/>
        <w:gridCol w:w="109"/>
        <w:gridCol w:w="109"/>
        <w:gridCol w:w="109"/>
        <w:gridCol w:w="109"/>
        <w:gridCol w:w="211"/>
        <w:gridCol w:w="721"/>
        <w:gridCol w:w="154"/>
      </w:tblGrid>
      <w:tr>
        <w:trPr/>
        <w:tc>
          <w:tcPr>
            <w:tcW w:w="434"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85" name="Frame7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user ad impression revenue. For the years ended December 31, 2022 and 2021, the disaggregated revenue by service type was as follows (in thousands):</w:t>
      </w:r>
    </w:p>
    <w:tbl>
      <w:tblPr>
        <w:tblW w:w="4298" w:type="dxa"/>
        <w:jc w:val="left"/>
        <w:tblInd w:w="0" w:type="dxa"/>
        <w:tblCellMar>
          <w:top w:w="28" w:type="dxa"/>
          <w:left w:w="28" w:type="dxa"/>
          <w:bottom w:w="28" w:type="dxa"/>
          <w:right w:w="28" w:type="dxa"/>
        </w:tblCellMar>
      </w:tblPr>
      <w:tblGrid>
        <w:gridCol w:w="668"/>
        <w:gridCol w:w="587"/>
        <w:gridCol w:w="589"/>
        <w:gridCol w:w="211"/>
        <w:gridCol w:w="721"/>
        <w:gridCol w:w="109"/>
        <w:gridCol w:w="109"/>
        <w:gridCol w:w="109"/>
        <w:gridCol w:w="109"/>
        <w:gridCol w:w="211"/>
        <w:gridCol w:w="721"/>
        <w:gridCol w:w="154"/>
      </w:tblGrid>
      <w:tr>
        <w:trPr/>
        <w:tc>
          <w:tcPr>
            <w:tcW w:w="66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subscriptions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Contract Balances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year ended December 31, 2022, we recognized $7.6 million of licensing revenue from our Houndify Edge solution, which we delivered to a customer during the second half of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consolidated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included in the deferred revenue balance at the beginning of the reporting period for the years ended December 31, 2022 and 2021 was $6.4 million and $14.9 million, respectively. As of December 31, 2022, the aggregate amount of the transaction price allocated to the remaining performance obligations related to customer contracts that were unsatisfied or partially unsatisfied was $20.7 million. Given the applicable contract terms, $8.1 million is expected to be recognized as revenue within one year, $9.3 million is expected to be recognized between two to five years and the remainder of $3.3 million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86" name="Frame8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002" w:type="dxa"/>
        <w:jc w:val="left"/>
        <w:tblInd w:w="0" w:type="dxa"/>
        <w:tblCellMar>
          <w:top w:w="28" w:type="dxa"/>
          <w:left w:w="28" w:type="dxa"/>
          <w:bottom w:w="28" w:type="dxa"/>
          <w:right w:w="28" w:type="dxa"/>
        </w:tblCellMar>
      </w:tblPr>
      <w:tblGrid>
        <w:gridCol w:w="1489"/>
        <w:gridCol w:w="1305"/>
        <w:gridCol w:w="1316"/>
        <w:gridCol w:w="255"/>
        <w:gridCol w:w="873"/>
        <w:gridCol w:w="132"/>
        <w:gridCol w:w="109"/>
        <w:gridCol w:w="109"/>
        <w:gridCol w:w="109"/>
        <w:gridCol w:w="253"/>
        <w:gridCol w:w="867"/>
        <w:gridCol w:w="185"/>
      </w:tblGrid>
      <w:tr>
        <w:trPr/>
        <w:tc>
          <w:tcPr>
            <w:tcW w:w="1489"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voice recordings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at cost</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(31,530)</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(27,399)</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includes assets under finance lease obligations (see Note 14 for additional information) with an aggregate cost of approximately $0.6 million and $16.6 million and accumulated depreciation of approximately $0.3 million and $13.9 million as of December 31, 2022 and 2021, respectively. Depreciation and amortization expense totaled approximately $4.0 million and $5.5 million for the years ended December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652" w:type="dxa"/>
        <w:jc w:val="left"/>
        <w:tblInd w:w="0" w:type="dxa"/>
        <w:tblCellMar>
          <w:top w:w="28" w:type="dxa"/>
          <w:left w:w="28" w:type="dxa"/>
          <w:bottom w:w="28" w:type="dxa"/>
          <w:right w:w="28" w:type="dxa"/>
        </w:tblCellMar>
      </w:tblPr>
      <w:tblGrid>
        <w:gridCol w:w="1000"/>
        <w:gridCol w:w="878"/>
        <w:gridCol w:w="882"/>
        <w:gridCol w:w="283"/>
        <w:gridCol w:w="829"/>
        <w:gridCol w:w="148"/>
        <w:gridCol w:w="109"/>
        <w:gridCol w:w="109"/>
        <w:gridCol w:w="109"/>
        <w:gridCol w:w="280"/>
        <w:gridCol w:w="819"/>
        <w:gridCol w:w="206"/>
      </w:tblGrid>
      <w:tr>
        <w:trPr/>
        <w:tc>
          <w:tcPr>
            <w:tcW w:w="1000"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expenses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payables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Contracts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87" name="Frame8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non-cancelable future minimum payments were as follows as of December 31, 2022 (in thousands):</w:t>
      </w:r>
    </w:p>
    <w:tbl>
      <w:tblPr>
        <w:tblW w:w="2032" w:type="dxa"/>
        <w:jc w:val="left"/>
        <w:tblInd w:w="0" w:type="dxa"/>
        <w:tblCellMar>
          <w:top w:w="28" w:type="dxa"/>
          <w:left w:w="28" w:type="dxa"/>
          <w:bottom w:w="28" w:type="dxa"/>
          <w:right w:w="28" w:type="dxa"/>
        </w:tblCellMar>
      </w:tblPr>
      <w:tblGrid>
        <w:gridCol w:w="342"/>
        <w:gridCol w:w="300"/>
        <w:gridCol w:w="304"/>
        <w:gridCol w:w="211"/>
        <w:gridCol w:w="721"/>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Legal Proceedings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Other Matters</w:t>
      </w:r>
    </w:p>
    <w:p>
      <w:pPr>
        <w:pStyle w:val="TextBody"/>
        <w:spacing w:lineRule="auto" w:line="288" w:before="240" w:after="283"/>
        <w:jc w:val="both"/>
        <w:rPr/>
      </w:pPr>
      <w:r>
        <w:rPr>
          <w:rFonts w:ascii="Times New Roman;sans-serif" w:hAnsi="Times New Roman;sans-serif"/>
          <w:b w:val="false"/>
          <w:color w:val="000000"/>
          <w:sz w:val="20"/>
        </w:rPr>
        <w:t xml:space="preserve">The Company has not historically collected U.S. state or local sales and use tax, or other similar taxes, in any jurisdiction. On June 21, 2018, the U.S. Supreme Court decided, in </w:t>
      </w:r>
      <w:r>
        <w:rPr>
          <w:rFonts w:ascii="Times New Roman;sans-serif" w:hAnsi="Times New Roman;sans-serif"/>
          <w:b w:val="false"/>
          <w:i/>
          <w:color w:val="000000"/>
          <w:sz w:val="20"/>
        </w:rPr>
        <w:t>South Dakota v. Wayfair, Inc.</w:t>
      </w:r>
      <w:r>
        <w:rPr>
          <w:rFonts w:ascii="Times New Roman;sans-serif" w:hAnsi="Times New Roman;sans-serif"/>
          <w:b w:val="false"/>
          <w:color w:val="000000"/>
          <w:sz w:val="20"/>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8.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Series C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Warrants Related to Convertible Notes and Note Payable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warrants initially at fair value as paid-in-capital on the consolidated balance sheets based on the allocation of its relative fair value of the debt proceeds. See Note 10 for additional information on the fair value calculation. The fair value in relation to the SVB March 2021 Note was allocated to the notes as a discount. The fair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88" name="Frame8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all outstanding warrants issued in connection to the SVB March 2021 Note and the SCI June 2021 Note were fully net exercised by their respective lenders, leading to a net issuance of 673,416 shares of Class A Common Stock.</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Warrants Related to the Business Combination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closing of the Business Combination, the Company’s Public Warrants continue to be classified as equity instruments, as they are indexed to the Company’s stock. As of December 31, 2022, there were 3,457,996 Public Warrants issued and outstanding.</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Private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instruments, as they are indexed to the Company’s stock. As of December 31, 2022, there were 208,000 Private Warrants issued and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9.    CONVERTIBLE NOTES AND NOTE PAYABLE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SNAP June 2020 Note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89" name="Frame8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upon a change of control event, the Company shall settle the SNAP June 2020 Note in cash, pursuant to the following terms (“Redemption Feature”):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200% of the then outstanding principal amount of the respective note plus any unpaid accrued interest on the original principal of such note;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consolidated balance sheet. The Redemption Feature of the SNAP June 2020 Note does not meet the definition of a derivative. Therefore, the Redemption Feature is not bifurcated.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year ended December 31, 2022, out of which $0.4 relates to amortization of the debt discount. The Company recognized total interest expense of $2.0 million associated with the SNAP June 2020 Note for the year ended December 31, 2021, out of which $1.3 million relates to amortization of the debt discount. The debt discount related to the SNAP June 2020 Note is amortized over the life of the instrument, beginning at note issuance and ending on April 26, 2022, the date on which the note was converted.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2,046,827 shares of Class A Common Stock. In addition, the remaining debt discount of $0.2 million and related derivative liability with fair value of $4.1 million as of the Closing Date were extinguished.</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90" name="Frame8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unamortized debt discount, fair value of conversion feature, and accrued interest as of April 26, 2022 and December 31, 2021 (in thousands).</w:t>
      </w:r>
    </w:p>
    <w:tbl>
      <w:tblPr>
        <w:tblW w:w="5253" w:type="dxa"/>
        <w:jc w:val="left"/>
        <w:tblInd w:w="0" w:type="dxa"/>
        <w:tblCellMar>
          <w:top w:w="28" w:type="dxa"/>
          <w:left w:w="28" w:type="dxa"/>
          <w:bottom w:w="28" w:type="dxa"/>
          <w:right w:w="28" w:type="dxa"/>
        </w:tblCellMar>
      </w:tblPr>
      <w:tblGrid>
        <w:gridCol w:w="973"/>
        <w:gridCol w:w="855"/>
        <w:gridCol w:w="857"/>
        <w:gridCol w:w="211"/>
        <w:gridCol w:w="616"/>
        <w:gridCol w:w="109"/>
        <w:gridCol w:w="109"/>
        <w:gridCol w:w="109"/>
        <w:gridCol w:w="109"/>
        <w:gridCol w:w="280"/>
        <w:gridCol w:w="819"/>
        <w:gridCol w:w="206"/>
      </w:tblGrid>
      <w:tr>
        <w:trPr/>
        <w:tc>
          <w:tcPr>
            <w:tcW w:w="97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26,</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conversion feature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is included in accrued liabilities on the consolidated balance sheets to reflect the classification of the SNAP June 2020 Note as short-term in nature on December 31,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SVB March 2021 Note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bears interest at an annual rate equal to the greater of 9.00% or 5.75% above the Prime Rate. As of December 31, 2022, the interest rate was 13.25%. Payments were interest-only for the first twelve months and are now principal and interest through maturity. The Company recorded stated interest expense in the consolidated statements of operations and comprehensive loss for the years ended December 31, 2022 and 2021 of $2.8 million and $4.5 million, respectively, of which $0.2 million remained unpaid as accrued interest at December 31, 2022 and 2021. The total amount of debt discount at issuance was $3.5 million. During the years ended December 31, 2022 and 2021, the Company recorded $1.0 million and $2.4 million in interest expense related to the debt discounts, respectively.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 As a result of the Business Combination, the SNAP June 2020 Note converted on the Closing Date and the performance milestone was met, satisfying the requirements to extend the maturity date to September 1, 2024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SCI June 2021 Note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bears interest at an annual rate equal to the greater of 9.00% or 5.75% above the Prime Rate. As of December 31, 2022, the interest rate was 13.25%. Payments were interest-only for the first twelve months and are now principal and interest through maturity. The Company incurred and paid $1.5 million and $0.3 million in stated interest in the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9085"/>
                <wp:effectExtent l="0" t="0" r="0" b="0"/>
                <wp:wrapNone/>
                <wp:docPr id="91" name="Frame8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loss for the years ended December 31, 2022 and 2021,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warrants and discounts of $2.2 million are directly attributable to the total commitment of $15.0 million, the Company has presented its unamortized debt issuance cost associated with this note as a current asset, recorded as debt issuance cost on the consolidated balance sheets. The Company is amortizing the cost on a straight-line basis from the issuance date through the maturity date of May 31, 2025. The Company recorded $0.8 million and $1.0 million in interest expense related to the debt discounts during the years ended December 31, 2022 and 2021,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Additionally, as the Company and its Agent did not mutually consent to the equity conversion that could have been triggered by the Business Combination, the conversion feature no longer existed subsequent to the Closing Date. As of December 31, 2022, the SCI June 2021 Note was classified as a note payable.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tables summarize the Company’s debt balances (in thousands):</w:t>
      </w:r>
    </w:p>
    <w:tbl>
      <w:tblPr>
        <w:tblW w:w="9014" w:type="dxa"/>
        <w:jc w:val="left"/>
        <w:tblInd w:w="0" w:type="dxa"/>
        <w:tblCellMar>
          <w:top w:w="28" w:type="dxa"/>
          <w:left w:w="28" w:type="dxa"/>
          <w:bottom w:w="28" w:type="dxa"/>
          <w:right w:w="28" w:type="dxa"/>
        </w:tblCellMar>
      </w:tblPr>
      <w:tblGrid>
        <w:gridCol w:w="1566"/>
        <w:gridCol w:w="1374"/>
        <w:gridCol w:w="1380"/>
        <w:gridCol w:w="240"/>
        <w:gridCol w:w="821"/>
        <w:gridCol w:w="124"/>
        <w:gridCol w:w="109"/>
        <w:gridCol w:w="109"/>
        <w:gridCol w:w="109"/>
        <w:gridCol w:w="358"/>
        <w:gridCol w:w="1226"/>
        <w:gridCol w:w="185"/>
        <w:gridCol w:w="109"/>
        <w:gridCol w:w="109"/>
        <w:gridCol w:w="109"/>
        <w:gridCol w:w="211"/>
        <w:gridCol w:w="721"/>
        <w:gridCol w:w="154"/>
      </w:tblGrid>
      <w:tr>
        <w:trPr/>
        <w:tc>
          <w:tcPr>
            <w:tcW w:w="1566"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SVB </w:t>
              <w:br/>
              <w:t xml:space="preserve">March 2021 </w:t>
              <w:b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SCI June 2021 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current portion</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 of current portion</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loan discount</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 recorded as an asset</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275" w:type="dxa"/>
        <w:jc w:val="left"/>
        <w:tblInd w:w="0" w:type="dxa"/>
        <w:tblCellMar>
          <w:top w:w="28" w:type="dxa"/>
          <w:left w:w="28" w:type="dxa"/>
          <w:bottom w:w="28" w:type="dxa"/>
          <w:right w:w="28" w:type="dxa"/>
        </w:tblCellMar>
      </w:tblPr>
      <w:tblGrid>
        <w:gridCol w:w="908"/>
        <w:gridCol w:w="797"/>
        <w:gridCol w:w="800"/>
        <w:gridCol w:w="344"/>
        <w:gridCol w:w="1175"/>
        <w:gridCol w:w="251"/>
      </w:tblGrid>
      <w:tr>
        <w:trPr/>
        <w:tc>
          <w:tcPr>
            <w:tcW w:w="90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SVB March 2021</w:t>
              <w:br/>
              <w:t>Note</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 current portion</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loan discount</w:t>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9085"/>
                <wp:effectExtent l="0" t="0" r="0" b="0"/>
                <wp:wrapNone/>
                <wp:docPr id="92" name="Frame8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9778" w:type="dxa"/>
        <w:jc w:val="left"/>
        <w:tblInd w:w="0" w:type="dxa"/>
        <w:tblCellMar>
          <w:top w:w="28" w:type="dxa"/>
          <w:left w:w="28" w:type="dxa"/>
          <w:bottom w:w="28" w:type="dxa"/>
          <w:right w:w="28" w:type="dxa"/>
        </w:tblCellMar>
      </w:tblPr>
      <w:tblGrid>
        <w:gridCol w:w="1564"/>
        <w:gridCol w:w="1375"/>
        <w:gridCol w:w="1380"/>
        <w:gridCol w:w="395"/>
        <w:gridCol w:w="1351"/>
        <w:gridCol w:w="204"/>
        <w:gridCol w:w="109"/>
        <w:gridCol w:w="109"/>
        <w:gridCol w:w="109"/>
        <w:gridCol w:w="358"/>
        <w:gridCol w:w="1226"/>
        <w:gridCol w:w="185"/>
        <w:gridCol w:w="109"/>
        <w:gridCol w:w="109"/>
        <w:gridCol w:w="109"/>
        <w:gridCol w:w="211"/>
        <w:gridCol w:w="721"/>
        <w:gridCol w:w="154"/>
      </w:tblGrid>
      <w:tr>
        <w:trPr/>
        <w:tc>
          <w:tcPr>
            <w:tcW w:w="1564"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SNAP June 2020 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SCI June 2021 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current portion</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loan discount</w:t>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 recorded as an asset</w:t>
            </w:r>
          </w:p>
        </w:tc>
        <w:tc>
          <w:tcPr>
            <w:tcW w:w="3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of the Company’s financial instruments that are measured or disclosed at fair value on a recurring basis (in thousands):</w:t>
      </w:r>
    </w:p>
    <w:tbl>
      <w:tblPr>
        <w:tblW w:w="5059" w:type="dxa"/>
        <w:jc w:val="left"/>
        <w:tblInd w:w="0" w:type="dxa"/>
        <w:tblCellMar>
          <w:top w:w="28" w:type="dxa"/>
          <w:left w:w="28" w:type="dxa"/>
          <w:bottom w:w="28" w:type="dxa"/>
          <w:right w:w="28" w:type="dxa"/>
        </w:tblCellMar>
      </w:tblPr>
      <w:tblGrid>
        <w:gridCol w:w="606"/>
        <w:gridCol w:w="534"/>
        <w:gridCol w:w="539"/>
        <w:gridCol w:w="211"/>
        <w:gridCol w:w="616"/>
        <w:gridCol w:w="109"/>
        <w:gridCol w:w="109"/>
        <w:gridCol w:w="109"/>
        <w:gridCol w:w="109"/>
        <w:gridCol w:w="213"/>
        <w:gridCol w:w="411"/>
        <w:gridCol w:w="110"/>
        <w:gridCol w:w="109"/>
        <w:gridCol w:w="109"/>
        <w:gridCol w:w="109"/>
        <w:gridCol w:w="211"/>
        <w:gridCol w:w="691"/>
        <w:gridCol w:w="154"/>
      </w:tblGrid>
      <w:tr>
        <w:trPr/>
        <w:tc>
          <w:tcPr>
            <w:tcW w:w="60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w:t>
              <w:br/>
              <w:t>December 31, 2021</w:t>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Level 3 </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financial instruments measured or disclosed at fair value on a recurring basis as of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derivative liabilities were determined based on significant inputs not observable in the market, which represent Level 3 measurements within the fair value hierarchy.</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Series C Warrants (April 2013 and November 2013)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Series C Warrants were fully exercised. Immediately prior to their exercise, the Company revalued the warrants to their intrinsic value, resulting in a change in fair value of $3.8 million. This change in fair value was recorded as a component of other expense, net, in the accompanying consolidated statements of operations and comprehensive loss. The warrants were recorded as Series C Preferred Stock at their fair value of $5.8 million upon net share settlement.</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Common Stock Warrants (SVB March 2021 Note and SCI June 2021 Note)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9085"/>
                <wp:effectExtent l="0" t="0" r="0" b="0"/>
                <wp:wrapNone/>
                <wp:docPr id="93" name="Frame8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SVB March 2021 Note and SCI June 2021 Note common stock warrants at issuance using the Black-Scholes option-pricing model using the following assumptions:</w:t>
      </w:r>
    </w:p>
    <w:tbl>
      <w:tblPr>
        <w:tblW w:w="4951" w:type="dxa"/>
        <w:jc w:val="left"/>
        <w:tblInd w:w="0" w:type="dxa"/>
        <w:tblCellMar>
          <w:top w:w="28" w:type="dxa"/>
          <w:left w:w="28" w:type="dxa"/>
          <w:bottom w:w="28" w:type="dxa"/>
          <w:right w:w="28" w:type="dxa"/>
        </w:tblCellMar>
      </w:tblPr>
      <w:tblGrid>
        <w:gridCol w:w="1492"/>
        <w:gridCol w:w="1314"/>
        <w:gridCol w:w="1318"/>
        <w:gridCol w:w="255"/>
        <w:gridCol w:w="256"/>
        <w:gridCol w:w="316"/>
      </w:tblGrid>
      <w:tr>
        <w:trPr/>
        <w:tc>
          <w:tcPr>
            <w:tcW w:w="1492"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SVB March 2021 Note Common Stock Warrants</w:t>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tbl>
      <w:tblPr>
        <w:tblW w:w="4741" w:type="dxa"/>
        <w:jc w:val="left"/>
        <w:tblInd w:w="0" w:type="dxa"/>
        <w:tblCellMar>
          <w:top w:w="28" w:type="dxa"/>
          <w:left w:w="28" w:type="dxa"/>
          <w:bottom w:w="28" w:type="dxa"/>
          <w:right w:w="28" w:type="dxa"/>
        </w:tblCellMar>
      </w:tblPr>
      <w:tblGrid>
        <w:gridCol w:w="1416"/>
        <w:gridCol w:w="1247"/>
        <w:gridCol w:w="1251"/>
        <w:gridCol w:w="255"/>
        <w:gridCol w:w="256"/>
        <w:gridCol w:w="316"/>
      </w:tblGrid>
      <w:tr>
        <w:trPr/>
        <w:tc>
          <w:tcPr>
            <w:tcW w:w="1416"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SCI June 2021 Note Common Stock Warrants</w:t>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Business Combination, all outstanding warrants associated with the SVB March 2021 Note and SCI June 2021 Note were exercised, leading to a net issuance of 673,416 shares of Class A Common Stock.</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Derivative Liability (SNAP June 2020 Note)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tbl>
      <w:tblPr>
        <w:tblW w:w="4454" w:type="dxa"/>
        <w:jc w:val="left"/>
        <w:tblInd w:w="0" w:type="dxa"/>
        <w:tblCellMar>
          <w:top w:w="28" w:type="dxa"/>
          <w:left w:w="28" w:type="dxa"/>
          <w:bottom w:w="28" w:type="dxa"/>
          <w:right w:w="28" w:type="dxa"/>
        </w:tblCellMar>
      </w:tblPr>
      <w:tblGrid>
        <w:gridCol w:w="1140"/>
        <w:gridCol w:w="1003"/>
        <w:gridCol w:w="1006"/>
        <w:gridCol w:w="266"/>
        <w:gridCol w:w="266"/>
        <w:gridCol w:w="773"/>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Probability of Next Equity Financing</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Probability of SPAC/PIPE</w:t>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Probability of IPO</w:t>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term (years)</w:t>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expense, net on the consolidated statements of operations and comprehensive loss. The fair value of the embedded derivative was recorded as additional paid-in capital upon extinguishment on the consolidated balance sheet.</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9085"/>
                <wp:effectExtent l="0" t="0" r="0" b="0"/>
                <wp:wrapNone/>
                <wp:docPr id="94" name="Frame8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remeasurement of the embedded derivative for the years ended December 31, 2022 and 2021 (in thousands):</w:t>
      </w:r>
    </w:p>
    <w:tbl>
      <w:tblPr>
        <w:tblW w:w="6026" w:type="dxa"/>
        <w:jc w:val="left"/>
        <w:tblInd w:w="0" w:type="dxa"/>
        <w:tblCellMar>
          <w:top w:w="28" w:type="dxa"/>
          <w:left w:w="28" w:type="dxa"/>
          <w:bottom w:w="28" w:type="dxa"/>
          <w:right w:w="28" w:type="dxa"/>
        </w:tblCellMar>
      </w:tblPr>
      <w:tblGrid>
        <w:gridCol w:w="1331"/>
        <w:gridCol w:w="1169"/>
        <w:gridCol w:w="1174"/>
        <w:gridCol w:w="221"/>
        <w:gridCol w:w="568"/>
        <w:gridCol w:w="114"/>
        <w:gridCol w:w="114"/>
        <w:gridCol w:w="114"/>
        <w:gridCol w:w="114"/>
        <w:gridCol w:w="221"/>
        <w:gridCol w:w="725"/>
        <w:gridCol w:w="161"/>
      </w:tblGrid>
      <w:tr>
        <w:trPr/>
        <w:tc>
          <w:tcPr>
            <w:tcW w:w="1331"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conversion feature –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changes in fair value of the Company’s derivative liability and warrant liability for which fair value was determined by Level 3 inputs:</w:t>
      </w:r>
    </w:p>
    <w:tbl>
      <w:tblPr>
        <w:tblW w:w="8703" w:type="dxa"/>
        <w:jc w:val="left"/>
        <w:tblInd w:w="0" w:type="dxa"/>
        <w:tblCellMar>
          <w:top w:w="28" w:type="dxa"/>
          <w:left w:w="28" w:type="dxa"/>
          <w:bottom w:w="28" w:type="dxa"/>
          <w:right w:w="28" w:type="dxa"/>
        </w:tblCellMar>
      </w:tblPr>
      <w:tblGrid>
        <w:gridCol w:w="2314"/>
        <w:gridCol w:w="2031"/>
        <w:gridCol w:w="2044"/>
        <w:gridCol w:w="226"/>
        <w:gridCol w:w="662"/>
        <w:gridCol w:w="118"/>
        <w:gridCol w:w="109"/>
        <w:gridCol w:w="109"/>
        <w:gridCol w:w="109"/>
        <w:gridCol w:w="211"/>
        <w:gridCol w:w="616"/>
        <w:gridCol w:w="154"/>
      </w:tblGrid>
      <w:tr>
        <w:trPr/>
        <w:tc>
          <w:tcPr>
            <w:tcW w:w="2314"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w:t>
              <w:br/>
              <w:t>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w:t>
              <w:br/>
              <w:t>Liability</w:t>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embedded derivative upon conversion of convertible note</w:t>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instruments between the three levels of the fair value hierarchy during the years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11.    PREFERRED STOCK</w:t>
      </w:r>
    </w:p>
    <w:p>
      <w:pPr>
        <w:pStyle w:val="TextBody"/>
        <w:spacing w:lineRule="auto" w:line="288" w:before="240" w:after="283"/>
        <w:jc w:val="both"/>
        <w:rPr/>
      </w:pPr>
      <w:r>
        <w:rPr>
          <w:rFonts w:ascii="Times New Roman;sans-serif" w:hAnsi="Times New Roman;sans-serif"/>
          <w:b w:val="false"/>
          <w:color w:val="000000"/>
          <w:sz w:val="20"/>
        </w:rPr>
        <w:t>A summary of the Legacy SoundHound Preferred Stock authorized, issued and outstanding as of the date of the Business Combination is as follows</w:t>
      </w:r>
      <w:r>
        <w:rPr>
          <w:rFonts w:ascii="Times New Roman;sans-serif" w:hAnsi="Times New Roman;sans-serif"/>
          <w:b w:val="false"/>
          <w:i/>
          <w:color w:val="000000"/>
          <w:sz w:val="20"/>
        </w:rPr>
        <w:t>:</w:t>
      </w:r>
    </w:p>
    <w:tbl>
      <w:tblPr>
        <w:tblW w:w="8524" w:type="dxa"/>
        <w:jc w:val="left"/>
        <w:tblInd w:w="0" w:type="dxa"/>
        <w:tblCellMar>
          <w:top w:w="28" w:type="dxa"/>
          <w:left w:w="28" w:type="dxa"/>
          <w:bottom w:w="28" w:type="dxa"/>
          <w:right w:w="28" w:type="dxa"/>
        </w:tblCellMar>
      </w:tblPr>
      <w:tblGrid>
        <w:gridCol w:w="390"/>
        <w:gridCol w:w="344"/>
        <w:gridCol w:w="346"/>
        <w:gridCol w:w="554"/>
        <w:gridCol w:w="554"/>
        <w:gridCol w:w="556"/>
        <w:gridCol w:w="109"/>
        <w:gridCol w:w="109"/>
        <w:gridCol w:w="109"/>
        <w:gridCol w:w="414"/>
        <w:gridCol w:w="414"/>
        <w:gridCol w:w="416"/>
        <w:gridCol w:w="109"/>
        <w:gridCol w:w="109"/>
        <w:gridCol w:w="109"/>
        <w:gridCol w:w="337"/>
        <w:gridCol w:w="1559"/>
        <w:gridCol w:w="174"/>
        <w:gridCol w:w="109"/>
        <w:gridCol w:w="109"/>
        <w:gridCol w:w="109"/>
        <w:gridCol w:w="263"/>
        <w:gridCol w:w="1030"/>
        <w:gridCol w:w="192"/>
      </w:tblGrid>
      <w:tr>
        <w:trPr/>
        <w:tc>
          <w:tcPr>
            <w:tcW w:w="39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Liquidation Preference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19,106,048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19,106,048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33,702,134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33,702,134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w:t>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5,687,525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5,687,525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C-1</w:t>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4,436,090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4,436,090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w:t>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20,258,299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20,258,299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527,992 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D-1</w:t>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49,957 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D-2</w:t>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D-3</w:t>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6,922,165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6,922,165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50,046 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D-3A</w:t>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20,835,869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127,785,195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106,949,326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1,582,562 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279,503 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Business Combination, the outstanding shares of Series A, B, C, C-1, D, D-1, D-2, and D-3 preferred stock were converted into 106,949,326 shares of SoundHound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9085"/>
                <wp:effectExtent l="0" t="0" r="0" b="0"/>
                <wp:wrapNone/>
                <wp:docPr id="95" name="Frame8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12.    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250,030,433 shares of Legacy SoundHound common stock authorized for issuance prior to the closing of the Business Combination.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13.    STOCK INCENTIVE PLANS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9085"/>
                <wp:effectExtent l="0" t="0" r="0" b="0"/>
                <wp:wrapNone/>
                <wp:docPr id="96" name="Frame9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December 31, 2022, the Company had 1,933,867 awards remaining for issuance under the 2022 Incentive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December 31, 2022, we had not yet issued any shares pursuant to the ESPP.</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Option Activity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 activity under the Plans was as follows for the years ended December 31, 2022 and 2021:</w:t>
      </w:r>
    </w:p>
    <w:tbl>
      <w:tblPr>
        <w:tblW w:w="10205" w:type="dxa"/>
        <w:jc w:val="left"/>
        <w:tblInd w:w="0" w:type="dxa"/>
        <w:tblCellMar>
          <w:top w:w="28" w:type="dxa"/>
          <w:left w:w="28" w:type="dxa"/>
          <w:bottom w:w="28" w:type="dxa"/>
          <w:right w:w="28" w:type="dxa"/>
        </w:tblCellMar>
      </w:tblPr>
      <w:tblGrid>
        <w:gridCol w:w="657"/>
        <w:gridCol w:w="578"/>
        <w:gridCol w:w="579"/>
        <w:gridCol w:w="109"/>
        <w:gridCol w:w="109"/>
        <w:gridCol w:w="109"/>
        <w:gridCol w:w="518"/>
        <w:gridCol w:w="374"/>
        <w:gridCol w:w="375"/>
        <w:gridCol w:w="109"/>
        <w:gridCol w:w="109"/>
        <w:gridCol w:w="109"/>
        <w:gridCol w:w="437"/>
        <w:gridCol w:w="1062"/>
        <w:gridCol w:w="228"/>
        <w:gridCol w:w="109"/>
        <w:gridCol w:w="109"/>
        <w:gridCol w:w="109"/>
        <w:gridCol w:w="661"/>
        <w:gridCol w:w="661"/>
        <w:gridCol w:w="663"/>
        <w:gridCol w:w="109"/>
        <w:gridCol w:w="109"/>
        <w:gridCol w:w="109"/>
        <w:gridCol w:w="407"/>
        <w:gridCol w:w="1393"/>
        <w:gridCol w:w="304"/>
      </w:tblGrid>
      <w:tr>
        <w:trPr/>
        <w:tc>
          <w:tcPr>
            <w:tcW w:w="65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(in Thousands)</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28,772,180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6,303,953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(2,590,780)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30,361,405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(3,595,706)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22,534 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(1,736,893)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18,952,826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Options exercised early are subject to the vesting provisions mentioned above, and any unvested shares are subject to repurchase at the original price upon termination of employment, death, or disability. There were no option exercises during the year ended December 31, 2022 and 2021 that were subject to repurchase.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grant date fair value per option granted was $3.11 and $3.06, during the years ended December 31, 2022 and 2021, respectively. The total fair value of options vested was approximately $9.9 million and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99085"/>
                <wp:effectExtent l="0" t="0" r="0" b="0"/>
                <wp:wrapNone/>
                <wp:docPr id="97" name="Frame9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 million, during the years ended December 31, 2022 and 2021, respectively. As of December 31, 2022, the unamortized expense related to outstanding options was $15.3 million. The weighted average remaining amortization period over which the balance as of December 31, 2022 is to be amortized is 2.33 years.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 of determining the estimated fair value of share-based payment awards issued in the form of stock options, the Company uses the Black-Scholes option-pricing model. The assumptions under the Black-Scholes option-pricing model during the years ended December 31, 2022 and 2021 were as follows for option awards:</w:t>
      </w:r>
    </w:p>
    <w:tbl>
      <w:tblPr>
        <w:tblW w:w="4489" w:type="dxa"/>
        <w:jc w:val="left"/>
        <w:tblInd w:w="0" w:type="dxa"/>
        <w:tblCellMar>
          <w:top w:w="28" w:type="dxa"/>
          <w:left w:w="28" w:type="dxa"/>
          <w:bottom w:w="28" w:type="dxa"/>
          <w:right w:w="28" w:type="dxa"/>
        </w:tblCellMar>
      </w:tblPr>
      <w:tblGrid>
        <w:gridCol w:w="679"/>
        <w:gridCol w:w="597"/>
        <w:gridCol w:w="598"/>
        <w:gridCol w:w="268"/>
        <w:gridCol w:w="243"/>
        <w:gridCol w:w="472"/>
        <w:gridCol w:w="190"/>
        <w:gridCol w:w="190"/>
        <w:gridCol w:w="190"/>
        <w:gridCol w:w="268"/>
        <w:gridCol w:w="243"/>
        <w:gridCol w:w="551"/>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ESPP Activity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 of determining the estimated fair value of ESPP shares, the Company uses the Black-Scholes option-pricing model. The assumptions under the Black-Scholes option-pricing model during the year ended December 31, 2022 were as follows for ESPP awards:</w:t>
      </w:r>
    </w:p>
    <w:tbl>
      <w:tblPr>
        <w:tblW w:w="3643" w:type="dxa"/>
        <w:jc w:val="left"/>
        <w:tblInd w:w="0" w:type="dxa"/>
        <w:tblCellMar>
          <w:top w:w="28" w:type="dxa"/>
          <w:left w:w="28" w:type="dxa"/>
          <w:bottom w:w="28" w:type="dxa"/>
          <w:right w:w="28" w:type="dxa"/>
        </w:tblCellMar>
      </w:tblPr>
      <w:tblGrid>
        <w:gridCol w:w="679"/>
        <w:gridCol w:w="597"/>
        <w:gridCol w:w="598"/>
        <w:gridCol w:w="360"/>
        <w:gridCol w:w="360"/>
        <w:gridCol w:w="1049"/>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Restricted Stock Unit Activity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under the Plans was as follows for the year ended December 31, 2022:</w:t>
      </w:r>
    </w:p>
    <w:tbl>
      <w:tblPr>
        <w:tblW w:w="8411" w:type="dxa"/>
        <w:jc w:val="left"/>
        <w:tblInd w:w="0" w:type="dxa"/>
        <w:tblCellMar>
          <w:top w:w="28" w:type="dxa"/>
          <w:left w:w="28" w:type="dxa"/>
          <w:bottom w:w="28" w:type="dxa"/>
          <w:right w:w="28" w:type="dxa"/>
        </w:tblCellMar>
      </w:tblPr>
      <w:tblGrid>
        <w:gridCol w:w="1010"/>
        <w:gridCol w:w="889"/>
        <w:gridCol w:w="891"/>
        <w:gridCol w:w="539"/>
        <w:gridCol w:w="539"/>
        <w:gridCol w:w="541"/>
        <w:gridCol w:w="109"/>
        <w:gridCol w:w="109"/>
        <w:gridCol w:w="109"/>
        <w:gridCol w:w="883"/>
        <w:gridCol w:w="2142"/>
        <w:gridCol w:w="650"/>
      </w:tblGrid>
      <w:tr>
        <w:trPr/>
        <w:tc>
          <w:tcPr>
            <w:tcW w:w="101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20,416,417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(2,516,191)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16,716,383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of $0.4 million related to Performance-Based RSUs during the year ended December 31, 2022. Unamortized expense related to Performance-Based RSUs was $7.1 million as of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derive the fair value of Market-Based RSUs, the Company applies a Monte Carlo simulation to determine the grant date fair value. Stock-based compensation related to Market RSUs is recognized over the derived service period.</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9085"/>
                <wp:effectExtent l="0" t="0" r="0" b="0"/>
                <wp:wrapNone/>
                <wp:docPr id="98" name="Frame9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under the Monte Carlo simulation model and the calculated fair value of the Market-Based RSUs granted to employees during the year ended December 31, 2022 were as follows:</w:t>
      </w:r>
    </w:p>
    <w:tbl>
      <w:tblPr>
        <w:tblW w:w="3643" w:type="dxa"/>
        <w:jc w:val="left"/>
        <w:tblInd w:w="0" w:type="dxa"/>
        <w:tblCellMar>
          <w:top w:w="28" w:type="dxa"/>
          <w:left w:w="28" w:type="dxa"/>
          <w:bottom w:w="28" w:type="dxa"/>
          <w:right w:w="28" w:type="dxa"/>
        </w:tblCellMar>
      </w:tblPr>
      <w:tblGrid>
        <w:gridCol w:w="679"/>
        <w:gridCol w:w="596"/>
        <w:gridCol w:w="599"/>
        <w:gridCol w:w="360"/>
        <w:gridCol w:w="360"/>
        <w:gridCol w:w="1049"/>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Drift rate</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the Market-Based RSUs was $3.91. The Company recorded $1.1 million in stock-based compensation expense related to Market-Based RSUs during the year ended December 31, 2022. Unamortized expense related to Market-Based RSUs was $2.6 million as of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fair value of RSUs that vested was $12.0 million. During the year ended December 31, 2022, the Company recorded $19.0 million, of stock-based compensation related to RSUs. As of December 31, 2022, the unamortized expense related to RSUs was $55.6 million. The weighted average remaining amortization period over which the balance as of December 31, 2022 is to be amortized is 2.84 years. </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Compensation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consolidated statements of operations and comprehensive loss for the year ended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is classified in the following operating expense accounts on the consolidated statements of operations and comprehensive loss for the years ended December 31, 2022 and 2021 (in thousands):</w:t>
      </w:r>
    </w:p>
    <w:tbl>
      <w:tblPr>
        <w:tblW w:w="4706" w:type="dxa"/>
        <w:jc w:val="left"/>
        <w:tblInd w:w="0" w:type="dxa"/>
        <w:tblCellMar>
          <w:top w:w="28" w:type="dxa"/>
          <w:left w:w="28" w:type="dxa"/>
          <w:bottom w:w="28" w:type="dxa"/>
          <w:right w:w="28" w:type="dxa"/>
        </w:tblCellMar>
      </w:tblPr>
      <w:tblGrid>
        <w:gridCol w:w="852"/>
        <w:gridCol w:w="749"/>
        <w:gridCol w:w="753"/>
        <w:gridCol w:w="211"/>
        <w:gridCol w:w="723"/>
        <w:gridCol w:w="109"/>
        <w:gridCol w:w="109"/>
        <w:gridCol w:w="109"/>
        <w:gridCol w:w="109"/>
        <w:gridCol w:w="211"/>
        <w:gridCol w:w="617"/>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9085"/>
                <wp:effectExtent l="0" t="0" r="0" b="0"/>
                <wp:wrapNone/>
                <wp:docPr id="99" name="Frame9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non-cancelable future minimum lease payments under operating and finance leases were as follows as of December 31, 2022 (in thousands):</w:t>
      </w:r>
    </w:p>
    <w:tbl>
      <w:tblPr>
        <w:tblW w:w="5443" w:type="dxa"/>
        <w:jc w:val="left"/>
        <w:tblInd w:w="0" w:type="dxa"/>
        <w:tblCellMar>
          <w:top w:w="28" w:type="dxa"/>
          <w:left w:w="28" w:type="dxa"/>
          <w:bottom w:w="28" w:type="dxa"/>
          <w:right w:w="28" w:type="dxa"/>
        </w:tblCellMar>
      </w:tblPr>
      <w:tblGrid>
        <w:gridCol w:w="1183"/>
        <w:gridCol w:w="1040"/>
        <w:gridCol w:w="1047"/>
        <w:gridCol w:w="220"/>
        <w:gridCol w:w="642"/>
        <w:gridCol w:w="114"/>
        <w:gridCol w:w="109"/>
        <w:gridCol w:w="109"/>
        <w:gridCol w:w="109"/>
        <w:gridCol w:w="221"/>
        <w:gridCol w:w="488"/>
        <w:gridCol w:w="161"/>
      </w:tblGrid>
      <w:tr>
        <w:trPr/>
        <w:tc>
          <w:tcPr>
            <w:tcW w:w="1183"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br/>
              <w:t xml:space="preserve">Lease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Finance </w:t>
              <w:br/>
              <w:t xml:space="preserve">Lease </w:t>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2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8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imputed interest </w:t>
            </w:r>
          </w:p>
        </w:tc>
        <w:tc>
          <w:tcPr>
            <w:tcW w:w="8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value of lease liabilities </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current portion </w:t>
            </w:r>
          </w:p>
        </w:tc>
        <w:tc>
          <w:tcPr>
            <w:tcW w:w="8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liabilities, net of current portion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 during the years ended December 31, 2022 and 2021 (in thousands):</w:t>
      </w:r>
    </w:p>
    <w:tbl>
      <w:tblPr>
        <w:tblW w:w="5516" w:type="dxa"/>
        <w:jc w:val="left"/>
        <w:tblInd w:w="0" w:type="dxa"/>
        <w:tblCellMar>
          <w:top w:w="28" w:type="dxa"/>
          <w:left w:w="28" w:type="dxa"/>
          <w:bottom w:w="28" w:type="dxa"/>
          <w:right w:w="28" w:type="dxa"/>
        </w:tblCellMar>
      </w:tblPr>
      <w:tblGrid>
        <w:gridCol w:w="1146"/>
        <w:gridCol w:w="1005"/>
        <w:gridCol w:w="1014"/>
        <w:gridCol w:w="221"/>
        <w:gridCol w:w="646"/>
        <w:gridCol w:w="114"/>
        <w:gridCol w:w="114"/>
        <w:gridCol w:w="114"/>
        <w:gridCol w:w="114"/>
        <w:gridCol w:w="221"/>
        <w:gridCol w:w="646"/>
        <w:gridCol w:w="161"/>
      </w:tblGrid>
      <w:tr>
        <w:trPr/>
        <w:tc>
          <w:tcPr>
            <w:tcW w:w="1146"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lease cost </w:t>
            </w:r>
          </w:p>
        </w:tc>
        <w:tc>
          <w:tcPr>
            <w:tcW w:w="22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cost: </w:t>
            </w:r>
          </w:p>
        </w:tc>
        <w:tc>
          <w:tcPr>
            <w:tcW w:w="98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finance leased assets </w:t>
            </w:r>
          </w:p>
        </w:tc>
        <w:tc>
          <w:tcPr>
            <w:tcW w:w="22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lease liabilities </w:t>
            </w:r>
          </w:p>
        </w:tc>
        <w:tc>
          <w:tcPr>
            <w:tcW w:w="22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additional information related to our leases as of December 31, 2022:</w:t>
      </w:r>
    </w:p>
    <w:tbl>
      <w:tblPr>
        <w:tblW w:w="6454" w:type="dxa"/>
        <w:jc w:val="left"/>
        <w:tblInd w:w="0" w:type="dxa"/>
        <w:tblCellMar>
          <w:top w:w="28" w:type="dxa"/>
          <w:left w:w="28" w:type="dxa"/>
          <w:bottom w:w="28" w:type="dxa"/>
          <w:right w:w="28" w:type="dxa"/>
        </w:tblCellMar>
      </w:tblPr>
      <w:tblGrid>
        <w:gridCol w:w="1426"/>
        <w:gridCol w:w="1255"/>
        <w:gridCol w:w="1263"/>
        <w:gridCol w:w="255"/>
        <w:gridCol w:w="256"/>
        <w:gridCol w:w="566"/>
        <w:gridCol w:w="109"/>
        <w:gridCol w:w="109"/>
        <w:gridCol w:w="109"/>
        <w:gridCol w:w="308"/>
        <w:gridCol w:w="308"/>
        <w:gridCol w:w="490"/>
      </w:tblGrid>
      <w:tr>
        <w:trPr/>
        <w:tc>
          <w:tcPr>
            <w:tcW w:w="1426"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Operating </w:t>
              <w:br/>
              <w:t xml:space="preserve">Lease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br/>
              <w:t xml:space="preserve">Lease </w:t>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remaining lease term (years) </w:t>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discount rate </w:t>
            </w:r>
          </w:p>
        </w:tc>
        <w:tc>
          <w:tcPr>
            <w:tcW w:w="51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56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490"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rent expense totaled approximately $3.9 million and $4.2 million during the years ended December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9085"/>
                <wp:effectExtent l="0" t="0" r="0" b="0"/>
                <wp:wrapNone/>
                <wp:docPr id="100" name="Frame9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15.    OTHER EXPENSE,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on the consolidated statements of operations and comprehensive loss is comprised of the following for the years ended December 31, 2022 and 2021 (in thousands):</w:t>
      </w:r>
    </w:p>
    <w:tbl>
      <w:tblPr>
        <w:tblW w:w="6897" w:type="dxa"/>
        <w:jc w:val="left"/>
        <w:tblInd w:w="0" w:type="dxa"/>
        <w:tblCellMar>
          <w:top w:w="28" w:type="dxa"/>
          <w:left w:w="28" w:type="dxa"/>
          <w:bottom w:w="28" w:type="dxa"/>
          <w:right w:w="28" w:type="dxa"/>
        </w:tblCellMar>
      </w:tblPr>
      <w:tblGrid>
        <w:gridCol w:w="1645"/>
        <w:gridCol w:w="1447"/>
        <w:gridCol w:w="1453"/>
        <w:gridCol w:w="221"/>
        <w:gridCol w:w="568"/>
        <w:gridCol w:w="114"/>
        <w:gridCol w:w="114"/>
        <w:gridCol w:w="114"/>
        <w:gridCol w:w="114"/>
        <w:gridCol w:w="221"/>
        <w:gridCol w:w="725"/>
        <w:gridCol w:w="161"/>
      </w:tblGrid>
      <w:tr>
        <w:trPr/>
        <w:tc>
          <w:tcPr>
            <w:tcW w:w="1645"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5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and warrant liability</w:t>
            </w:r>
          </w:p>
        </w:tc>
        <w:tc>
          <w:tcPr>
            <w:tcW w:w="78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8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16.    NET LOSS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attributable to common stockholders for the years ended December 31, 2022 and 2021:</w:t>
      </w:r>
    </w:p>
    <w:tbl>
      <w:tblPr>
        <w:tblW w:w="7509" w:type="dxa"/>
        <w:jc w:val="left"/>
        <w:tblInd w:w="0" w:type="dxa"/>
        <w:tblCellMar>
          <w:top w:w="28" w:type="dxa"/>
          <w:left w:w="28" w:type="dxa"/>
          <w:bottom w:w="28" w:type="dxa"/>
          <w:right w:w="28" w:type="dxa"/>
        </w:tblCellMar>
      </w:tblPr>
      <w:tblGrid>
        <w:gridCol w:w="1735"/>
        <w:gridCol w:w="1530"/>
        <w:gridCol w:w="1535"/>
        <w:gridCol w:w="211"/>
        <w:gridCol w:w="901"/>
        <w:gridCol w:w="109"/>
        <w:gridCol w:w="109"/>
        <w:gridCol w:w="109"/>
        <w:gridCol w:w="109"/>
        <w:gridCol w:w="211"/>
        <w:gridCol w:w="796"/>
        <w:gridCol w:w="154"/>
      </w:tblGrid>
      <w:tr>
        <w:trPr/>
        <w:tc>
          <w:tcPr>
            <w:tcW w:w="1735"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 thousands)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 and dilutive</w:t>
            </w:r>
          </w:p>
        </w:tc>
        <w:tc>
          <w:tcPr>
            <w:tcW w:w="122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157,317,695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67,255,538</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2021, the diluted earnings per share is equal to the basic earnings per share as the effect of potentially dilutive securities would have been antidilutive.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shares of potentially dilutive securities that were excluded from the calculation of diluted earnings per share because their inclusion would have been anti-dilutive for the years ended December 31, 2022 and 2021:</w:t>
      </w:r>
    </w:p>
    <w:tbl>
      <w:tblPr>
        <w:tblW w:w="6381" w:type="dxa"/>
        <w:jc w:val="left"/>
        <w:tblInd w:w="0" w:type="dxa"/>
        <w:tblCellMar>
          <w:top w:w="28" w:type="dxa"/>
          <w:left w:w="28" w:type="dxa"/>
          <w:bottom w:w="28" w:type="dxa"/>
          <w:right w:w="28" w:type="dxa"/>
        </w:tblCellMar>
      </w:tblPr>
      <w:tblGrid>
        <w:gridCol w:w="1209"/>
        <w:gridCol w:w="1063"/>
        <w:gridCol w:w="1072"/>
        <w:gridCol w:w="492"/>
        <w:gridCol w:w="328"/>
        <w:gridCol w:w="250"/>
        <w:gridCol w:w="250"/>
        <w:gridCol w:w="250"/>
        <w:gridCol w:w="250"/>
        <w:gridCol w:w="518"/>
        <w:gridCol w:w="346"/>
        <w:gridCol w:w="353"/>
      </w:tblGrid>
      <w:tr>
        <w:trPr/>
        <w:tc>
          <w:tcPr>
            <w:tcW w:w="1209"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50"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70"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25,420,425</w:t>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30,361,405</w:t>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7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16,716,383</w:t>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ESPP stock units</w:t>
            </w:r>
          </w:p>
        </w:tc>
        <w:tc>
          <w:tcPr>
            <w:tcW w:w="1070"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476,636</w:t>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7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3,665,996</w:t>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1,063,214</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1070"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106,949,326</w:t>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70" w:type="dxa"/>
            <w:gridSpan w:val="3"/>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46,279,440</w:t>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138,373,945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9085"/>
                <wp:effectExtent l="0" t="0" r="0" b="0"/>
                <wp:wrapNone/>
                <wp:docPr id="101" name="Frame9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geographical breakdown of loss before income taxes:</w:t>
      </w:r>
    </w:p>
    <w:tbl>
      <w:tblPr>
        <w:tblW w:w="3595" w:type="dxa"/>
        <w:jc w:val="left"/>
        <w:tblInd w:w="0" w:type="dxa"/>
        <w:tblCellMar>
          <w:top w:w="28" w:type="dxa"/>
          <w:left w:w="28" w:type="dxa"/>
          <w:bottom w:w="28" w:type="dxa"/>
          <w:right w:w="28" w:type="dxa"/>
        </w:tblCellMar>
      </w:tblPr>
      <w:tblGrid>
        <w:gridCol w:w="321"/>
        <w:gridCol w:w="282"/>
        <w:gridCol w:w="283"/>
        <w:gridCol w:w="211"/>
        <w:gridCol w:w="901"/>
        <w:gridCol w:w="109"/>
        <w:gridCol w:w="109"/>
        <w:gridCol w:w="109"/>
        <w:gridCol w:w="109"/>
        <w:gridCol w:w="211"/>
        <w:gridCol w:w="796"/>
        <w:gridCol w:w="154"/>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consisted of the following:</w:t>
      </w:r>
    </w:p>
    <w:tbl>
      <w:tblPr>
        <w:tblW w:w="5268" w:type="dxa"/>
        <w:jc w:val="left"/>
        <w:tblInd w:w="0" w:type="dxa"/>
        <w:tblCellMar>
          <w:top w:w="28" w:type="dxa"/>
          <w:left w:w="28" w:type="dxa"/>
          <w:bottom w:w="28" w:type="dxa"/>
          <w:right w:w="28" w:type="dxa"/>
        </w:tblCellMar>
      </w:tblPr>
      <w:tblGrid>
        <w:gridCol w:w="1031"/>
        <w:gridCol w:w="907"/>
        <w:gridCol w:w="912"/>
        <w:gridCol w:w="211"/>
        <w:gridCol w:w="616"/>
        <w:gridCol w:w="271"/>
        <w:gridCol w:w="109"/>
        <w:gridCol w:w="109"/>
        <w:gridCol w:w="109"/>
        <w:gridCol w:w="211"/>
        <w:gridCol w:w="466"/>
        <w:gridCol w:w="316"/>
      </w:tblGrid>
      <w:tr>
        <w:trPr/>
        <w:tc>
          <w:tcPr>
            <w:tcW w:w="103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provision:</w:t>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expense rate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net pre-tax losses in the United States only for all periods presented. The Company recorded an income tax expense of $2.9 million and $0.5 million for the years ended December 31, 2022 and 2021, respectively, which reflects withholding tax paid on the U.S. books for sales in foreign jurisdictions and estimated 2022 income tax related to foreign subsidiaries.</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99085"/>
                <wp:effectExtent l="0" t="0" r="0" b="0"/>
                <wp:wrapNone/>
                <wp:docPr id="102" name="Frame9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differed from the amount computed by applying the federal statutory rate to our income before income taxes as follows:</w:t>
      </w:r>
    </w:p>
    <w:tbl>
      <w:tblPr>
        <w:tblW w:w="6018" w:type="dxa"/>
        <w:jc w:val="left"/>
        <w:tblInd w:w="0" w:type="dxa"/>
        <w:tblCellMar>
          <w:top w:w="28" w:type="dxa"/>
          <w:left w:w="28" w:type="dxa"/>
          <w:bottom w:w="28" w:type="dxa"/>
          <w:right w:w="28" w:type="dxa"/>
        </w:tblCellMar>
      </w:tblPr>
      <w:tblGrid>
        <w:gridCol w:w="1117"/>
        <w:gridCol w:w="985"/>
        <w:gridCol w:w="988"/>
        <w:gridCol w:w="211"/>
        <w:gridCol w:w="796"/>
        <w:gridCol w:w="271"/>
        <w:gridCol w:w="109"/>
        <w:gridCol w:w="109"/>
        <w:gridCol w:w="109"/>
        <w:gridCol w:w="211"/>
        <w:gridCol w:w="796"/>
        <w:gridCol w:w="316"/>
      </w:tblGrid>
      <w:tr>
        <w:trPr/>
        <w:tc>
          <w:tcPr>
            <w:tcW w:w="111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income tax rate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at statutory rate</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(16,608)</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rate</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withholding and income tax</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book tax differences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deferred tax assets and liabilities were as follows:</w:t>
      </w:r>
    </w:p>
    <w:tbl>
      <w:tblPr>
        <w:tblW w:w="9099" w:type="dxa"/>
        <w:jc w:val="left"/>
        <w:tblInd w:w="0" w:type="dxa"/>
        <w:tblCellMar>
          <w:top w:w="28" w:type="dxa"/>
          <w:left w:w="28" w:type="dxa"/>
          <w:bottom w:w="28" w:type="dxa"/>
          <w:right w:w="28" w:type="dxa"/>
        </w:tblCellMar>
      </w:tblPr>
      <w:tblGrid>
        <w:gridCol w:w="2411"/>
        <w:gridCol w:w="2113"/>
        <w:gridCol w:w="2121"/>
        <w:gridCol w:w="211"/>
        <w:gridCol w:w="721"/>
        <w:gridCol w:w="109"/>
        <w:gridCol w:w="109"/>
        <w:gridCol w:w="109"/>
        <w:gridCol w:w="109"/>
        <w:gridCol w:w="211"/>
        <w:gridCol w:w="721"/>
        <w:gridCol w:w="154"/>
      </w:tblGrid>
      <w:tr>
        <w:trPr/>
        <w:tc>
          <w:tcPr>
            <w:tcW w:w="2411"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and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research and development capitalization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Recorded as: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tax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tax liabilities (included as a component of 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99085"/>
                <wp:effectExtent l="0" t="0" r="0" b="0"/>
                <wp:wrapNone/>
                <wp:docPr id="103" name="Frame9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available objective evidence, management believes it is more-likely-than-not that the domestic federal and state deferred tax assets; and excess Canadian SR&amp;ED tax credits will not be fully realized due to the Company’s cumulative losses and inability to utilize excess tax credits. Accordingly, the Company has provided a valuation allowance on deferred tax assets in excess of deferred tax liabilities against its federal and state deferred tax assets as of December 31, 2022 and 2021. The valuation allowance increased by $25.5 million and by $17.9 million for the years ended December 31, 2022 and 2021,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research and development expenditures incurred during the year ended December 31, 2022 and amortizes such expenditures over 5 or 15 years, as applicable, pursuant to Section 174 of the Internal Revenue Code as required by the 2017 Tax Cuts and Jobs Act. The mandatory capitalization requirement did not have a material impact on our net deferred tax assets or cash tax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not asserting permanent reinvestment of its unrepatriated foreign earnings. As of December 31, 2022, the Company anticipated that the tax liability associated with any potential repatriation of foreign earnings is not material.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U.S. federal income tax returns as well as income tax returns in many U.S. states and foreign jurisdictions. As of December 31, 2022, the tax years 2006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gross unrecognized tax benefits during the periods presented were as follows (in thousands):</w:t>
      </w:r>
    </w:p>
    <w:tbl>
      <w:tblPr>
        <w:tblW w:w="4341" w:type="dxa"/>
        <w:jc w:val="left"/>
        <w:tblInd w:w="0" w:type="dxa"/>
        <w:tblCellMar>
          <w:top w:w="28" w:type="dxa"/>
          <w:left w:w="28" w:type="dxa"/>
          <w:bottom w:w="28" w:type="dxa"/>
          <w:right w:w="28" w:type="dxa"/>
        </w:tblCellMar>
      </w:tblPr>
      <w:tblGrid>
        <w:gridCol w:w="1217"/>
        <w:gridCol w:w="1068"/>
        <w:gridCol w:w="1075"/>
        <w:gridCol w:w="211"/>
        <w:gridCol w:w="616"/>
        <w:gridCol w:w="154"/>
      </w:tblGrid>
      <w:tr>
        <w:trPr/>
        <w:tc>
          <w:tcPr>
            <w:tcW w:w="1217"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tax positions of prior years</w:t>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tax positions of current year</w:t>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tax positions of current year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unrecognized tax benefits, if recognized, would not affect the effective tax rate and would be offset by the reversal of related deferred tax assets which are subject to a full valuation allowance. As of December 31, 2022, the Company has not accrued any interest or penalties. The Company does not anticipate any significant change in the Company’s uncertain tax positions within 12 months of this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99085"/>
                <wp:effectExtent l="0" t="0" r="0" b="0"/>
                <wp:wrapNone/>
                <wp:docPr id="104" name="Frame9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18.    RELATED PARTY TRANSACTIONS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we recognized revenue from the companies of $5.2 million. During the year ended December 31, 2021, we recognized revenue from the companies of $7.0 million. As of December 31, 2021, we had accounts receivable and deferred revenue balances related to the companies of $0.6 million and $15.2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Restructuring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5, 2023, SoundHound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it will incur approximately $4.5 million to $5.5 million in charges in connection with the Restructuring Plan, of which the majority is expected to be incurred in the first quarter of 2023 and consists of severance payments, employee benefits and share-based compensation. Of the aggregate amount of charges that the Company estimates it will incur in connection with the Restructuring Plan, the Company expects that approximately $2.0 million to $3.0 million will be in cash expenditures.</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Issuance of Preferred Stock</w:t>
      </w:r>
    </w:p>
    <w:p>
      <w:pPr>
        <w:pStyle w:val="TextBody"/>
        <w:spacing w:lineRule="auto" w:line="288" w:before="240" w:after="283"/>
        <w:jc w:val="both"/>
        <w:rPr/>
      </w:pPr>
      <w:r>
        <w:rPr>
          <w:rFonts w:ascii="Times New Roman;sans-serif" w:hAnsi="Times New Roman;sans-serif"/>
          <w:b w:val="false"/>
          <w:color w:val="000000"/>
          <w:sz w:val="20"/>
        </w:rPr>
        <w:t xml:space="preserve">On or around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$25.0 million. </w:t>
      </w:r>
      <w:r>
        <w:rPr>
          <w:rFonts w:ascii="Times New Roman;sans-serif" w:hAnsi="Times New Roman;sans-serif"/>
          <w:b w:val="false"/>
          <w:color w:val="212529"/>
          <w:sz w:val="20"/>
        </w:rPr>
        <w:t xml:space="preserve">Our Chief Financial Officer, Nitesh Sharan, and one of our directors, Eric Ball, each participated in the Transaction, purchasing 3,334 shares of Series A Preferred Stock each for $100,000 each.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pStyle w:val="TextBody"/>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Equity Line of Credit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On February 14, 2023, the Company’s Registration Statement on Form S-1 registering the resale of the ELOC Shares was declared effective. The Company expects to utilize proceeds from the ELOC for working capital and other general corporate purposes. Through March 17, 2023, the Company has sold approximately 8.8 million shares under the ELOC program for aggregate proceeds of approximately $24.9 million.</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99085"/>
                <wp:effectExtent l="0" t="0" r="0" b="0"/>
                <wp:wrapNone/>
                <wp:docPr id="105" name="Frame9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Common Stock Purchase Agreement, the Company issued CFPI 250,000 shares as consideration for its irrevocable commitment to purchase the shares upon the terms and subject to the satisfaction of the conditions set forth in the Common Stock Purchase Agreement. The Company has also agreed to make a cash payment of $250,000 within 120 days after the commencement date of the offering and to reimburse CFPI of up to $75,000 of expenses.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99085"/>
                <wp:effectExtent l="0" t="0" r="0" b="0"/>
                <wp:wrapNone/>
                <wp:docPr id="106" name="Frame10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Annual Report on Form 10-K, we carried out an evaluation under the supervision and with the participation of our Disclosure Committee and our management, including our Chief Executive Officer (“CEO”) and Chief Financial Officer (“CFO”), of the effectiveness of the design and operation of our disclosure controls and procedures pursuant to Exchange Act Rules 13a-15(e) and 15d-15(e).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our management’s evaluation (with the participation of our CEO and CFO), as of the end of the period covered by this report, our CEO and CFO have concluded that our disclosure controls and procedures were effective as of December 31, 2022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CEO and CFO as appropriate to allow timely decisions regarding required disclosure.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CEO and CFO,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SoundHound have been detected.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December 31, 2022. In making this assessment, our management used the criteria established in Internal Control - Integrated Framework (2013) issued by the Committee of Sponsoring Organizations of the Treadway Commission. Based on the results of our evaluation, our management concluded that our internal control over financial reporting was effective as of December 31, 2022.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Armanino LLP, an independent registered public accounting firm, was not required to and has not issued a report concerning the effectiveness of our internal control over financial reporting as of December 31, 2022.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9085"/>
                <wp:effectExtent l="0" t="0" r="0" b="0"/>
                <wp:wrapNone/>
                <wp:docPr id="107" name="Frame10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officers and directors are listed below. </w:t>
      </w:r>
    </w:p>
    <w:tbl>
      <w:tblPr>
        <w:tblW w:w="6008" w:type="dxa"/>
        <w:jc w:val="left"/>
        <w:tblInd w:w="0" w:type="dxa"/>
        <w:tblCellMar>
          <w:top w:w="28" w:type="dxa"/>
          <w:left w:w="28" w:type="dxa"/>
          <w:bottom w:w="28" w:type="dxa"/>
          <w:right w:w="28" w:type="dxa"/>
        </w:tblCellMar>
      </w:tblPr>
      <w:tblGrid>
        <w:gridCol w:w="684"/>
        <w:gridCol w:w="600"/>
        <w:gridCol w:w="605"/>
        <w:gridCol w:w="109"/>
        <w:gridCol w:w="109"/>
        <w:gridCol w:w="109"/>
        <w:gridCol w:w="145"/>
        <w:gridCol w:w="145"/>
        <w:gridCol w:w="146"/>
        <w:gridCol w:w="109"/>
        <w:gridCol w:w="109"/>
        <w:gridCol w:w="109"/>
        <w:gridCol w:w="884"/>
        <w:gridCol w:w="884"/>
        <w:gridCol w:w="1261"/>
      </w:tblGrid>
      <w:tr>
        <w:trPr/>
        <w:tc>
          <w:tcPr>
            <w:tcW w:w="68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Executive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Hom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Vice President of Products</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Marcus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Diana Sroka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Eric Ball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Majid Emami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of Engineering</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Stonehocker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Nitesh Sharan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Zagorsek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bl>
    <w:p>
      <w:pPr>
        <w:pStyle w:val="TextBody"/>
        <w:spacing w:lineRule="auto" w:line="288" w:before="240" w:after="283"/>
        <w:ind w:left="0" w:right="0" w:firstLine="360"/>
        <w:jc w:val="both"/>
        <w:rPr/>
      </w:pPr>
      <w:r>
        <w:rPr>
          <w:rFonts w:ascii="Times New Roman;sans-serif" w:hAnsi="Times New Roman;sans-serif"/>
          <w:b/>
          <w:i/>
          <w:color w:val="000000"/>
          <w:sz w:val="20"/>
        </w:rPr>
        <w:t>Dr. Keyvan Mohajer. </w:t>
      </w:r>
      <w:r>
        <w:rPr>
          <w:rFonts w:ascii="Times New Roman;sans-serif" w:hAnsi="Times New Roman;sans-serif"/>
          <w:b w:val="false"/>
          <w:color w:val="000000"/>
          <w:sz w:val="20"/>
        </w:rPr>
        <w:t>Dr. Keyvan Mohajer has been our Chief Executive Officer and a member of the Board since the consummation of the Business Combination in April 2022. Dr. Mohajer has served as SoundHound’s Chief Executive Officer and a 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w:t>
      </w:r>
    </w:p>
    <w:p>
      <w:pPr>
        <w:pStyle w:val="TextBody"/>
        <w:spacing w:lineRule="auto" w:line="288" w:before="240" w:after="283"/>
        <w:ind w:left="0" w:right="0" w:firstLine="360"/>
        <w:jc w:val="both"/>
        <w:rPr/>
      </w:pPr>
      <w:r>
        <w:rPr>
          <w:rFonts w:ascii="Times New Roman;sans-serif" w:hAnsi="Times New Roman;sans-serif"/>
          <w:b/>
          <w:i/>
          <w:color w:val="000000"/>
          <w:sz w:val="20"/>
        </w:rPr>
        <w:t>James Hom. </w:t>
      </w:r>
      <w:r>
        <w:rPr>
          <w:rFonts w:ascii="Times New Roman;sans-serif" w:hAnsi="Times New Roman;sans-serif"/>
          <w:b w:val="false"/>
          <w:color w:val="000000"/>
          <w:sz w:val="20"/>
        </w:rPr>
        <w:t>James Hom has been a member of the Board and Vice President of Products since the consummation of the Business Combination in April 2022. Mr. Hom, one of SoundHound’s co-founders, has served as Vice President of Products 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w:t>
      </w:r>
    </w:p>
    <w:p>
      <w:pPr>
        <w:pStyle w:val="TextBody"/>
        <w:spacing w:lineRule="auto" w:line="288" w:before="240" w:after="283"/>
        <w:ind w:left="0" w:right="0" w:firstLine="360"/>
        <w:jc w:val="both"/>
        <w:rPr/>
      </w:pPr>
      <w:r>
        <w:rPr>
          <w:rFonts w:ascii="Times New Roman;sans-serif" w:hAnsi="Times New Roman;sans-serif"/>
          <w:b/>
          <w:i/>
          <w:color w:val="000000"/>
          <w:sz w:val="20"/>
        </w:rPr>
        <w:t>Larry</w:t>
      </w:r>
      <w:r>
        <w:rPr>
          <w:color w:val="000000"/>
        </w:rPr>
        <w:t xml:space="preserve"> </w:t>
      </w:r>
      <w:r>
        <w:rPr>
          <w:rFonts w:ascii="Times New Roman;sans-serif" w:hAnsi="Times New Roman;sans-serif"/>
          <w:b/>
          <w:i/>
          <w:color w:val="000000"/>
          <w:sz w:val="20"/>
        </w:rPr>
        <w:t xml:space="preserve">Marcus. </w:t>
      </w:r>
      <w:r>
        <w:rPr>
          <w:rFonts w:ascii="Times New Roman;sans-serif" w:hAnsi="Times New Roman;sans-serif"/>
          <w:b w:val="false"/>
          <w:color w:val="000000"/>
          <w:sz w:val="20"/>
        </w:rPr>
        <w:t>Larry Marcus has been a member of the Board since the consummation of the Business 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pStyle w:val="TextBody"/>
        <w:spacing w:lineRule="auto" w:line="288" w:before="240" w:after="283"/>
        <w:ind w:left="0" w:right="0" w:firstLine="360"/>
        <w:jc w:val="both"/>
        <w:rPr/>
      </w:pPr>
      <w:r>
        <w:rPr>
          <w:rFonts w:ascii="Times New Roman;sans-serif" w:hAnsi="Times New Roman;sans-serif"/>
          <w:b/>
          <w:i/>
          <w:color w:val="000000"/>
          <w:sz w:val="20"/>
        </w:rPr>
        <w:t>Diana Sroka.</w:t>
      </w:r>
      <w:r>
        <w:rPr>
          <w:color w:val="000000"/>
        </w:rPr>
        <w:t xml:space="preserve"> </w:t>
      </w:r>
      <w:r>
        <w:rPr>
          <w:rFonts w:ascii="Times New Roman;sans-serif" w:hAnsi="Times New Roman;sans-serif"/>
          <w:b w:val="false"/>
          <w:color w:val="000000"/>
          <w:sz w:val="20"/>
        </w:rPr>
        <w:t xml:space="preserve">Diana Sroka has been a member of the Board since the consummation of the Business 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9085"/>
                <wp:effectExtent l="0" t="0" r="0" b="0"/>
                <wp:wrapNone/>
                <wp:docPr id="108" name="Frame10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pStyle w:val="TextBody"/>
        <w:spacing w:lineRule="auto" w:line="288" w:before="240" w:after="283"/>
        <w:ind w:left="0" w:right="0" w:firstLine="360"/>
        <w:jc w:val="both"/>
        <w:rPr/>
      </w:pPr>
      <w:r>
        <w:rPr>
          <w:rFonts w:ascii="Times New Roman;sans-serif" w:hAnsi="Times New Roman;sans-serif"/>
          <w:b/>
          <w:i/>
          <w:color w:val="000000"/>
          <w:sz w:val="20"/>
        </w:rPr>
        <w:t xml:space="preserve">Dr. Eric R. Ball. </w:t>
      </w:r>
      <w:r>
        <w:rPr>
          <w:rFonts w:ascii="Times New Roman;sans-serif" w:hAnsi="Times New Roman;sans-serif"/>
          <w:b w:val="false"/>
          <w:color w:val="000000"/>
          <w:sz w:val="20"/>
        </w:rPr>
        <w:t>Dr. Eric R. Ball has been a member of our Board since our IPO in 2021.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pStyle w:val="TextBody"/>
        <w:spacing w:lineRule="auto" w:line="288" w:before="240" w:after="283"/>
        <w:ind w:left="0" w:right="0" w:firstLine="360"/>
        <w:jc w:val="both"/>
        <w:rPr/>
      </w:pPr>
      <w:r>
        <w:rPr>
          <w:rFonts w:ascii="Times New Roman;sans-serif" w:hAnsi="Times New Roman;sans-serif"/>
          <w:b/>
          <w:i/>
          <w:color w:val="000000"/>
          <w:sz w:val="20"/>
        </w:rPr>
        <w:t>Dr. Majid Emami. </w:t>
      </w:r>
      <w:r>
        <w:rPr>
          <w:rFonts w:ascii="Times New Roman;sans-serif" w:hAnsi="Times New Roman;sans-serif"/>
          <w:b w:val="false"/>
          <w:color w:val="000000"/>
          <w:sz w:val="20"/>
        </w:rPr>
        <w:t>Dr. Majid Emami has been Vice President of Engineering of the Company since the consummation of the Business Combination in April 2022. Dr. Emami is a co-founder of SoundHound and has served as Vice President 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pStyle w:val="TextBody"/>
        <w:spacing w:lineRule="auto" w:line="288" w:before="240" w:after="283"/>
        <w:ind w:left="0" w:right="0" w:firstLine="360"/>
        <w:jc w:val="both"/>
        <w:rPr/>
      </w:pPr>
      <w:r>
        <w:rPr>
          <w:rFonts w:ascii="Times New Roman;sans-serif" w:hAnsi="Times New Roman;sans-serif"/>
          <w:b/>
          <w:i/>
          <w:color w:val="000000"/>
          <w:sz w:val="20"/>
        </w:rPr>
        <w:t>Timothy Stonehocker. </w:t>
      </w:r>
      <w:r>
        <w:rPr>
          <w:rFonts w:ascii="Times New Roman;sans-serif" w:hAnsi="Times New Roman;sans-serif"/>
          <w:b w:val="false"/>
          <w:color w:val="000000"/>
          <w:sz w:val="20"/>
        </w:rPr>
        <w:t>Timothy Stonehocker has been Chief Technology Officer of the Company since the consummation of the Business Combination in April 2022. Mr. Stonehocker has served as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pStyle w:val="TextBody"/>
        <w:spacing w:lineRule="auto" w:line="288" w:before="240" w:after="283"/>
        <w:ind w:left="0" w:right="0" w:firstLine="360"/>
        <w:jc w:val="both"/>
        <w:rPr/>
      </w:pPr>
      <w:r>
        <w:rPr>
          <w:rFonts w:ascii="Times New Roman;sans-serif" w:hAnsi="Times New Roman;sans-serif"/>
          <w:b/>
          <w:i/>
          <w:color w:val="000000"/>
          <w:sz w:val="20"/>
        </w:rPr>
        <w:t>Nitesh Sharan. </w:t>
      </w:r>
      <w:r>
        <w:rPr>
          <w:rFonts w:ascii="Times New Roman;sans-serif" w:hAnsi="Times New Roman;sans-serif"/>
          <w:b w:val="false"/>
          <w:color w:val="000000"/>
          <w:sz w:val="20"/>
        </w:rPr>
        <w:t>Nitesh Sharan has been Chief Financial Officer of the Company since the consummation of the Business Combination in April 2022. Mr. Sharan has served as the Chief Financial Officer at SoundHound since 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charterholder.</w:t>
      </w:r>
    </w:p>
    <w:p>
      <w:pPr>
        <w:pStyle w:val="TextBody"/>
        <w:spacing w:lineRule="auto" w:line="288" w:before="240" w:after="283"/>
        <w:ind w:left="0" w:right="0" w:firstLine="360"/>
        <w:jc w:val="both"/>
        <w:rPr/>
      </w:pPr>
      <w:r>
        <w:rPr>
          <w:rFonts w:ascii="Times New Roman;sans-serif" w:hAnsi="Times New Roman;sans-serif"/>
          <w:b/>
          <w:i/>
          <w:color w:val="000000"/>
          <w:sz w:val="20"/>
        </w:rPr>
        <w:t>Michael Zagorsek. </w:t>
      </w:r>
      <w:r>
        <w:rPr>
          <w:rFonts w:ascii="Times New Roman;sans-serif" w:hAnsi="Times New Roman;sans-serif"/>
          <w:b w:val="false"/>
          <w:color w:val="000000"/>
          <w:sz w:val="20"/>
        </w:rPr>
        <w:t>Michael Zagorsek has been Chief Operating Officer of the Company since the consummation of the Business Combination in April 2022. Mr. Zagorsek has served as SoundHound’s Chief Operating Officer since 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99085"/>
                <wp:effectExtent l="0" t="0" r="0" b="0"/>
                <wp:wrapNone/>
                <wp:docPr id="109" name="Frame10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Kamyar Mohajer, the brother of the Company’s CEO, Keyvan Mohajer, is an employee of SoundHound and serves as the Company’s Vice President of Corporate Strategy and International Expansion.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240" w:after="283"/>
        <w:ind w:left="0" w:right="0" w:firstLine="480"/>
        <w:jc w:val="both"/>
        <w:rPr/>
      </w:pPr>
      <w:r>
        <w:rPr>
          <w:rFonts w:ascii="Times New Roman;sans-serif" w:hAnsi="Times New Roman;sans-serif"/>
          <w:b w:val="false"/>
          <w:color w:val="000000"/>
          <w:sz w:val="20"/>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are independent directors under the Nasdaq listing rules and Rule 10A-3 of the Exchange Act. In making these determinations, our Board considered the current and prior relationships that each non-employee director has with SoundHound and all other facts and circumstances our Board deemed relevant in determining independence, including the beneficial ownership of our common stock by each non-employee director, and the transactions involving them described in the section entitled “</w:t>
      </w:r>
      <w:r>
        <w:rPr>
          <w:rFonts w:ascii="Times New Roman;sans-serif" w:hAnsi="Times New Roman;sans-serif"/>
          <w:b w:val="false"/>
          <w:i/>
          <w:color w:val="000000"/>
          <w:sz w:val="20"/>
        </w:rPr>
        <w:t>Certain Relationships and Related Transactions</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has one class of directors, with each director being elected in each year and serving a one-year term.</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Role of Board in Risk Oversight Process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face a number of risks, including those described under the caption “Risk Factors” contained elsewhere in this Annual Report.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240" w:after="283"/>
        <w:ind w:left="0" w:right="0" w:firstLine="480"/>
        <w:jc w:val="both"/>
        <w:rPr/>
      </w:pPr>
      <w:r>
        <w:rPr>
          <w:rFonts w:ascii="Times New Roman;sans-serif" w:hAnsi="Times New Roman;sans-serif"/>
          <w:b w:val="false"/>
          <w:color w:val="000000"/>
          <w:sz w:val="20"/>
        </w:rPr>
        <w:t xml:space="preserve">The standing committees of our Board consist of an Audit Committee, a Compensation Committee, and a Nominating and Corporate Governance Committee. The composition of each committee is set forth below. Committee charters are available on our investor relations website at </w:t>
      </w:r>
      <w:r>
        <w:rPr>
          <w:rFonts w:ascii="Times New Roman;sans-serif" w:hAnsi="Times New Roman;sans-serif"/>
          <w:b w:val="false"/>
          <w:i/>
          <w:color w:val="000000"/>
          <w:sz w:val="20"/>
        </w:rPr>
        <w:t>investors.soundhound.com</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committee’s duties are specified in our Audit Committee Charter.</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9085"/>
                <wp:effectExtent l="0" t="0" r="0" b="0"/>
                <wp:wrapNone/>
                <wp:docPr id="110" name="Frame10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guidelines for selecting nominees, including nominees who will permit the Continuing Company to comply with applicable Nasdaq diversity standards, will be specified in the Nominating and Corporate Governance Committee Charter.</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lineRule="auto" w:line="288" w:before="240" w:after="283"/>
        <w:ind w:left="0" w:right="0" w:firstLine="480"/>
        <w:jc w:val="both"/>
        <w:rPr/>
      </w:pPr>
      <w:r>
        <w:rPr>
          <w:rFonts w:ascii="Times New Roman;sans-serif" w:hAnsi="Times New Roman;sans-serif"/>
          <w:b w:val="false"/>
          <w:color w:val="000000"/>
          <w:sz w:val="20"/>
        </w:rPr>
        <w:t xml:space="preserve">We have adopted a new Code of Ethics for our directors, officers, employees and certain affiliates in accordance with applicable federal securities laws, a copy of which is available on our website at </w:t>
      </w:r>
      <w:r>
        <w:rPr>
          <w:rFonts w:ascii="Times New Roman;sans-serif" w:hAnsi="Times New Roman;sans-serif"/>
          <w:b w:val="false"/>
          <w:i/>
          <w:color w:val="000000"/>
          <w:sz w:val="20"/>
        </w:rPr>
        <w:t>www.soundhound.com</w:t>
      </w:r>
      <w:r>
        <w:rPr>
          <w:rFonts w:ascii="Times New Roman;sans-serif" w:hAnsi="Times New Roman;sans-serif"/>
          <w:b w:val="false"/>
          <w:color w:val="000000"/>
          <w:sz w:val="20"/>
        </w:rPr>
        <w:t>. A printed copy of the Code of Ethics available to any stockholder who so requests. Requests for a printed copy may be directed to: 5400 Betsy Ross Drive, Santa Clara, CA 95054 Attention: Dr. Keyvan Mohajer.</w:t>
      </w:r>
    </w:p>
    <w:p>
      <w:pPr>
        <w:pStyle w:val="TextBody"/>
        <w:spacing w:lineRule="auto" w:line="288" w:before="240" w:after="283"/>
        <w:ind w:left="0" w:right="0" w:firstLine="480"/>
        <w:jc w:val="both"/>
        <w:rPr/>
      </w:pPr>
      <w:r>
        <w:rPr>
          <w:rFonts w:ascii="Times New Roman;sans-serif" w:hAnsi="Times New Roman;sans-serif"/>
          <w:b w:val="false"/>
          <w:color w:val="000000"/>
          <w:sz w:val="20"/>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sans-serif" w:hAnsi="Times New Roman;sans-serif"/>
          <w:b w:val="false"/>
          <w:i/>
          <w:color w:val="000000"/>
          <w:sz w:val="20"/>
        </w:rPr>
        <w:t>www.soundhound.com</w:t>
      </w:r>
      <w:r>
        <w:rPr>
          <w:rFonts w:ascii="Times New Roman;sans-serif" w:hAnsi="Times New Roman;sans-serif"/>
          <w:b w:val="false"/>
          <w:color w:val="000000"/>
          <w:sz w:val="20"/>
        </w:rPr>
        <w:t>. The information on this website is not part of this Annual Report.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Officer and Director Compensation</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 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Legacy SoundHound’s board of directors (the “Legacy SoundHound Board”) had historically determined the compensation of Legacy SoundHound’s executive officers. Subsequent to the Business Combination, our Board has determined the compensation of our executive officers. For the year ended December 31, 2022, SoundHound AI’s named executive officers were Dr. Keyvan Mohajer, Chief Executive Officer, Nitesh Sharan, Chief Financial Officer, and Zubin Irani, Chief Revenue Officer.</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9085"/>
                <wp:effectExtent l="0" t="0" r="0" b="0"/>
                <wp:wrapNone/>
                <wp:docPr id="111" name="Frame10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considerations, expectations and determinations regarding future compensation programs. See “New Employment Agreements with Named Executive Officers” below for information regarding our current compensation arrangements with named executive officers.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 Compensation Table for Fiscal Years 2021 and 2022</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the compensation of the named executive officers for the fiscal years ended December 31, 2021 and 2022.</w:t>
      </w:r>
    </w:p>
    <w:tbl>
      <w:tblPr>
        <w:tblW w:w="10205" w:type="dxa"/>
        <w:jc w:val="left"/>
        <w:tblInd w:w="0" w:type="dxa"/>
        <w:tblCellMar>
          <w:top w:w="28" w:type="dxa"/>
          <w:left w:w="28" w:type="dxa"/>
          <w:bottom w:w="28" w:type="dxa"/>
          <w:right w:w="28" w:type="dxa"/>
        </w:tblCellMar>
      </w:tblPr>
      <w:tblGrid>
        <w:gridCol w:w="516"/>
        <w:gridCol w:w="428"/>
        <w:gridCol w:w="429"/>
        <w:gridCol w:w="262"/>
        <w:gridCol w:w="262"/>
        <w:gridCol w:w="263"/>
        <w:gridCol w:w="413"/>
        <w:gridCol w:w="413"/>
        <w:gridCol w:w="291"/>
        <w:gridCol w:w="422"/>
        <w:gridCol w:w="299"/>
        <w:gridCol w:w="244"/>
        <w:gridCol w:w="569"/>
        <w:gridCol w:w="533"/>
        <w:gridCol w:w="379"/>
        <w:gridCol w:w="578"/>
        <w:gridCol w:w="392"/>
        <w:gridCol w:w="394"/>
        <w:gridCol w:w="577"/>
        <w:gridCol w:w="577"/>
        <w:gridCol w:w="578"/>
        <w:gridCol w:w="540"/>
        <w:gridCol w:w="541"/>
        <w:gridCol w:w="305"/>
      </w:tblGrid>
      <w:tr>
        <w:trPr/>
        <w:tc>
          <w:tcPr>
            <w:tcW w:w="51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13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Salary</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w:t>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Bonus ($)</w:t>
            </w:r>
          </w:p>
        </w:tc>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Stock Awards</w:t>
            </w:r>
            <w:r>
              <w:rPr>
                <w:rFonts w:ascii="Times New Roman;sans-serif" w:hAnsi="Times New Roman;sans-serif"/>
                <w:b/>
                <w:color w:val="000000"/>
                <w:sz w:val="13"/>
              </w:rPr>
              <w:t>(2)</w:t>
            </w:r>
            <w:r>
              <w:rPr>
                <w:color w:val="000000"/>
              </w:rPr>
              <w:t xml:space="preserve"> </w:t>
            </w:r>
            <w:r>
              <w:rPr>
                <w:rFonts w:ascii="Times New Roman;sans-serif" w:hAnsi="Times New Roman;sans-serif"/>
                <w:b/>
                <w:color w:val="000000"/>
                <w:sz w:val="20"/>
              </w:rPr>
              <w:t>($)</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Option Awards</w:t>
            </w:r>
            <w:r>
              <w:rPr>
                <w:rFonts w:ascii="Times New Roman;sans-serif" w:hAnsi="Times New Roman;sans-serif"/>
                <w:b/>
                <w:color w:val="000000"/>
                <w:sz w:val="13"/>
              </w:rPr>
              <w:t>(3)</w:t>
            </w:r>
            <w:r>
              <w:rPr>
                <w:color w:val="000000"/>
              </w:rPr>
              <w:t xml:space="preserve"> </w:t>
            </w:r>
            <w:r>
              <w:rPr>
                <w:rFonts w:ascii="Times New Roman;sans-serif" w:hAnsi="Times New Roman;sans-serif"/>
                <w:b/>
                <w:color w:val="000000"/>
                <w:sz w:val="20"/>
              </w:rPr>
              <w:t>($)</w:t>
            </w:r>
          </w:p>
        </w:tc>
        <w:tc>
          <w:tcPr>
            <w:tcW w:w="1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 Compensation ($)</w:t>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Keyvan Mohajer, CEO</w:t>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381,042 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10,054,500 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10,435,542 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Nitesh Sharan, CFO</w:t>
            </w:r>
          </w:p>
        </w:tc>
        <w:tc>
          <w:tcPr>
            <w:tcW w:w="7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83,333</w:t>
            </w:r>
            <w:r>
              <w:rPr>
                <w:rFonts w:ascii="Times New Roman;sans-serif" w:hAnsi="Times New Roman;sans-serif"/>
                <w:b w:val="false"/>
                <w:color w:val="000000"/>
                <w:sz w:val="13"/>
              </w:rPr>
              <w:t>(4)</w:t>
            </w:r>
          </w:p>
        </w:tc>
        <w:tc>
          <w:tcPr>
            <w:tcW w:w="96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75,000</w:t>
            </w:r>
            <w:r>
              <w:rPr>
                <w:rFonts w:ascii="Times New Roman;sans-serif" w:hAnsi="Times New Roman;sans-serif"/>
                <w:b w:val="false"/>
                <w:color w:val="000000"/>
                <w:sz w:val="13"/>
              </w:rPr>
              <w:t>(5)</w:t>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952,070 </w:t>
            </w:r>
          </w:p>
        </w:tc>
        <w:tc>
          <w:tcPr>
            <w:tcW w:w="3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1,110,403 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328,958 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4,302,250 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4,706,208 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Zubin Irani, CRO</w:t>
            </w:r>
            <w:r>
              <w:rPr>
                <w:rFonts w:ascii="Times New Roman;sans-serif" w:hAnsi="Times New Roman;sans-serif"/>
                <w:b w:val="false"/>
                <w:color w:val="000000"/>
                <w:sz w:val="13"/>
              </w:rPr>
              <w:t>(6)</w:t>
            </w:r>
          </w:p>
        </w:tc>
        <w:tc>
          <w:tcPr>
            <w:tcW w:w="7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81,167 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634,713 </w:t>
            </w:r>
          </w:p>
        </w:tc>
        <w:tc>
          <w:tcPr>
            <w:tcW w:w="3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790,880 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319,146 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5,096,250 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5,415,396 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a 15% reduction in salary beginning in December 2022.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amounts disclosed represent the aggregate grant date fair value of stock awards granted to our named executive officers during the fiscal year ended December 31, 2022 under our 2022 Incentive Plan, calculated in accordance with Financial Accounting Standards Board ASC Topic 718. The assumptions used in calculating the grant date fair value of the stock awards are set forth in the notes to our audited financial statements included elsewhere in this Annual Report. This amount includes performance based stock awards which are not anticipated to vest as of the date of this Annual Report. This amount does not reflect the actual economic value that may be realized by the named executive officer.</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Annual Report. This amount does not reflect the actual economic value that may be realized by the named executive officer.</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(4)Mr. Sharan assumed responsibilities as Legacy SoundHound’s Chief Financial Officer in October 2021. Pursuant to his offer letter, Mr. Sharan’s annual salary was $300,000.</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(5)Mr. Sharan received a $75,000 sign-on/retention payment.</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(6)Mr. Irani’s employment status was changed to an advisor on February 3, 2023.</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Narrative Disclosure to Summary Compensation Table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Agreements with the Company’s Named Executive Officers as of December 31, 2022</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was party to an employment Agreement with Legacy SoundHound and then SoundHound AI through June 2, 2022. Our Chief Financial Officer and Chief Revenue Officer were parties to letter agreements with Legacy SoundHound and then SoundHound AI through June 2, 2022, provided that the letter agreement with Mr. Zubin Irani, our Chief Revenue Officer was not effective until January 5, 2022.</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Employment Agreements with Named Executive Officers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Zubin Irani, the Company’s Chief Revenue Officer, which replaced and superseded all prior employment agreements with such named executive officers. In addition, the Board adopted and approved a Non-Employee Director Compensation Policy.</w:t>
      </w:r>
    </w:p>
    <w:p>
      <w:pPr>
        <w:pStyle w:val="TextBody"/>
        <w:spacing w:lineRule="auto" w:line="288" w:before="240" w:after="283"/>
        <w:ind w:left="0" w:right="0" w:firstLine="4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Employment Agreement with Keyvan Mohajer, Chief Executive Officer</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Dr. Mohajer’s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9085"/>
                <wp:effectExtent l="0" t="0" r="0" b="0"/>
                <wp:wrapNone/>
                <wp:docPr id="112" name="Frame10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 annual base salary as then in effect. The annual bonus will be determined by the Company in its sole discretion based upon achievement of performance objectives to be determined by the Company.</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Dr. Mohajer is eligible to participate in the standard benefit plans offered to similarly situated employees by the Company from time to time.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Dr. Mohajer has also entered into the Company’s standard form of confidential information and inventions assignment agreement.</w:t>
      </w:r>
    </w:p>
    <w:p>
      <w:pPr>
        <w:pStyle w:val="TextBody"/>
        <w:spacing w:lineRule="auto" w:line="288" w:before="240" w:after="283"/>
        <w:ind w:left="0" w:right="0" w:firstLine="4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Employment Agreement with Nitesh Sharan, Chief Financial Officer</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9085"/>
                <wp:effectExtent l="0" t="0" r="0" b="0"/>
                <wp:wrapNone/>
                <wp:docPr id="113" name="Frame10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25% if the Company is cash-flow positive in a trailing 12 months; (iii) 25% if the Company’s stock price reaches a 90-day average of $15; and (iv) 25% if the Company’s stock price reaches a 90-day average of $20.</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Mr. Sharan is eligible to participate in the standard benefit plans offered to similarly-situated employees by the Company from time to time.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June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Mr. Sharan has also entered into the Company’s standard form of confidential information and inventions assignment agreement.</w:t>
      </w:r>
    </w:p>
    <w:p>
      <w:pPr>
        <w:pStyle w:val="TextBody"/>
        <w:spacing w:lineRule="auto" w:line="288" w:before="240" w:after="283"/>
        <w:ind w:left="0" w:right="0" w:firstLine="4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Agreement with Zubin Irani, Chief Revenue Officer</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Mr. Zubin Irani, who commenced his service as Legacy SoundHound’s Chief Revenue Officer in January 2022, pursuant to the terms of an offer letter agreement dated September 14, 2021 (the “CRO Letter Agreement”). Under the CRO letter agreement, Mr. Irani was entitled to a base salary of $300,000 per year.</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Mr. Irani’s employment agreement that was entered into in June 2022 (the “June 2022 CRO Employment Agreement”), Mr. Irani received a base salary of $335,000, effective retroactively as of May 1, 2022. In addition, Mr. Irani was eligible to earn an annual incentive bonus, with a target equal to 100% of his annual base salary as then in effect, with a maximum payout at 200% of his annual base salary as then in effect. The annual bonus was determined by the Company in its sole discretion, based upon achievement of performance objectives to be determined by the Company.</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 In August 2022, Mr. Irani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pStyle w:val="TextBody"/>
        <w:spacing w:lineRule="auto" w:line="288" w:before="240" w:after="283"/>
        <w:ind w:left="0" w:right="0" w:firstLine="480"/>
        <w:jc w:val="both"/>
        <w:rPr/>
      </w:pPr>
      <w:r>
        <w:rPr>
          <w:rFonts w:ascii="Times New Roman;sans-serif" w:hAnsi="Times New Roman;sans-serif"/>
          <w:b w:val="false"/>
          <w:color w:val="000000"/>
          <w:sz w:val="20"/>
        </w:rPr>
        <w:t>With the exception of the August 2022 RSU grant, the Options, RSUs, and PSUs have a four-year time-based vesting schedule, with 3/48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PSUs are subject to additional GAAP revenue performance-based vesting conditions, with (a) 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9085"/>
                <wp:effectExtent l="0" t="0" r="0" b="0"/>
                <wp:wrapNone/>
                <wp:docPr id="114" name="Frame10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Global Market of $15.00 or higher; and (c) 50,000 PSUs vesting upon the first achievement of the Class A Common Stock closing at a 90-day average closing price on the Nasdaq Global Market of $20.00 or higher.</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Mr. Irani was eligible to participate in the standard benefit plans offered to similarly-situated employees by the Company from time to time.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June 2022 CRO Employment Agreement provided for “at will employment,” and specifies certain compensation following termination of employment, including potential severance payments of three months of Mr. Irani’s then current base salary and payment for three months of any COBRA premiums if Mr. Irani’s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Mr. Irani has also entered into the Company’s standard form of confidential information and inventions assignment agreement.</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Mr. Irani’s employment agreement was terminated on February 3, 2023 and Mr. Irani became an advisor.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OUTSTANDING EQUITY AWARDS AT 2022 FISCAL YEAR END</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outstanding equity awards held by the Company’s Named Executive Officers as of December 31, 2022.</w:t>
      </w:r>
    </w:p>
    <w:tbl>
      <w:tblPr>
        <w:tblW w:w="10205" w:type="dxa"/>
        <w:jc w:val="left"/>
        <w:tblInd w:w="0" w:type="dxa"/>
        <w:tblCellMar>
          <w:top w:w="28" w:type="dxa"/>
          <w:left w:w="28" w:type="dxa"/>
          <w:bottom w:w="28" w:type="dxa"/>
          <w:right w:w="28" w:type="dxa"/>
        </w:tblCellMar>
      </w:tblPr>
      <w:tblGrid>
        <w:gridCol w:w="410"/>
        <w:gridCol w:w="326"/>
        <w:gridCol w:w="328"/>
        <w:gridCol w:w="210"/>
        <w:gridCol w:w="210"/>
        <w:gridCol w:w="211"/>
        <w:gridCol w:w="271"/>
        <w:gridCol w:w="271"/>
        <w:gridCol w:w="273"/>
        <w:gridCol w:w="681"/>
        <w:gridCol w:w="565"/>
        <w:gridCol w:w="567"/>
        <w:gridCol w:w="652"/>
        <w:gridCol w:w="613"/>
        <w:gridCol w:w="615"/>
        <w:gridCol w:w="654"/>
        <w:gridCol w:w="654"/>
        <w:gridCol w:w="656"/>
        <w:gridCol w:w="313"/>
        <w:gridCol w:w="295"/>
        <w:gridCol w:w="296"/>
        <w:gridCol w:w="328"/>
        <w:gridCol w:w="328"/>
        <w:gridCol w:w="478"/>
      </w:tblGrid>
      <w:tr>
        <w:trPr/>
        <w:tc>
          <w:tcPr>
            <w:tcW w:w="41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r>
      <w:tr>
        <w:trPr/>
        <w:tc>
          <w:tcPr>
            <w:tcW w:w="620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 Awards</w:t>
            </w:r>
          </w:p>
        </w:tc>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Vesting Start Date</w:t>
            </w:r>
          </w:p>
        </w:tc>
        <w:tc>
          <w:tcPr>
            <w:tcW w:w="1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Options Exercisable (#)</w:t>
            </w:r>
          </w:p>
        </w:tc>
        <w:tc>
          <w:tcPr>
            <w:tcW w:w="1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Options Unexercisable (#)</w:t>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Unearned Options Unexercisable (#)</w:t>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Exercise Price</w:t>
              <w:br/>
              <w:t>($)</w:t>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Expiration Date</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Keyvan Mohajer, CEO</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3/28/2017</w:t>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3/28/2017</w:t>
            </w:r>
            <w:r>
              <w:rPr>
                <w:rFonts w:ascii="Times New Roman;sans-serif" w:hAnsi="Times New Roman;sans-serif"/>
                <w:b w:val="false"/>
                <w:color w:val="000000"/>
                <w:sz w:val="13"/>
              </w:rPr>
              <w:t>(1)</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833,435 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3/28/2027</w:t>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Nitesh Sharan, CFO</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81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9/15/2021</w:t>
            </w:r>
            <w:r>
              <w:rPr>
                <w:rFonts w:ascii="Times New Roman;sans-serif" w:hAnsi="Times New Roman;sans-serif"/>
                <w:b w:val="false"/>
                <w:color w:val="000000"/>
                <w:sz w:val="13"/>
              </w:rPr>
              <w:t>(2)</w:t>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96,460 </w:t>
            </w:r>
          </w:p>
        </w:tc>
        <w:tc>
          <w:tcPr>
            <w:tcW w:w="5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212,217 </w:t>
            </w:r>
          </w:p>
        </w:tc>
        <w:tc>
          <w:tcPr>
            <w:tcW w:w="6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9/27/2031</w:t>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Zubin Irani, CRO</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9/15/2021</w:t>
            </w:r>
            <w:r>
              <w:rPr>
                <w:rFonts w:ascii="Times New Roman;sans-serif" w:hAnsi="Times New Roman;sans-serif"/>
                <w:b w:val="false"/>
                <w:color w:val="000000"/>
                <w:sz w:val="13"/>
              </w:rPr>
              <w:t>(2)</w:t>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64,310 </w:t>
            </w:r>
          </w:p>
        </w:tc>
        <w:tc>
          <w:tcPr>
            <w:tcW w:w="5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141,477 </w:t>
            </w:r>
          </w:p>
        </w:tc>
        <w:tc>
          <w:tcPr>
            <w:tcW w:w="6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9/27/2031</w:t>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(1)The option award was fully vested from the grant date. </w:t>
      </w:r>
    </w:p>
    <w:p>
      <w:pPr>
        <w:pStyle w:val="TextBody"/>
        <w:spacing w:lineRule="auto" w:line="288" w:before="0" w:after="0"/>
        <w:ind w:left="0" w:right="0" w:hanging="360"/>
        <w:jc w:val="both"/>
        <w:rPr/>
      </w:pPr>
      <w:r>
        <w:rPr>
          <w:rFonts w:ascii="Times New Roman;sans-serif" w:hAnsi="Times New Roman;sans-serif"/>
          <w:b w:val="false"/>
          <w:color w:val="000000"/>
          <w:sz w:val="18"/>
        </w:rPr>
        <w:t>(2)The option award has a four-year vesting schedule, with 25% of the award vesting 12 months after Vesting Start Date and 3/48</w:t>
      </w:r>
      <w:r>
        <w:rPr>
          <w:rFonts w:ascii="Times New Roman;sans-serif" w:hAnsi="Times New Roman;sans-serif"/>
          <w:b w:val="false"/>
          <w:color w:val="000000"/>
          <w:sz w:val="12"/>
        </w:rPr>
        <w:t xml:space="preserve">th </w:t>
      </w:r>
      <w:r>
        <w:rPr>
          <w:rFonts w:ascii="Times New Roman;sans-serif" w:hAnsi="Times New Roman;sans-serif"/>
          <w:b w:val="false"/>
          <w:color w:val="000000"/>
          <w:sz w:val="18"/>
        </w:rPr>
        <w:t>of the award vesting each quarter thereafter.</w:t>
      </w: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9085"/>
                <wp:effectExtent l="0" t="0" r="0" b="0"/>
                <wp:wrapNone/>
                <wp:docPr id="115" name="Frame109"/>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tbl>
      <w:tblPr>
        <w:tblW w:w="10205" w:type="dxa"/>
        <w:jc w:val="left"/>
        <w:tblInd w:w="0" w:type="dxa"/>
        <w:tblCellMar>
          <w:top w:w="28" w:type="dxa"/>
          <w:left w:w="28" w:type="dxa"/>
          <w:bottom w:w="28" w:type="dxa"/>
          <w:right w:w="28" w:type="dxa"/>
        </w:tblCellMar>
      </w:tblPr>
      <w:tblGrid>
        <w:gridCol w:w="467"/>
        <w:gridCol w:w="326"/>
        <w:gridCol w:w="329"/>
        <w:gridCol w:w="215"/>
        <w:gridCol w:w="215"/>
        <w:gridCol w:w="216"/>
        <w:gridCol w:w="560"/>
        <w:gridCol w:w="500"/>
        <w:gridCol w:w="501"/>
        <w:gridCol w:w="942"/>
        <w:gridCol w:w="517"/>
        <w:gridCol w:w="519"/>
        <w:gridCol w:w="763"/>
        <w:gridCol w:w="763"/>
        <w:gridCol w:w="765"/>
        <w:gridCol w:w="760"/>
        <w:gridCol w:w="760"/>
        <w:gridCol w:w="1087"/>
      </w:tblGrid>
      <w:tr>
        <w:trPr/>
        <w:tc>
          <w:tcPr>
            <w:tcW w:w="46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r>
      <w:tr>
        <w:trPr/>
        <w:tc>
          <w:tcPr>
            <w:tcW w:w="7598"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Restricted Stock Awards</w:t>
            </w:r>
          </w:p>
        </w:tc>
        <w:tc>
          <w:tcPr>
            <w:tcW w:w="2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and Position (a)</w:t>
            </w:r>
          </w:p>
        </w:tc>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br/>
              <w:t>(b)</w:t>
            </w:r>
          </w:p>
        </w:tc>
        <w:tc>
          <w:tcPr>
            <w:tcW w:w="15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Shares or Units of Stock That Have Not Vested </w:t>
              <w:br/>
              <w:t>(#)</w:t>
              <w:br/>
              <w:t>(c)</w:t>
            </w:r>
          </w:p>
        </w:tc>
        <w:tc>
          <w:tcPr>
            <w:tcW w:w="1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Market Value of Shares or Units of Stock That Have Not Vested</w:t>
            </w:r>
            <w:r>
              <w:rPr>
                <w:rFonts w:ascii="Times New Roman;sans-serif" w:hAnsi="Times New Roman;sans-serif"/>
                <w:b/>
                <w:color w:val="000000"/>
                <w:sz w:val="12"/>
              </w:rPr>
              <w:t>(1)</w:t>
            </w:r>
            <w:r>
              <w:rPr>
                <w:color w:val="000000"/>
              </w:rPr>
              <w:t xml:space="preserve">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w:t>
            </w:r>
          </w:p>
        </w:tc>
        <w:tc>
          <w:tcPr>
            <w:tcW w:w="2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 Incentive Plan Awards: Number of Unearned Shares, Units or Other Rights That Have Not Vested</w:t>
              <w:br/>
              <w:t>(#)</w:t>
              <w:br/>
              <w:t>(e)</w:t>
            </w:r>
          </w:p>
        </w:tc>
        <w:tc>
          <w:tcPr>
            <w:tcW w:w="26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Equity Incentive Plan Awards: Market or Payout Value of Unearned Shares, Units or Other Rights That Have Not Vested</w:t>
            </w:r>
            <w:r>
              <w:rPr>
                <w:rFonts w:ascii="Times New Roman;sans-serif" w:hAnsi="Times New Roman;sans-serif"/>
                <w:b/>
                <w:color w:val="000000"/>
                <w:sz w:val="12"/>
              </w:rPr>
              <w:t>(1)</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w:t>
            </w:r>
          </w:p>
        </w:tc>
      </w:tr>
      <w:tr>
        <w:trPr/>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Keyvan Mohajer, CEO</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6/02/2022</w:t>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615,000</w:t>
            </w:r>
            <w:r>
              <w:rPr>
                <w:rFonts w:ascii="Times New Roman;sans-serif" w:hAnsi="Times New Roman;sans-serif"/>
                <w:b w:val="false"/>
                <w:color w:val="000000"/>
                <w:sz w:val="13"/>
              </w:rPr>
              <w:t>(2)</w:t>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1,088,550 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6/02/2022</w:t>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260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9/07/2022</w:t>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400,000</w:t>
            </w:r>
            <w:r>
              <w:rPr>
                <w:rFonts w:ascii="Times New Roman;sans-serif" w:hAnsi="Times New Roman;sans-serif"/>
                <w:b w:val="false"/>
                <w:color w:val="000000"/>
                <w:sz w:val="13"/>
              </w:rPr>
              <w:t>(4)</w:t>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708,000 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Nitesh Sharan, CFO</w:t>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6/02/2022</w:t>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206,250</w:t>
            </w:r>
            <w:r>
              <w:rPr>
                <w:rFonts w:ascii="Times New Roman;sans-serif" w:hAnsi="Times New Roman;sans-serif"/>
                <w:b w:val="false"/>
                <w:color w:val="000000"/>
                <w:sz w:val="13"/>
              </w:rPr>
              <w:t>(2)</w:t>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365,063 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6/02/2022</w:t>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260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9/07/2022</w:t>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200,000</w:t>
            </w:r>
            <w:r>
              <w:rPr>
                <w:rFonts w:ascii="Times New Roman;sans-serif" w:hAnsi="Times New Roman;sans-serif"/>
                <w:b w:val="false"/>
                <w:color w:val="000000"/>
                <w:sz w:val="13"/>
              </w:rPr>
              <w:t>(4)</w:t>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354,000 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Zubin Irani, CRO</w:t>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6/02/2022</w:t>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206,250</w:t>
            </w:r>
            <w:r>
              <w:rPr>
                <w:rFonts w:ascii="Times New Roman;sans-serif" w:hAnsi="Times New Roman;sans-serif"/>
                <w:b w:val="false"/>
                <w:color w:val="000000"/>
                <w:sz w:val="13"/>
              </w:rPr>
              <w:t>(2)</w:t>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365,063 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6/02/2022</w:t>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260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9/07/2022</w:t>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200,000</w:t>
            </w:r>
            <w:r>
              <w:rPr>
                <w:rFonts w:ascii="Times New Roman;sans-serif" w:hAnsi="Times New Roman;sans-serif"/>
                <w:b w:val="false"/>
                <w:color w:val="000000"/>
                <w:sz w:val="13"/>
              </w:rPr>
              <w:t>(4)</w:t>
            </w:r>
          </w:p>
        </w:tc>
        <w:tc>
          <w:tcPr>
            <w:tcW w:w="1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354,000 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(1)The dollar amounts shown in columns (d) and (f) are determined by multiplying the number of shares or units shown in column (c) or (e), as applicable, by $1.77, the closing price of our common stock on December 31, 2022.</w:t>
      </w:r>
    </w:p>
    <w:p>
      <w:pPr>
        <w:pStyle w:val="TextBody"/>
        <w:spacing w:lineRule="auto" w:line="288" w:before="0" w:after="0"/>
        <w:ind w:left="0" w:right="0" w:hanging="360"/>
        <w:jc w:val="both"/>
        <w:rPr/>
      </w:pPr>
      <w:r>
        <w:rPr>
          <w:rFonts w:ascii="Times New Roman;sans-serif" w:hAnsi="Times New Roman;sans-serif"/>
          <w:b w:val="false"/>
          <w:color w:val="000000"/>
          <w:sz w:val="18"/>
        </w:rPr>
        <w:t>(2)The restricted stock award has a four-year vesting schedule, with 1/16</w:t>
      </w:r>
      <w:r>
        <w:rPr>
          <w:rFonts w:ascii="Times New Roman;sans-serif" w:hAnsi="Times New Roman;sans-serif"/>
          <w:b w:val="false"/>
          <w:color w:val="000000"/>
          <w:sz w:val="7"/>
        </w:rPr>
        <w:t>th</w:t>
      </w:r>
      <w:r>
        <w:rPr>
          <w:color w:val="000000"/>
        </w:rPr>
        <w:t xml:space="preserve"> </w:t>
      </w:r>
      <w:r>
        <w:rPr>
          <w:rFonts w:ascii="Times New Roman;sans-serif" w:hAnsi="Times New Roman;sans-serif"/>
          <w:b w:val="false"/>
          <w:color w:val="000000"/>
          <w:sz w:val="18"/>
        </w:rPr>
        <w:t>of the award vesting each quarter after the vesting commencement date.</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(3)Excludes PSUs with performance goals not currently expected to be achieved.</w:t>
      </w:r>
    </w:p>
    <w:p>
      <w:pPr>
        <w:pStyle w:val="TextBody"/>
        <w:spacing w:lineRule="auto" w:line="288" w:before="0" w:after="0"/>
        <w:ind w:left="0" w:right="0" w:hanging="360"/>
        <w:jc w:val="both"/>
        <w:rPr/>
      </w:pPr>
      <w:r>
        <w:rPr>
          <w:rFonts w:ascii="Times New Roman;sans-serif" w:hAnsi="Times New Roman;sans-serif"/>
          <w:b w:val="false"/>
          <w:color w:val="000000"/>
          <w:sz w:val="18"/>
        </w:rPr>
        <w:t>(4)The restricted stock award has a three-year vesting schedule, with 1/36</w:t>
      </w:r>
      <w:r>
        <w:rPr>
          <w:rFonts w:ascii="Times New Roman;sans-serif" w:hAnsi="Times New Roman;sans-serif"/>
          <w:b w:val="false"/>
          <w:color w:val="000000"/>
          <w:sz w:val="7"/>
        </w:rPr>
        <w:t>th</w:t>
      </w:r>
      <w:r>
        <w:rPr>
          <w:color w:val="000000"/>
        </w:rPr>
        <w:t xml:space="preserve"> </w:t>
      </w:r>
      <w:r>
        <w:rPr>
          <w:rFonts w:ascii="Times New Roman;sans-serif" w:hAnsi="Times New Roman;sans-serif"/>
          <w:b w:val="false"/>
          <w:color w:val="000000"/>
          <w:sz w:val="18"/>
        </w:rPr>
        <w:t>of the award vesting each month after the vesting commencement date.</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compensation earned by our non-employee directors for the year ended December 31, 2022.</w:t>
      </w:r>
    </w:p>
    <w:tbl>
      <w:tblPr>
        <w:tblW w:w="9333" w:type="dxa"/>
        <w:jc w:val="left"/>
        <w:tblInd w:w="0" w:type="dxa"/>
        <w:tblCellMar>
          <w:top w:w="28" w:type="dxa"/>
          <w:left w:w="28" w:type="dxa"/>
          <w:bottom w:w="28" w:type="dxa"/>
          <w:right w:w="28" w:type="dxa"/>
        </w:tblCellMar>
      </w:tblPr>
      <w:tblGrid>
        <w:gridCol w:w="435"/>
        <w:gridCol w:w="382"/>
        <w:gridCol w:w="383"/>
        <w:gridCol w:w="764"/>
        <w:gridCol w:w="764"/>
        <w:gridCol w:w="767"/>
        <w:gridCol w:w="413"/>
        <w:gridCol w:w="413"/>
        <w:gridCol w:w="401"/>
        <w:gridCol w:w="434"/>
        <w:gridCol w:w="434"/>
        <w:gridCol w:w="436"/>
        <w:gridCol w:w="749"/>
        <w:gridCol w:w="749"/>
        <w:gridCol w:w="751"/>
        <w:gridCol w:w="413"/>
        <w:gridCol w:w="413"/>
        <w:gridCol w:w="232"/>
      </w:tblGrid>
      <w:tr>
        <w:trPr/>
        <w:tc>
          <w:tcPr>
            <w:tcW w:w="43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 Paid in Cash</w:t>
              <w:br/>
              <w:t>($)</w:t>
            </w:r>
          </w:p>
        </w:tc>
        <w:tc>
          <w:tcPr>
            <w:tcW w:w="1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br/>
              <w:t>($)</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br/>
              <w:t>($)</w:t>
            </w:r>
          </w:p>
        </w:tc>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 Compensation ($)</w:t>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Ball</w:t>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47,325 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592,325 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Marcus</w:t>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7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545,000 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Diana Sroka</w:t>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31,500 </w:t>
            </w:r>
          </w:p>
        </w:tc>
        <w:tc>
          <w:tcPr>
            <w:tcW w:w="7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355,000 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576,500 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 and Management and Related Stockholder Matters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the Company regarding beneficial ownership of shares of the Company’s Class A Common Stock and Class B Common Stock as of March 23, 2023 by:</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9085"/>
                <wp:effectExtent l="0" t="0" r="0" b="0"/>
                <wp:wrapNone/>
                <wp:docPr id="116" name="Frame110"/>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480"/>
        <w:jc w:val="both"/>
        <w:rPr>
          <w:color w:val="000000"/>
        </w:rPr>
      </w:pPr>
      <w:r>
        <w:rPr>
          <w:color w:val="000000"/>
        </w:rPr>
        <w:t xml:space="preserve">• </w:t>
      </w:r>
      <w:r>
        <w:rPr>
          <w:rFonts w:ascii="Times New Roman;sans-serif" w:hAnsi="Times New Roman;sans-serif"/>
          <w:b w:val="false"/>
          <w:color w:val="000000"/>
          <w:sz w:val="20"/>
        </w:rPr>
        <w:t>each person known by the Company to be the beneficial owner of more than 5% of the Company’s outstanding Class A Common Stock and Class B Common Stock;</w:t>
      </w:r>
    </w:p>
    <w:p>
      <w:pPr>
        <w:pStyle w:val="TextBody"/>
        <w:spacing w:lineRule="auto" w:line="288" w:before="240" w:after="283"/>
        <w:ind w:left="0" w:right="0" w:firstLine="480"/>
        <w:jc w:val="both"/>
        <w:rPr>
          <w:color w:val="000000"/>
        </w:rPr>
      </w:pPr>
      <w:r>
        <w:rPr>
          <w:color w:val="000000"/>
        </w:rPr>
        <w:t xml:space="preserve">• </w:t>
      </w:r>
      <w:r>
        <w:rPr>
          <w:rFonts w:ascii="Times New Roman;sans-serif" w:hAnsi="Times New Roman;sans-serif"/>
          <w:b w:val="false"/>
          <w:color w:val="000000"/>
          <w:sz w:val="20"/>
        </w:rPr>
        <w:t>each of the Company’s named executive officers and directors; and</w:t>
      </w:r>
    </w:p>
    <w:p>
      <w:pPr>
        <w:pStyle w:val="TextBody"/>
        <w:spacing w:lineRule="auto" w:line="288" w:before="240" w:after="283"/>
        <w:ind w:left="0" w:right="0" w:firstLine="480"/>
        <w:jc w:val="both"/>
        <w:rPr>
          <w:color w:val="000000"/>
        </w:rPr>
      </w:pPr>
      <w:r>
        <w:rPr>
          <w:color w:val="000000"/>
        </w:rPr>
        <w:t xml:space="preserve">• </w:t>
      </w:r>
      <w:r>
        <w:rPr>
          <w:rFonts w:ascii="Times New Roman;sans-serif" w:hAnsi="Times New Roman;sans-serif"/>
          <w:b w:val="false"/>
          <w:color w:val="000000"/>
          <w:sz w:val="20"/>
        </w:rPr>
        <w:t>all executive officers and directors as a group.</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percentage of beneficial ownership is based on 219,909,116 shares of Company common stock issued and outstanding as of March 23, 2023, which calculation includes (i) 180,173,708 shares of the Company’s Class A Common Stock and (ii) 39,735,408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 rules, shares of our common stock which may be acquired upon exercise of stock options or warrants which are currently exercisable or which become exercisable within 60 days after March 23,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tbl>
      <w:tblPr>
        <w:tblW w:w="10205" w:type="dxa"/>
        <w:jc w:val="left"/>
        <w:tblInd w:w="0" w:type="dxa"/>
        <w:tblCellMar>
          <w:top w:w="28" w:type="dxa"/>
          <w:left w:w="28" w:type="dxa"/>
          <w:bottom w:w="28" w:type="dxa"/>
          <w:right w:w="28" w:type="dxa"/>
        </w:tblCellMar>
      </w:tblPr>
      <w:tblGrid>
        <w:gridCol w:w="978"/>
        <w:gridCol w:w="737"/>
        <w:gridCol w:w="740"/>
        <w:gridCol w:w="946"/>
        <w:gridCol w:w="616"/>
        <w:gridCol w:w="618"/>
        <w:gridCol w:w="255"/>
        <w:gridCol w:w="256"/>
        <w:gridCol w:w="442"/>
        <w:gridCol w:w="946"/>
        <w:gridCol w:w="616"/>
        <w:gridCol w:w="618"/>
        <w:gridCol w:w="307"/>
        <w:gridCol w:w="309"/>
        <w:gridCol w:w="442"/>
        <w:gridCol w:w="396"/>
        <w:gridCol w:w="250"/>
        <w:gridCol w:w="733"/>
      </w:tblGrid>
      <w:tr>
        <w:trPr/>
        <w:tc>
          <w:tcPr>
            <w:tcW w:w="9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Beneficial Ownership Table</w:t>
            </w:r>
          </w:p>
        </w:tc>
      </w:tr>
      <w:tr>
        <w:trPr/>
        <w:tc>
          <w:tcPr>
            <w:tcW w:w="2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Beneficial Owners</w:t>
            </w:r>
          </w:p>
        </w:tc>
        <w:tc>
          <w:tcPr>
            <w:tcW w:w="2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of Class A Common Stock</w:t>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Class</w:t>
            </w:r>
          </w:p>
        </w:tc>
        <w:tc>
          <w:tcPr>
            <w:tcW w:w="2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of Class B Common Stock</w:t>
            </w:r>
          </w:p>
        </w:tc>
        <w:tc>
          <w:tcPr>
            <w:tcW w:w="10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Class</w:t>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Voting Power</w:t>
            </w:r>
          </w:p>
        </w:tc>
      </w:tr>
      <w:tr>
        <w:trPr/>
        <w:tc>
          <w:tcPr>
            <w:tcW w:w="24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Directors and Executive Officers</w:t>
            </w:r>
          </w:p>
        </w:tc>
        <w:tc>
          <w:tcPr>
            <w:tcW w:w="2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 Keyvan Mohajer</w:t>
            </w:r>
            <w:r>
              <w:rPr>
                <w:rFonts w:ascii="Times New Roman;sans-serif" w:hAnsi="Times New Roman;sans-serif"/>
                <w:b w:val="false"/>
                <w:color w:val="000000"/>
                <w:sz w:val="13"/>
              </w:rPr>
              <w:t>(1)</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1,030,935 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16,639,064 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7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James Hom</w:t>
            </w:r>
            <w:r>
              <w:rPr>
                <w:rFonts w:ascii="Times New Roman;sans-serif" w:hAnsi="Times New Roman;sans-serif"/>
                <w:b w:val="false"/>
                <w:color w:val="000000"/>
                <w:sz w:val="13"/>
              </w:rPr>
              <w:t>(2)</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70,138 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4,512,588 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7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Larry Marcus</w:t>
            </w:r>
            <w:r>
              <w:rPr>
                <w:rFonts w:ascii="Times New Roman;sans-serif" w:hAnsi="Times New Roman;sans-serif"/>
                <w:b w:val="false"/>
                <w:color w:val="000000"/>
                <w:sz w:val="13"/>
              </w:rPr>
              <w:t>(3)</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825,104 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Diana Sroka</w:t>
            </w:r>
            <w:r>
              <w:rPr>
                <w:rFonts w:ascii="Times New Roman;sans-serif" w:hAnsi="Times New Roman;sans-serif"/>
                <w:b w:val="false"/>
                <w:color w:val="000000"/>
                <w:sz w:val="13"/>
              </w:rPr>
              <w:t>(4)</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66,343 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 Eric Ball</w:t>
            </w:r>
            <w:r>
              <w:rPr>
                <w:rFonts w:ascii="Times New Roman;sans-serif" w:hAnsi="Times New Roman;sans-serif"/>
                <w:b w:val="false"/>
                <w:color w:val="000000"/>
                <w:sz w:val="13"/>
              </w:rPr>
              <w:t>(5)</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741,394 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 Seyed Majid Emami</w:t>
            </w:r>
            <w:r>
              <w:rPr>
                <w:rFonts w:ascii="Times New Roman;sans-serif" w:hAnsi="Times New Roman;sans-serif"/>
                <w:b w:val="false"/>
                <w:color w:val="000000"/>
                <w:sz w:val="13"/>
              </w:rPr>
              <w:t>(6)</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736,886 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18,583,756 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7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Timothy Stonehocker</w:t>
            </w:r>
            <w:r>
              <w:rPr>
                <w:rFonts w:ascii="Times New Roman;sans-serif" w:hAnsi="Times New Roman;sans-serif"/>
                <w:b w:val="false"/>
                <w:color w:val="000000"/>
                <w:sz w:val="13"/>
              </w:rPr>
              <w:t>(7)</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1,658,774 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Nitesh Sharan</w:t>
            </w:r>
            <w:r>
              <w:rPr>
                <w:rFonts w:ascii="Times New Roman;sans-serif" w:hAnsi="Times New Roman;sans-serif"/>
                <w:b w:val="false"/>
                <w:color w:val="000000"/>
                <w:sz w:val="13"/>
              </w:rPr>
              <w:t>(8)</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349,884 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Michael Zagorsek</w:t>
            </w:r>
            <w:r>
              <w:rPr>
                <w:rFonts w:ascii="Times New Roman;sans-serif" w:hAnsi="Times New Roman;sans-serif"/>
                <w:b w:val="false"/>
                <w:color w:val="000000"/>
                <w:sz w:val="13"/>
              </w:rPr>
              <w:t>(9)</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1,061,677 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executive officers as a group (9 individuals)</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6,541,135 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39,735,408 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7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 Holders</w:t>
            </w:r>
          </w:p>
        </w:tc>
        <w:tc>
          <w:tcPr>
            <w:tcW w:w="2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Global Catalyst Partners III, L.P.</w:t>
            </w:r>
            <w:r>
              <w:rPr>
                <w:rFonts w:ascii="Times New Roman;sans-serif" w:hAnsi="Times New Roman;sans-serif"/>
                <w:b w:val="false"/>
                <w:color w:val="000000"/>
                <w:sz w:val="13"/>
              </w:rPr>
              <w:t>(10)</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35,188,205 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7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Less than 1%.</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9085"/>
                <wp:effectExtent l="0" t="0" r="0" b="0"/>
                <wp:wrapNone/>
                <wp:docPr id="117" name="Frame111"/>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(1)Includes 833,435 shares of Class A Common Stock that are issuable upon exercise of stock options which are currently exercisable and 55,000 shares of Class A Common Stock issuable upon vesting of outstanding RSUs that vest within 60 days of March 23, 2023.</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19,722 shares of Class A Common Stock issuable upon vesting of outstanding RSUs that vest within 60 days of March 23, 2023.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(3)Includes 29,258 shares of Class A Common Stock issuable upon vesting of outstanding RSUs that vest within 60 days of March 23, 2023 and 795,846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(4)Includes 28,228 shares of Class A Common Stock that are issuable upon exercise of stock options which are exercisable within 60 days of March 23, 2023 and 17,239 shares of Class A Common Stock issuable upon vesting of outstanding RSUs that vest within 60 days of March 23, 2023.</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(5)Includes 28,228 shares of Class A Common Stock that are issuable upon exercise of stock options which are exercisable within 60 days of March 23, 2023, 17,239 shares of Class A Common Stock issuable upon vesting of outstanding RSUs that vest within 60 days of March 23, 2023, 100,020 shares of Class A Common Stock issuable upon conversion of 3,334 shares of Series A Preferred Stock which are convertible within 60 days of March 23, 2023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(6)Includes 666,748 shares of Class A Common Stock that are issuable upon exercise of stock options which are currently exercisable and 19,722 shares of Class A Common Stock issuable upon vesting of outstanding RSUs that vest within 60 days of March 23, 2023.</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(7)Includes 750,964 shares of Class A Common Stock in exchange for securities pursuant to the Merger Agreement, 795,238 shares of Class A Common Stock that are issuable upon exercise of stock options that are currently exercisable or exercisable within 60 days of March 23, 2023 and 18,472 shares of Class A Common Stock issuable upon vesting of outstanding RSUs that vest within 60 days of March 23, 2023.</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(8)Includes 128,614 shares of Class A Common Stock that are issuable upon exercise of stock options which are currently exercisable or exercisable within 60 days of March 23, 2023, 25,000 shares of Class A Common Stock issuable upon vesting of outstanding RSUs that vest within 60 days of March 23, 2023 and 100,020 shares of Class A Common Stock issuable upon conversion of 3,334 shares of Series A Preferred Stock which are convertible within 60 days of March 23, 2023.</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(9)Consists of 972,927 shares of Class A Common Stock that are issuable upon exercise of stock options which are currently exercisable or exercisable within 60 days of March 23, 2023 and 25,000 shares of Class A Common Stock issuable upon vesting of outstanding RSUs that vest within 60 days of March 23, 2023.</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(10)Based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December 31, 2022 relating to all our equity compensation plans:</w:t>
      </w:r>
    </w:p>
    <w:tbl>
      <w:tblPr>
        <w:tblW w:w="10205" w:type="dxa"/>
        <w:jc w:val="left"/>
        <w:tblInd w:w="0" w:type="dxa"/>
        <w:tblCellMar>
          <w:top w:w="28" w:type="dxa"/>
          <w:left w:w="28" w:type="dxa"/>
          <w:bottom w:w="28" w:type="dxa"/>
          <w:right w:w="28" w:type="dxa"/>
        </w:tblCellMar>
      </w:tblPr>
      <w:tblGrid>
        <w:gridCol w:w="763"/>
        <w:gridCol w:w="669"/>
        <w:gridCol w:w="603"/>
        <w:gridCol w:w="757"/>
        <w:gridCol w:w="756"/>
        <w:gridCol w:w="758"/>
        <w:gridCol w:w="450"/>
        <w:gridCol w:w="1091"/>
        <w:gridCol w:w="235"/>
        <w:gridCol w:w="681"/>
        <w:gridCol w:w="680"/>
        <w:gridCol w:w="682"/>
        <w:gridCol w:w="627"/>
        <w:gridCol w:w="598"/>
        <w:gridCol w:w="855"/>
      </w:tblGrid>
      <w:tr>
        <w:trPr/>
        <w:tc>
          <w:tcPr>
            <w:tcW w:w="763"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2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22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 Upon Exercise of Outstanding Options (in thousands)</w:t>
            </w:r>
          </w:p>
        </w:tc>
        <w:tc>
          <w:tcPr>
            <w:tcW w:w="17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of Outstanding Options</w:t>
            </w:r>
          </w:p>
        </w:tc>
        <w:tc>
          <w:tcPr>
            <w:tcW w:w="2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Granted Restricted Stock Awards Outstanding (in thousands)</w:t>
            </w:r>
          </w:p>
        </w:tc>
        <w:tc>
          <w:tcPr>
            <w:tcW w:w="2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Future Issuance (in thousands)</w:t>
            </w:r>
          </w:p>
        </w:tc>
      </w:tr>
      <w:tr>
        <w:trPr/>
        <w:tc>
          <w:tcPr>
            <w:tcW w:w="2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5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25,420 </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5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25,420 </w:t>
            </w:r>
          </w:p>
        </w:tc>
        <w:tc>
          <w:tcPr>
            <w:tcW w:w="7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16,716 </w:t>
            </w:r>
          </w:p>
        </w:tc>
        <w:tc>
          <w:tcPr>
            <w:tcW w:w="6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8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Control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9085"/>
                <wp:effectExtent l="0" t="0" r="0" b="0"/>
                <wp:wrapNone/>
                <wp:docPr id="118" name="Frame112"/>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each transaction since January 1, 2021 and each currently proposed transaction in which: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SoundHound has been or is to be a participant;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amount involved exceeded or exceeds the lesser of (a) $120,000 or (b) one percent of the average of Legacy SoundHound’s total assets at year-end for the fiscal years ended December 31, 2022 and 2021;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of SoundHound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Since January 1, 2021, in connection with the equity financing rounds in which SoundHound or Legacy SoundHound has engaged since that date, the following agreements have been entered into (all of which are with investors in such financings, including holders of more than 5% of SoundHound’s capital stock or Legacy SoundHound’s capital stock at the time of such agreements.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Agreement</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On November 10, 2022, the Registration Statement on Form S-1, initially filed with the SEC on May 16, 2022, was declared effective by the SEC, relating to the Company’s obligations under the Amended and Restated Registration Rights Agreement.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Legacy SoundHound’s Engagement of Guggenheim Securities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Legacy SoundHound entered into an engagement letter (the “Guggenheim Engagement Letter”) pursuant to which Legacy SoundHound engaged Guggenheim Securities to act as (a) 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9085"/>
                <wp:effectExtent l="0" t="0" r="0" b="0"/>
                <wp:wrapNone/>
                <wp:docPr id="119" name="Frame113"/>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elsewhere herein, on or around January 20, 2023, SoundHound entered into Preferred Stock Purchase Agreements with certain investors pursuant to which the Company issued and sold to the investors an aggregate of 835,011 shares of its newly designated Series A Preferred Stock for an aggregate issue price of 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Policies and Procedures for Related Party Transactions</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SoundHound has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person who is, or at any time during the applicable period was, one of SoundHound’s officers or one of the SoundHound’s directors;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person who is known by SoundHound to be the beneficial owner of more than five percent (5%) of its voting stock;</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firm, corporation or other entity in which any of the foregoing persons is a partner or principal or in a similar position or in which such person has a ten percent (10%) or greater beneficial ownership interest.</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Company’s audit committee, or, if audit committee approval would be inappropriate, to another independent body of SoundHound’s Board of Directors,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 directors have an affirmative responsibility to disclose any transaction or relationship that reasonably could be expected to give rise to a conflict of interest. In considering related person transactions, SoundHound’s audit committee, or other independent body of SoundHound’s Board of Directors, will take into account the relevant available facts and circumstances including, but not limited to:</w:t>
      </w:r>
    </w:p>
    <w:p>
      <w:pPr>
        <w:pStyle w:val="TextBody"/>
        <w:spacing w:lineRule="auto" w:line="288" w:before="240" w:after="283"/>
        <w:ind w:left="0" w:right="0" w:firstLine="120"/>
        <w:jc w:val="both"/>
        <w:rPr/>
      </w:pPr>
      <w:r>
        <w:rPr>
          <w:color w:val="000000"/>
        </w:rPr>
        <w:t>•</w:t>
      </w:r>
      <w:r>
        <w:rPr>
          <w:rFonts w:ascii="Times New Roman;sans-serif" w:hAnsi="Times New Roman;sans-serif"/>
          <w:b w:val="false"/>
          <w:color w:val="000000"/>
          <w:sz w:val="20"/>
        </w:rPr>
        <w:t>the risks, costs and benefits to SoundHound;</w:t>
      </w:r>
    </w:p>
    <w:p>
      <w:pPr>
        <w:pStyle w:val="TextBody"/>
        <w:spacing w:lineRule="auto" w:line="288" w:before="240" w:after="283"/>
        <w:ind w:left="0" w:right="0" w:firstLine="120"/>
        <w:jc w:val="both"/>
        <w:rPr/>
      </w:pPr>
      <w:r>
        <w:rPr>
          <w:color w:val="000000"/>
        </w:rPr>
        <w:t>•</w:t>
      </w:r>
      <w:r>
        <w:rPr>
          <w:rFonts w:ascii="Times New Roman;sans-serif" w:hAnsi="Times New Roman;sans-serif"/>
          <w:b w:val="false"/>
          <w:color w:val="000000"/>
          <w:sz w:val="20"/>
        </w:rPr>
        <w:t>the impact on a director’s independence in the event that the related person is a director, immediate family member of a director or an entity with which a director is affiliated;</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9085"/>
                <wp:effectExtent l="0" t="0" r="0" b="0"/>
                <wp:wrapNone/>
                <wp:docPr id="120" name="Frame114"/>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ind w:left="0" w:right="0" w:firstLine="120"/>
        <w:jc w:val="both"/>
        <w:rPr/>
      </w:pPr>
      <w:r>
        <w:rPr>
          <w:color w:val="000000"/>
        </w:rPr>
        <w:t>•</w:t>
      </w:r>
      <w:r>
        <w:rPr>
          <w:rFonts w:ascii="Times New Roman;sans-serif" w:hAnsi="Times New Roman;sans-serif"/>
          <w:b w:val="false"/>
          <w:color w:val="000000"/>
          <w:sz w:val="20"/>
        </w:rPr>
        <w:t>the availability of other sources for comparable services or products; and</w:t>
      </w:r>
    </w:p>
    <w:p>
      <w:pPr>
        <w:pStyle w:val="TextBody"/>
        <w:spacing w:lineRule="auto" w:line="288" w:before="240" w:after="283"/>
        <w:ind w:left="0" w:right="0" w:firstLine="120"/>
        <w:jc w:val="both"/>
        <w:rPr/>
      </w:pPr>
      <w:r>
        <w:rPr>
          <w:color w:val="000000"/>
        </w:rPr>
        <w:t>•</w:t>
      </w:r>
      <w:r>
        <w:rPr>
          <w:rFonts w:ascii="Times New Roman;sans-serif" w:hAnsi="Times New Roman;sans-serif"/>
          <w:b w:val="false"/>
          <w:color w:val="000000"/>
          <w:sz w:val="20"/>
        </w:rPr>
        <w:t>the terms available to or from, as the case may be, unrelated third parties or to or from employees generally.</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policy requires that, in determining whether to approve, ratify or reject a related person transaction, SoundHound’s audit committee, or other independent body of SoundHound’s Board of Directors, must consider, in light of known circumstances, whether the transaction is in, or is not inconsistent with, SoundHound’s best interests and those of SoundHound’s stockholders, as SoundHound’s audit committee, or other independent body of SoundHound’s Board of Directors, determines in the good faith exercise of its discretion. </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transactions described in this section prior to the date of the Business Combination were entered into prior to the adoption of this policy.</w:t>
      </w:r>
    </w:p>
    <w:p>
      <w:pPr>
        <w:pStyle w:val="TextBody"/>
        <w:spacing w:lineRule="auto" w:line="288" w:before="240" w:after="283"/>
        <w:ind w:left="0" w:right="0" w:firstLine="480"/>
        <w:jc w:val="both"/>
        <w:rPr/>
      </w:pPr>
      <w:r>
        <w:rPr>
          <w:rFonts w:ascii="Times New Roman;sans-serif" w:hAnsi="Times New Roman;sans-serif"/>
          <w:b w:val="false"/>
          <w:color w:val="000000"/>
          <w:sz w:val="20"/>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responsible for determining the independence of our directors. For purposes of determining director independence, our board of directors has applied the definitions set forth in NASDAQ Rule 5605(a)(2) and the related rules of the SEC. Based upon its evaluation, our board of directors has affirmatively determined that the following directors meet the standards of independence: Dr Eric Ball, Larry Marcus and Diana Sroka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Audit Fees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 fees consist of fees billed for professional services rendered for the audit of our year-end financial statements, reviews of our quarterly financial statements and services that are normally provided by our independent registered public accounting firm in connection with statutory and regulatory filings. The aggregate fees billed by Armanino LLP for audit fees, inclusive of required filings with the SEC for the years ended December 31, 2022 and 2021 totaled $1,092 thousand and $889 thousand, respectively.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Audit-Related Fees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Audit-related fees consist of fees billed for assurance and related services that are reasonably related to performance of the audit or review of our year-end financial statements and are not reported under “Audit Fees.” There were no audit-related fees billed by Armanino LLP for the years ended December 31, 2022 and 2021.</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Tax Fees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fees consist of fees billed for professional services relating to tax compliance, tax planning and tax advice. The aggregate fees billed by Armanino LLP for tax fees for the year ended December 31, 2022 totaled $114 thousand. There were no tax fees billed by Armanino LLP for the year ended December 31, 2021.</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All Other Fees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other fees billed by Armanino LLP for the years ended December 31, 2022 and 2021.</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Pre-Approval Policy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9085"/>
                <wp:effectExtent l="0" t="0" r="0" b="0"/>
                <wp:wrapNone/>
                <wp:docPr id="121" name="Frame115"/>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Financial Statements. See Index to Consolidated Financial Statements in Part II, Item 8 of this Form 10-K.</w:t>
      </w:r>
    </w:p>
    <w:tbl>
      <w:tblPr>
        <w:tblW w:w="10205" w:type="dxa"/>
        <w:jc w:val="left"/>
        <w:tblInd w:w="0" w:type="dxa"/>
        <w:tblCellMar>
          <w:top w:w="28" w:type="dxa"/>
          <w:left w:w="28" w:type="dxa"/>
          <w:bottom w:w="28" w:type="dxa"/>
          <w:right w:w="28" w:type="dxa"/>
        </w:tblCellMar>
      </w:tblPr>
      <w:tblGrid>
        <w:gridCol w:w="369"/>
        <w:gridCol w:w="324"/>
        <w:gridCol w:w="325"/>
        <w:gridCol w:w="109"/>
        <w:gridCol w:w="109"/>
        <w:gridCol w:w="109"/>
        <w:gridCol w:w="1732"/>
        <w:gridCol w:w="1670"/>
        <w:gridCol w:w="1686"/>
        <w:gridCol w:w="109"/>
        <w:gridCol w:w="109"/>
        <w:gridCol w:w="109"/>
        <w:gridCol w:w="358"/>
        <w:gridCol w:w="358"/>
        <w:gridCol w:w="362"/>
        <w:gridCol w:w="123"/>
        <w:gridCol w:w="123"/>
        <w:gridCol w:w="123"/>
        <w:gridCol w:w="274"/>
        <w:gridCol w:w="274"/>
        <w:gridCol w:w="278"/>
        <w:gridCol w:w="123"/>
        <w:gridCol w:w="123"/>
        <w:gridCol w:w="123"/>
        <w:gridCol w:w="232"/>
        <w:gridCol w:w="232"/>
        <w:gridCol w:w="339"/>
      </w:tblGrid>
      <w:tr>
        <w:trPr/>
        <w:tc>
          <w:tcPr>
            <w:tcW w:w="36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101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1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240" w:after="283"/>
              <w:jc w:val="left"/>
              <w:rPr/>
            </w:pPr>
            <w:hyperlink r:id="rId8">
              <w:r>
                <w:rPr>
                  <w:rStyle w:val="InternetLink"/>
                  <w:rFonts w:ascii="Times New Roman;sans-serif" w:hAnsi="Times New Roman;sans-serif"/>
                  <w:b w:val="false"/>
                  <w:color w:val="0000FF"/>
                  <w:sz w:val="20"/>
                  <w:u w:val="single"/>
                </w:rPr>
                <w:t>Merger Agreement dated as of November 15, 2021 by and among Archimedes Tech SPAC Partners Co., ATSPC Merger Sub, Inc. and SoundHound,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11/16/21</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hyperlink r:id="rId9">
              <w:r>
                <w:rPr>
                  <w:rStyle w:val="InternetLink"/>
                  <w:rFonts w:ascii="Times New Roman;sans-serif" w:hAnsi="Times New Roman;sans-serif"/>
                  <w:b w:val="false"/>
                  <w:color w:val="0000FF"/>
                  <w:sz w:val="20"/>
                  <w:u w:val="single"/>
                </w:rPr>
                <w:t>Second Amended and Restated Certificate of Incorporation of SoundHound AI, Inc.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Bylaws of SoundHound AI,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SoundHound AI, Inc. Certificate of Designations of Preferences, Rights and Limitations of Series A Convertible Preferred Stock.</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01/24/23</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Amended and Restated Warrant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hyperlink r:id="rId13">
              <w:r>
                <w:rPr>
                  <w:rStyle w:val="InternetLink"/>
                </w:rPr>
                <w:t>Form of Specimen Class A Common Stock Certificate</w:t>
              </w:r>
            </w:hyperlink>
            <w:r>
              <w:rPr>
                <w:rFonts w:ascii="Times New Roman;sans-serif" w:hAnsi="Times New Roman;sans-serif"/>
                <w:b w:val="false"/>
                <w:color w:val="0000FF"/>
                <w:sz w:val="20"/>
                <w:u w:val="singl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05/16/22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88" w:before="240" w:after="283"/>
              <w:jc w:val="left"/>
              <w:rPr/>
            </w:pPr>
            <w:hyperlink r:id="rId14">
              <w:r>
                <w:rPr>
                  <w:rStyle w:val="InternetLink"/>
                </w:rPr>
                <w:t>Form of Specimen Warrant Certificate</w:t>
              </w:r>
            </w:hyperlink>
            <w:r>
              <w:rPr>
                <w:rFonts w:ascii="Times New Roman;sans-serif" w:hAnsi="Times New Roman;sans-serif"/>
                <w:b w:val="false"/>
                <w:color w:val="0000FF"/>
                <w:sz w:val="20"/>
                <w:u w:val="singl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05/16/22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hyperlink r:id="rId15">
              <w:r>
                <w:rPr>
                  <w:rStyle w:val="InternetLink"/>
                </w:rPr>
                <w:t>Amended and Restated Warrant Agreement</w:t>
              </w:r>
            </w:hyperlink>
            <w:r>
              <w:rPr>
                <w:rFonts w:ascii="Times New Roman;sans-serif" w:hAnsi="Times New Roman;sans-serif"/>
                <w:b w:val="false"/>
                <w:color w:val="0000FF"/>
                <w:sz w:val="20"/>
                <w:u w:val="singl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soun-20221231x10kxexx45.htm">
              <w:r>
                <w:rPr>
                  <w:rStyle w:val="InternetLink"/>
                  <w:rFonts w:ascii="Times New Roman;sans-serif" w:hAnsi="Times New Roman;sans-serif"/>
                  <w:b w:val="false"/>
                  <w:color w:val="0000FF"/>
                  <w:sz w:val="20"/>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Form of PIPE Subscription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11/16/21</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Form of Lock-Up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11/16/21</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hyperlink r:id="rId18">
              <w:r>
                <w:rPr>
                  <w:rStyle w:val="InternetLink"/>
                  <w:rFonts w:ascii="Times New Roman;sans-serif" w:hAnsi="Times New Roman;sans-serif"/>
                  <w:b w:val="false"/>
                  <w:color w:val="0000FF"/>
                  <w:sz w:val="20"/>
                  <w:u w:val="single"/>
                </w:rPr>
                <w:t>Amended and Restated Registration Rights Agreement, dated April 26, 2022, by and between SoundHound AI, Inc. and certain stockholders of SoundHound AI, Inc.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05/16/22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fldChar w:fldCharType="begin"/>
            </w:r>
            <w:r>
              <w:rPr>
                <w:rStyle w:val="InternetLink"/>
                <w:sz w:val="20"/>
                <w:u w:val="single"/>
                <w:b w:val="false"/>
                <w:rFonts w:ascii="Times New Roman;sans-serif" w:hAnsi="Times New Roman;sans-serif"/>
              </w:rPr>
              <w:instrText> HYPERLINK "http://www.sec.gov/Archives/edgar/data/1840856/000121390022018967/f424b30422_archimedes.htm" \l "T601"</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SoundHound AI, Inc. 2022 Incentive Award Plan.</w:t>
            </w:r>
            <w:r>
              <w:rPr>
                <w:rStyle w:val="InternetLink"/>
                <w:sz w:val="20"/>
                <w:u w:val="single"/>
                <w:b w:val="false"/>
                <w:rFonts w:ascii="Times New Roman;sans-serif" w:hAnsi="Times New Roman;sans-serif"/>
              </w:rPr>
              <w:fldChar w:fldCharType="end"/>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Proxy Statement</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Annex D</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04/08/22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r>
              <w:fldChar w:fldCharType="begin"/>
            </w:r>
            <w:r>
              <w:rPr>
                <w:rStyle w:val="InternetLink"/>
                <w:sz w:val="20"/>
                <w:u w:val="single"/>
                <w:b w:val="false"/>
                <w:rFonts w:ascii="Times New Roman;sans-serif" w:hAnsi="Times New Roman;sans-serif"/>
              </w:rPr>
              <w:instrText> HYPERLINK "http://www.sec.gov/Archives/edgar/data/1840856/000121390022018967/f424b30422_archimedes.htm" \l "T602"</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SoundHound AI, Inc. 2022 Employee Stock Purchase Plan.</w:t>
            </w:r>
            <w:r>
              <w:rPr>
                <w:rStyle w:val="InternetLink"/>
                <w:sz w:val="20"/>
                <w:u w:val="single"/>
                <w:b w:val="false"/>
                <w:rFonts w:ascii="Times New Roman;sans-serif" w:hAnsi="Times New Roman;sans-serif"/>
              </w:rPr>
              <w:fldChar w:fldCharType="end"/>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Proxy Statement</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Annex E</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04/08/22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Form of Restricted Stock Unit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Form of Stock Option Award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Form of Indemnity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hyperlink r:id="rId22">
              <w:r>
                <w:rPr>
                  <w:rStyle w:val="InternetLink"/>
                </w:rPr>
                <w:t>Employment Agreement with Keyvan Mohajer, Chief Executive Officer, dated June 2, 2022</w:t>
              </w:r>
            </w:hyperlink>
            <w:r>
              <w:rPr>
                <w:rFonts w:ascii="Times New Roman;sans-serif" w:hAnsi="Times New Roman;sans-serif"/>
                <w:b w:val="false"/>
                <w:color w:val="0000FF"/>
                <w:sz w:val="20"/>
                <w:u w:val="singl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06/08/22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88" w:before="240" w:after="283"/>
              <w:jc w:val="left"/>
              <w:rPr/>
            </w:pPr>
            <w:hyperlink r:id="rId23">
              <w:r>
                <w:rPr>
                  <w:rStyle w:val="InternetLink"/>
                </w:rPr>
                <w:t>Employment Agreement with Nitesh Sharan, Chief Financial Officer, dated June 2, 2022</w:t>
              </w:r>
            </w:hyperlink>
            <w:r>
              <w:rPr>
                <w:rFonts w:ascii="Times New Roman;sans-serif" w:hAnsi="Times New Roman;sans-serif"/>
                <w:b w:val="false"/>
                <w:color w:val="0000FF"/>
                <w:sz w:val="20"/>
                <w:u w:val="singl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06/08/22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hyperlink r:id="rId24">
              <w:r>
                <w:rPr>
                  <w:rStyle w:val="InternetLink"/>
                </w:rPr>
                <w:t>Employment Agreement with Timothy Stonehocker, Chief Technology Officer, dated June 2, 2022</w:t>
              </w:r>
            </w:hyperlink>
            <w:r>
              <w:rPr>
                <w:rFonts w:ascii="Times New Roman;sans-serif" w:hAnsi="Times New Roman;sans-serif"/>
                <w:b w:val="false"/>
                <w:color w:val="0000FF"/>
                <w:sz w:val="20"/>
                <w:u w:val="singl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06/08/22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88" w:before="240" w:after="283"/>
              <w:jc w:val="left"/>
              <w:rPr/>
            </w:pPr>
            <w:hyperlink r:id="rId25">
              <w:r>
                <w:rPr>
                  <w:rStyle w:val="InternetLink"/>
                </w:rPr>
                <w:t>Non-Employee Director Compensation Policy</w:t>
              </w:r>
            </w:hyperlink>
            <w:r>
              <w:rPr>
                <w:rFonts w:ascii="Times New Roman;sans-serif" w:hAnsi="Times New Roman;sans-serif"/>
                <w:b w:val="false"/>
                <w:color w:val="0000FF"/>
                <w:sz w:val="20"/>
                <w:u w:val="singl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06/08/22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Common Stock Purchase Agreement, dated as of August 16, 2022, by and between SoundHound AI, Inc. and CF Principal Investments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08/16/22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Registration Rights Agreement, dated as of August 16, 2022, by and between SoundHound AI, Inc. and CF Principal Investments LLC.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08/16/22</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Form of Amended and Restated Side Letter Agreement by and between SoundHound AI, Inc. and CF Principal Investments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02/14/23</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Form of Preferred Stock Purchase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01/24/23</w:t>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Subsidiaries of the Company.</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05/02/22</w:t>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8" w:type="dxa"/>
            <w:gridSpan w:val="3"/>
            <w:tcBorders/>
            <w:shd w:fill="CCEEFF" w:val="clear"/>
            <w:tcMar>
              <w:top w:w="0" w:type="dxa"/>
              <w:left w:w="0" w:type="dxa"/>
              <w:bottom w:w="0" w:type="dxa"/>
              <w:right w:w="0" w:type="dxa"/>
            </w:tcMar>
            <w:vAlign w:val="center"/>
          </w:tcPr>
          <w:p>
            <w:pPr>
              <w:pStyle w:val="TableContents"/>
              <w:spacing w:lineRule="auto" w:line="288" w:before="240" w:after="283"/>
              <w:jc w:val="left"/>
              <w:rPr/>
            </w:pPr>
            <w:hyperlink w:anchor="soun-20221231x10kxexx232.htm">
              <w:r>
                <w:rPr>
                  <w:rStyle w:val="InternetLink"/>
                  <w:rFonts w:ascii="Times New Roman;sans-serif" w:hAnsi="Times New Roman;sans-serif"/>
                  <w:b w:val="false"/>
                  <w:color w:val="0000FF"/>
                  <w:sz w:val="20"/>
                  <w:u w:val="single"/>
                </w:rPr>
                <w:t>Consent of Armanino LLP dated March 28, 2023.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9085"/>
                <wp:effectExtent l="0" t="0" r="0" b="0"/>
                <wp:wrapNone/>
                <wp:docPr id="122" name="Frame116"/>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tbl>
      <w:tblPr>
        <w:tblW w:w="10205" w:type="dxa"/>
        <w:jc w:val="left"/>
        <w:tblInd w:w="0" w:type="dxa"/>
        <w:tblCellMar>
          <w:top w:w="28" w:type="dxa"/>
          <w:left w:w="28" w:type="dxa"/>
          <w:bottom w:w="28" w:type="dxa"/>
          <w:right w:w="28" w:type="dxa"/>
        </w:tblCellMar>
      </w:tblPr>
      <w:tblGrid>
        <w:gridCol w:w="250"/>
        <w:gridCol w:w="206"/>
        <w:gridCol w:w="207"/>
        <w:gridCol w:w="109"/>
        <w:gridCol w:w="109"/>
        <w:gridCol w:w="109"/>
        <w:gridCol w:w="2400"/>
        <w:gridCol w:w="2400"/>
        <w:gridCol w:w="2405"/>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5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soun-20221231x10kxexx311.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soun-20221231x10kxexx312.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soun-20221231x10k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soun-20221231x10k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or furnished herewith.</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The Company agrees to furnish supplementally to the SEC a copy of any omitted schedule or exhibit upon the request of the SEC in accordance with Item 601(b)(2) of Regulation S-K.</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Previously filed.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9085"/>
                <wp:effectExtent l="0" t="0" r="0" b="0"/>
                <wp:wrapNone/>
                <wp:docPr id="123" name="Frame11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240" w:after="283"/>
        <w:rPr/>
      </w:pPr>
      <w:hyperlink w:anchor="ifd41532186be40da864fa25a496db740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910" w:type="dxa"/>
        <w:jc w:val="left"/>
        <w:tblInd w:w="0" w:type="dxa"/>
        <w:tblCellMar>
          <w:top w:w="28" w:type="dxa"/>
          <w:left w:w="28" w:type="dxa"/>
          <w:bottom w:w="28" w:type="dxa"/>
          <w:right w:w="28" w:type="dxa"/>
        </w:tblCellMar>
      </w:tblPr>
      <w:tblGrid>
        <w:gridCol w:w="683"/>
        <w:gridCol w:w="601"/>
        <w:gridCol w:w="605"/>
        <w:gridCol w:w="317"/>
        <w:gridCol w:w="317"/>
        <w:gridCol w:w="317"/>
        <w:gridCol w:w="604"/>
        <w:gridCol w:w="604"/>
        <w:gridCol w:w="862"/>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1"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SoundHound AI, Inc.</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021"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Keyvan Mohajer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on behalf of the Registrant and in the capacities and on the date indicated.</w:t>
      </w:r>
    </w:p>
    <w:tbl>
      <w:tblPr>
        <w:tblW w:w="7821" w:type="dxa"/>
        <w:jc w:val="left"/>
        <w:tblInd w:w="0" w:type="dxa"/>
        <w:tblCellMar>
          <w:top w:w="28" w:type="dxa"/>
          <w:left w:w="28" w:type="dxa"/>
          <w:bottom w:w="28" w:type="dxa"/>
          <w:right w:w="28" w:type="dxa"/>
        </w:tblCellMar>
      </w:tblPr>
      <w:tblGrid>
        <w:gridCol w:w="726"/>
        <w:gridCol w:w="639"/>
        <w:gridCol w:w="644"/>
        <w:gridCol w:w="109"/>
        <w:gridCol w:w="109"/>
        <w:gridCol w:w="109"/>
        <w:gridCol w:w="1234"/>
        <w:gridCol w:w="1234"/>
        <w:gridCol w:w="1251"/>
        <w:gridCol w:w="109"/>
        <w:gridCol w:w="109"/>
        <w:gridCol w:w="109"/>
        <w:gridCol w:w="419"/>
        <w:gridCol w:w="419"/>
        <w:gridCol w:w="601"/>
      </w:tblGrid>
      <w:tr>
        <w:trPr/>
        <w:tc>
          <w:tcPr>
            <w:tcW w:w="726"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Keyvan Mohajer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Nitesh Sharan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Nitesh Sharan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Hom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Eric Ball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Eric Ball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Marcus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Larry Marcus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Diana Sroka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Diana Sroka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99085"/>
                <wp:effectExtent l="0" t="0" r="0" b="0"/>
                <wp:wrapNone/>
                <wp:docPr id="124" name="Frame118"/>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4.5</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 REGISTERED PURSUANT TO SECTION 12 OF THE SECURITIES EXCHANGE ACT OF 1934, AS AMENDED</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As of December 31, 2022, </w:t>
      </w:r>
      <w:r>
        <w:rPr>
          <w:rFonts w:ascii="Times New Roman;sans-serif" w:hAnsi="Times New Roman;sans-serif"/>
          <w:b w:val="false"/>
          <w:color w:val="000000"/>
          <w:sz w:val="20"/>
          <w:highlight w:val="white"/>
        </w:rPr>
        <w:t>SoundHound AI, Inc.</w:t>
      </w:r>
      <w:r>
        <w:rPr>
          <w:color w:val="000000"/>
        </w:rPr>
        <w:t xml:space="preserve"> </w:t>
      </w:r>
      <w:r>
        <w:rPr>
          <w:rFonts w:ascii="Times New Roman;sans-serif" w:hAnsi="Times New Roman;sans-serif"/>
          <w:b w:val="false"/>
          <w:color w:val="000000"/>
          <w:sz w:val="20"/>
        </w:rPr>
        <w:t>(“we,” “our,” “us” or the “Company”) had the following two classes of securities registered under Section 12 of the Securities Exchange Act of 1934, as amended (the “Exchange Act”): (i) our Class A common stock, par value $0.0001 per share (“Class A common stock”), and (ii) our redeemable warrants, with each whole warrant entitling the registered holder to purchase one share of Class A common stock at a price of $11.50 per share, subject to adjustment as discussed below (the “listed warrants”).</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500,000,000 shares, par value $0.0001 per share, consisting of: (i) 499,000,000 shares of common stock, of which, 455,000,000 shares are designated as Class A common stock and 44,000,000 shares are designated as Class B common stock; and (ii)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summarizes the material terms of our Class A common stock and listed warrants and does not purport to be complete. It is subject to, and qualified in its entirety by reference to, our Second Amended &amp; Restated Certificate of Incorporation (“Amended Charter”), our Amended and Restated Bylaws and the warrant agreement for our listed warrants, each of which is incorporated by reference as an exhibit to our Annual Report on Form 10-K for the year ended December 31, 2022 (the “Report”) of which this Exhibit 4.5 is a part.</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Defined terms used herein but not otherwise defined shall have the meaning ascribed to such terms in the Report.</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Class A Common Stock</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Charter provides for two classes of common stock, our Class A common stock and our Class B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provides for mandatory or optional conversion of the Class B common stock into shares of Class A common stock upon the occurrence of circumstances described in the Amended Charter; however, our Class A common stock does not have conversion rights.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Listed Warrants</w:t>
      </w:r>
    </w:p>
    <w:p>
      <w:pPr>
        <w:pStyle w:val="TextBody"/>
        <w:spacing w:before="0" w:after="0"/>
        <w:rPr/>
      </w:pPr>
      <w:r>
        <w:rPr/>
      </w:r>
    </w:p>
    <w:p>
      <w:pPr>
        <w:pStyle w:val="TextBody"/>
        <w:spacing w:lineRule="auto" w:line="26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whole listed warrant entitles the registered holder to purchase one share of Class A common stock at a price of $11.50 per share, subject to adjustment as discussed below. However, no listed warrants will be exercisable </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cash unless we have an effective and current registration statement covering the shares of Class A common stock issuable upon exercise of the listed warrants and a current prospectus relating to such shares of Class A common stock. Notwithstanding the foregoing, if a registration statement covering the shares of Class A common stock issuable upon exercise of the listed warrants is not effective within 90 days following the consummation of our Business Combination, warrantholders may, until such time as there is an effective registration statement and during any period when we shall have failed to maintain an effective registration statement, exercise the listed warrants on a cashless basis pursuant to the exemption provided by Section 3(a)(9) of the Securities Act, provided that such exemption is available. If that exemption, or another exemption, is not available, holders will not be able to exercise their listed warrants on a cashless basis. In such event, each holder would pay the exercise price by surrendering the listed warrants for that number of shares of Class A common stock equal to the quotient obtained by dividing (x) the product of the number of shares of Class A common stock underlying the listed warrants, multiplied by the difference between the exercise price of the listed warrants and the “fair market value” (defined below) by (y) the fair market value. The “fair market value” for this purpose will mean the average reported last sale price of the shares of Class A common stock for the five trading days ending on the trading day prior to the date of exercise. The listed warrants will expire on April 26, 2027, or earlier upon redemption or liquidation.</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call the listed warrants for redemption, in whole and not in part, at a price of $0.01 per listed warrant, (i) at any time after the listed warrants become exercisable, (ii) upon not less than 30 days’ prior written notice of redemption to each warrantholder, (iii) if, and only if, the reported last sale price of the shares of Class A common stock equals or exceeds $18.00 per share (as adjusted for stock splits, stock dividends, reorganizations and recapitalizations), for any 20 trading days within a 30 trading day period commencing after the listed warrants become exercisable and ending on the third business day prior to the notice of redemption to warrantholders; and (iv) if, and only if, there is a current registration statement in effect with respect to the shares of Class A common stock underlying such listed warrants. The right to exercise will be forfeited unless the listed warrants are exercised prior to the date specified in the notice of redemption. On and after the redemption date, a record holder of a listed warrant will have no further rights except to receive the redemption price for such holder’s listed warrant upon surrender of such listed warrant.</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call the listed warrants for redemption as described above, our management will have the option to require all holders that wish to exercise listed warrants to do so on a “cashless basis.” In such event, each holder would pay the exercise price by surrendering the listed warrants for that number of shares of Class A common stock equal to the quotient obtained by dividing (x) the product of the number of shares of Class A common stock underlying the listed warrants, multiplied by the difference between the exercise price of the listed warrants and the “fair market value” (defined below) by (y) the fair market value. The “fair market value” for this purpose shall mean the average reported last sale price of the shares of Class A common stock for the five trading days ending on the third trading day prior to the date on which the notice of redemption is sent to the holders of listed warrants.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listed warrants were issued in registered form under a warrant agreement between Continental Stock Transfer &amp; Trust Company, as warrant agent, and us. The warrant agreement provides that the terms of the listed warrants may be amended without the consent of any holder to cure any ambiguity or correct any defective provision, but requires the approval, by written consent or vote, of the holders of at least 50% of the then outstanding listed warrants in order to make any change that adversely affects the interests of the registered holders.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exercise price and number of shares of Class A common stock issuable on exercise of the listed warrants may be adjusted in certain circumstances including in the event of a stock dividend, extraordinary dividend or our recapitalization, reorganization, merger or consolidation. </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listed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listed warrants being exercised. The warrant holders do not have the rights or privileges of holders of shares of Class A common stock and any voting rights until they exercise their listed warrants and receive shares of Class A common stock. After the issuance of shares of Class A common stock upon exercise of the listed warrants, each holder will be entitled to one vote for each share held of record on all matters to be voted on by stockholders.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listed warrant may elect to be subject to a restriction on the exercise of their listed warrants such that an electing warrant holder would not be able to exercise their listed warrants to the extent that, after giving effect to such exercise, such holder would beneficially own in excess of 9.8% of the shares of Class A common stock outstanding.</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will be issued upon exercise of the listed warrants. If, upon exercise of the listed warrants, a holder would be entitled to receive a fractional interest in a share, we will, upon exercise, round up to the nearest whole number the number of shares of Class A common stock to be issued to the warrant holder.</w:t>
      </w:r>
    </w:p>
    <w:p>
      <w:pPr>
        <w:pStyle w:val="TextBody"/>
        <w:spacing w:before="0" w:after="0"/>
        <w:rPr/>
      </w:pPr>
      <w:r>
        <w:rPr/>
      </w:r>
    </w:p>
    <w:p>
      <w:pPr>
        <w:pStyle w:val="TextBody"/>
        <w:spacing w:lineRule="auto" w:line="26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23.2</w:t>
      </w:r>
    </w:p>
    <w:p>
      <w:pPr>
        <w:pStyle w:val="TextBody"/>
        <w:spacing w:before="0" w:after="0"/>
        <w:jc w:val="center"/>
        <w:rPr/>
      </w:pPr>
      <w:r>
        <w:rPr/>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2"/>
          <w:highlight w:val="white"/>
          <w:u w:val="single"/>
        </w:rPr>
      </w:pPr>
      <w:r>
        <w:rPr>
          <w:rFonts w:ascii="Times New Roman;sans-serif" w:hAnsi="Times New Roman;sans-serif"/>
          <w:b w:val="false"/>
          <w:color w:val="000000"/>
          <w:sz w:val="22"/>
          <w:highlight w:val="white"/>
          <w:u w:val="single"/>
        </w:rPr>
        <w:t>CONSENT OF INDEPENDENT REGISTERED PUBLIC ACCOUNTING FIRM</w:t>
      </w:r>
    </w:p>
    <w:p>
      <w:pPr>
        <w:pStyle w:val="TextBody"/>
        <w:spacing w:before="0" w:after="0"/>
        <w:rPr/>
      </w:pPr>
      <w:r>
        <w:rPr/>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highlight w:val="white"/>
        </w:rPr>
        <w:t xml:space="preserve">We hereby consent to the incorporation by reference in the Registration Statement on Form S-8 (No. 333-266239) of our report dated March 28, 2023, relating to the consolidated financial statements of SoundHound AI, Inc., </w:t>
      </w:r>
      <w:r>
        <w:rPr>
          <w:rFonts w:ascii="Times New Roman;sans-serif" w:hAnsi="Times New Roman;sans-serif"/>
          <w:b w:val="false"/>
          <w:color w:val="000000"/>
          <w:sz w:val="22"/>
        </w:rPr>
        <w:t>appearing in this Annual Report on Form 10-K</w:t>
      </w:r>
      <w:r>
        <w:rPr>
          <w:color w:val="000000"/>
          <w:highlight w:val="white"/>
        </w:rPr>
        <w:t xml:space="preserve"> </w:t>
      </w:r>
      <w:r>
        <w:rPr>
          <w:rFonts w:ascii="Times New Roman;sans-serif" w:hAnsi="Times New Roman;sans-serif"/>
          <w:b w:val="false"/>
          <w:color w:val="000000"/>
          <w:sz w:val="24"/>
          <w:highlight w:val="white"/>
        </w:rPr>
        <w:t xml:space="preserve">of SoundHound AI, Inc. </w:t>
      </w:r>
      <w:r>
        <w:rPr>
          <w:rFonts w:ascii="Times New Roman;sans-serif" w:hAnsi="Times New Roman;sans-serif"/>
          <w:b w:val="false"/>
          <w:color w:val="000000"/>
          <w:sz w:val="22"/>
        </w:rPr>
        <w:t>for the year ended December 31, 2022.</w:t>
      </w:r>
      <w:r>
        <w:rPr>
          <w:color w:val="000000"/>
          <w:highlight w:val="white"/>
        </w:rPr>
        <w:t xml:space="preserve">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highlight w:val="white"/>
        </w:rPr>
        <w:t>Armanino</w:t>
      </w:r>
      <w:r>
        <w:rPr>
          <w:rFonts w:ascii="Times New Roman;sans-serif" w:hAnsi="Times New Roman;sans-serif"/>
          <w:b w:val="false"/>
          <w:color w:val="000000"/>
          <w:sz w:val="13"/>
        </w:rPr>
        <w:t>LLP</w:t>
      </w:r>
    </w:p>
    <w:p>
      <w:pPr>
        <w:pStyle w:val="TextBody"/>
        <w:spacing w:lineRule="auto" w:line="268" w:before="0" w:after="0"/>
        <w:ind w:left="0" w:right="0" w:firstLine="72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San Jose, California</w:t>
      </w:r>
    </w:p>
    <w:p>
      <w:pPr>
        <w:pStyle w:val="TextBody"/>
        <w:spacing w:before="0" w:after="0"/>
        <w:rPr/>
      </w:pPr>
      <w:r>
        <w:rPr/>
      </w:r>
    </w:p>
    <w:p>
      <w:pPr>
        <w:pStyle w:val="TextBody"/>
        <w:spacing w:lineRule="auto" w:line="249" w:before="0" w:after="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March 28,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pPr>
      <w:r>
        <w:rPr>
          <w:rFonts w:ascii="Times New Roman;sans-serif" w:hAnsi="Times New Roman;sans-serif"/>
          <w:b/>
          <w:color w:val="000000"/>
          <w:sz w:val="20"/>
        </w:rPr>
        <w:t>Exhibit 31.1</w:t>
      </w:r>
      <w:r>
        <w:rPr>
          <w:color w:val="000000"/>
        </w:rPr>
        <w:t xml:space="preserve">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Dr. Keyvan Mohajer,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SoundHound AI,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8" w:type="dxa"/>
        <w:jc w:val="left"/>
        <w:tblInd w:w="0" w:type="dxa"/>
        <w:tblCellMar>
          <w:top w:w="28" w:type="dxa"/>
          <w:left w:w="28" w:type="dxa"/>
          <w:bottom w:w="28" w:type="dxa"/>
          <w:right w:w="28" w:type="dxa"/>
        </w:tblCellMar>
      </w:tblPr>
      <w:tblGrid>
        <w:gridCol w:w="511"/>
        <w:gridCol w:w="447"/>
        <w:gridCol w:w="452"/>
        <w:gridCol w:w="224"/>
        <w:gridCol w:w="224"/>
        <w:gridCol w:w="226"/>
        <w:gridCol w:w="722"/>
        <w:gridCol w:w="722"/>
        <w:gridCol w:w="1030"/>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Dr. Keyvan Mohajer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Nitesh Sharan,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SoundHound AI,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98" w:type="dxa"/>
        <w:jc w:val="left"/>
        <w:tblInd w:w="0" w:type="dxa"/>
        <w:tblCellMar>
          <w:top w:w="28" w:type="dxa"/>
          <w:left w:w="28" w:type="dxa"/>
          <w:bottom w:w="28" w:type="dxa"/>
          <w:right w:w="28" w:type="dxa"/>
        </w:tblCellMar>
      </w:tblPr>
      <w:tblGrid>
        <w:gridCol w:w="511"/>
        <w:gridCol w:w="447"/>
        <w:gridCol w:w="452"/>
        <w:gridCol w:w="224"/>
        <w:gridCol w:w="224"/>
        <w:gridCol w:w="226"/>
        <w:gridCol w:w="707"/>
        <w:gridCol w:w="707"/>
        <w:gridCol w:w="1000"/>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Nitesh Sharan</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Nitesh Sharan</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pPr>
      <w:r>
        <w:rPr>
          <w:rFonts w:ascii="Times New Roman;sans-serif" w:hAnsi="Times New Roman;sans-serif"/>
          <w:b/>
          <w:color w:val="000000"/>
          <w:sz w:val="20"/>
        </w:rPr>
        <w:t>SECTION 906 OF THE SARBANES-OXLEY ACT OF 2002</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SoundHound AI, Inc. (the “Company”) on Form 10-K for the annual period ended December 31, 2022,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5007" w:type="dxa"/>
        <w:jc w:val="left"/>
        <w:tblInd w:w="0" w:type="dxa"/>
        <w:tblCellMar>
          <w:top w:w="28" w:type="dxa"/>
          <w:left w:w="28" w:type="dxa"/>
          <w:bottom w:w="28" w:type="dxa"/>
          <w:right w:w="28" w:type="dxa"/>
        </w:tblCellMar>
      </w:tblPr>
      <w:tblGrid>
        <w:gridCol w:w="1678"/>
        <w:gridCol w:w="1476"/>
        <w:gridCol w:w="1481"/>
        <w:gridCol w:w="109"/>
        <w:gridCol w:w="109"/>
        <w:gridCol w:w="154"/>
      </w:tblGrid>
      <w:tr>
        <w:trPr/>
        <w:tc>
          <w:tcPr>
            <w:tcW w:w="1678"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Dr. Keyvan Mohajer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Keyvan Mohajer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pPr>
      <w:r>
        <w:rPr>
          <w:rFonts w:ascii="Times New Roman;sans-serif" w:hAnsi="Times New Roman;sans-serif"/>
          <w:b/>
          <w:color w:val="000000"/>
          <w:sz w:val="20"/>
        </w:rPr>
        <w:t>SECTION 906 OF THE SARBANES-OXLEY ACT OF 2002</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SoundHound AI, Inc. (the “Company”) on Form 10-K for the annual period ended December 31, 2022,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4887" w:type="dxa"/>
        <w:jc w:val="left"/>
        <w:tblInd w:w="0" w:type="dxa"/>
        <w:tblCellMar>
          <w:top w:w="28" w:type="dxa"/>
          <w:left w:w="28" w:type="dxa"/>
          <w:bottom w:w="28" w:type="dxa"/>
          <w:right w:w="28" w:type="dxa"/>
        </w:tblCellMar>
      </w:tblPr>
      <w:tblGrid>
        <w:gridCol w:w="1635"/>
        <w:gridCol w:w="1434"/>
        <w:gridCol w:w="1446"/>
        <w:gridCol w:w="109"/>
        <w:gridCol w:w="109"/>
        <w:gridCol w:w="154"/>
      </w:tblGrid>
      <w:tr>
        <w:trPr/>
        <w:tc>
          <w:tcPr>
            <w:tcW w:w="1635"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Nitesh Sharan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Nitesh Sharan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r>
        <w:br w:type="page"/>
      </w:r>
    </w:p>
    <w:p>
      <w:pPr>
        <w:pStyle w:val="TextBody"/>
        <w:spacing w:before="0" w:after="283"/>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840856/000121390021059752/ea150505ex2-1_archimedes.htm" TargetMode="External"/><Relationship Id="rId9" Type="http://schemas.openxmlformats.org/officeDocument/2006/relationships/hyperlink" Target="http://www.sec.gov/Archives/edgar/data/1840856/000121390022023274/ea159193ex3-1_soundhound.htm" TargetMode="External"/><Relationship Id="rId10" Type="http://schemas.openxmlformats.org/officeDocument/2006/relationships/hyperlink" Target="http://www.sec.gov/Archives/edgar/data/1840856/000121390022023274/ea159193ex3-2_soundhound.htm" TargetMode="External"/><Relationship Id="rId11" Type="http://schemas.openxmlformats.org/officeDocument/2006/relationships/hyperlink" Target="https://www.sec.gov/Archives/edgar/data/1840856/000184085623000008/a31preferredstockcertifica.htm" TargetMode="External"/><Relationship Id="rId12" Type="http://schemas.openxmlformats.org/officeDocument/2006/relationships/hyperlink" Target="http://www.sec.gov/Archives/edgar/data/1840856/000121390022023274/ea159193ex4-1_soundhound.htm" TargetMode="External"/><Relationship Id="rId13" Type="http://schemas.openxmlformats.org/officeDocument/2006/relationships/hyperlink" Target="http://www.sec.gov/Archives/edgar/data/1840856/000121390022026797/fs12022ex4-2_soundhound.htm" TargetMode="External"/><Relationship Id="rId14" Type="http://schemas.openxmlformats.org/officeDocument/2006/relationships/hyperlink" Target="http://www.sec.gov/Archives/edgar/data/1840856/000121390022026797/fs12022ex4-3_soundhound.htm" TargetMode="External"/><Relationship Id="rId15" Type="http://schemas.openxmlformats.org/officeDocument/2006/relationships/hyperlink" Target="http://www.sec.gov/Archives/edgar/data/1840856/000121390022023274/ea159193ex4-1_soundhound.htm" TargetMode="External"/><Relationship Id="rId16" Type="http://schemas.openxmlformats.org/officeDocument/2006/relationships/hyperlink" Target="http://www.sec.gov/Archives/edgar/data/1840856/000121390021059752/ea150505ex10-3_archimedes.htm" TargetMode="External"/><Relationship Id="rId17" Type="http://schemas.openxmlformats.org/officeDocument/2006/relationships/hyperlink" Target="http://www.sec.gov/Archives/edgar/data/1840856/000121390021059752/ea150505ex10-4_archimedes.htm" TargetMode="External"/><Relationship Id="rId18" Type="http://schemas.openxmlformats.org/officeDocument/2006/relationships/hyperlink" Target="http://www.sec.gov/Archives/edgar/data/1840856/000121390022026797/fs12022ex10-3_soundhound.htm" TargetMode="External"/><Relationship Id="rId19" Type="http://schemas.openxmlformats.org/officeDocument/2006/relationships/hyperlink" Target="http://www.sec.gov/Archives/edgar/data/1840856/000121390022023274/ea159193ex10-8_soundhound.htm" TargetMode="External"/><Relationship Id="rId20" Type="http://schemas.openxmlformats.org/officeDocument/2006/relationships/hyperlink" Target="http://www.sec.gov/Archives/edgar/data/1840856/000121390022023274/ea159193ex10-9_soundhound.htm" TargetMode="External"/><Relationship Id="rId21" Type="http://schemas.openxmlformats.org/officeDocument/2006/relationships/hyperlink" Target="http://www.sec.gov/Archives/edgar/data/1840856/000121390022023274/ea159193ex10-10_soundhound.htm" TargetMode="External"/><Relationship Id="rId22" Type="http://schemas.openxmlformats.org/officeDocument/2006/relationships/hyperlink" Target="http://www.sec.gov/Archives/edgar/data/1840856/000121390022031794/ea161309ex10-1_soundhound.htm" TargetMode="External"/><Relationship Id="rId23" Type="http://schemas.openxmlformats.org/officeDocument/2006/relationships/hyperlink" Target="http://www.sec.gov/Archives/edgar/data/1840856/000121390022031794/ea161309ex10-2_soundhound.htm" TargetMode="External"/><Relationship Id="rId24" Type="http://schemas.openxmlformats.org/officeDocument/2006/relationships/hyperlink" Target="http://www.sec.gov/Archives/edgar/data/1840856/000121390022031794/ea161309ex10-3_soundhound.htm" TargetMode="External"/><Relationship Id="rId25" Type="http://schemas.openxmlformats.org/officeDocument/2006/relationships/hyperlink" Target="http://www.sec.gov/Archives/edgar/data/1840856/000121390022031794/ea161309ex10-4_soundhound.htm" TargetMode="External"/><Relationship Id="rId26" Type="http://schemas.openxmlformats.org/officeDocument/2006/relationships/hyperlink" Target="https://www.sec.gov/Archives/edgar/data/1840856/000121390022049015/ea164559ex10-1_sound.htm" TargetMode="External"/><Relationship Id="rId27" Type="http://schemas.openxmlformats.org/officeDocument/2006/relationships/hyperlink" Target="https://www.sec.gov/Archives/edgar/data/1840856/000121390022049015/ea164559ex10-2_sound.htm" TargetMode="External"/><Relationship Id="rId28" Type="http://schemas.openxmlformats.org/officeDocument/2006/relationships/hyperlink" Target="https://www.sec.gov/Archives/edgar/data/1840856/000121390023011606/fs12023a4ex10-15_soundhound.htm" TargetMode="External"/><Relationship Id="rId29" Type="http://schemas.openxmlformats.org/officeDocument/2006/relationships/hyperlink" Target="https://www.sec.gov/Archives/edgar/data/1840856/000184085623000008/a101preferredstockpurchase.htm" TargetMode="External"/><Relationship Id="rId30" Type="http://schemas.openxmlformats.org/officeDocument/2006/relationships/hyperlink" Target="http://www.sec.gov/Archives/edgar/data/1840856/000121390022023274/ea159193ex21-1_soundhound.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68158</Words>
  <CharactersWithSpaces>446680</CharactersWithSpaces>
  <Paragraphs>4101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