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right"/>
              <w:ind w:right="1500"/>
              <w:spacing w:after="0"/>
              <w:rPr>
                <w:sz w:val="20"/>
                <w:szCs w:val="20"/>
                <w:color w:val="auto"/>
              </w:rPr>
            </w:pPr>
            <w:r>
              <w:rPr>
                <w:rFonts w:ascii="Times New Roman" w:cs="Times New Roman" w:eastAsia="Times New Roman" w:hAnsi="Times New Roman"/>
                <w:sz w:val="18"/>
                <w:szCs w:val="18"/>
                <w:b w:val="1"/>
                <w:bCs w:val="1"/>
                <w:color w:val="auto"/>
              </w:rPr>
              <w:t>1-40193</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85-1286799</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3"/>
          </w:tcPr>
          <w:p>
            <w:pPr>
              <w:jc w:val="center"/>
              <w:ind w:right="6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23"/>
        </w:trPr>
        <w:tc>
          <w:tcPr>
            <w:tcW w:w="444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8"/>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441-3200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SOUN</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w:t>
            </w:r>
          </w:p>
        </w:tc>
        <w:tc>
          <w:tcPr>
            <w:tcW w:w="38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SOUNW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 Common Stock at an exercise price of $11.50</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 share, subject to adjustment</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136"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Merger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21, 2026, SoundHound AI,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Merger Agreement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Lightspeed Merger Sub Inc., a Delaware corporation and an indirect wholly 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LivePerson, Inc., a Delaware corporation (“</w:t>
      </w:r>
      <w:r>
        <w:rPr>
          <w:rFonts w:ascii="Times New Roman" w:cs="Times New Roman" w:eastAsia="Times New Roman" w:hAnsi="Times New Roman"/>
          <w:sz w:val="18"/>
          <w:szCs w:val="18"/>
          <w:u w:val="single" w:color="auto"/>
          <w:color w:val="auto"/>
        </w:rPr>
        <w:t>LivePerson</w:t>
      </w:r>
      <w:r>
        <w:rPr>
          <w:rFonts w:ascii="Times New Roman" w:cs="Times New Roman" w:eastAsia="Times New Roman" w:hAnsi="Times New Roman"/>
          <w:sz w:val="18"/>
          <w:szCs w:val="18"/>
          <w:color w:val="auto"/>
        </w:rPr>
        <w:t>”), pursuant to which, on the terms and subject to the conditions set forth in the Merger Agreement, Merger Sub will merge with and into LivePerson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LivePerson surviving the Merger as an indirect wholly owned subsidiary of the Company. All defined terms used in this summary of the Merger Agreement that are not otherwise defined herein have the meanings ascribed to such terms in the Merger Agreement.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date and time the Merger becomes effective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each share of common stock, par value $0.001 per share, of LivePerson (“</w:t>
      </w:r>
      <w:r>
        <w:rPr>
          <w:rFonts w:ascii="Times New Roman" w:cs="Times New Roman" w:eastAsia="Times New Roman" w:hAnsi="Times New Roman"/>
          <w:sz w:val="18"/>
          <w:szCs w:val="18"/>
          <w:u w:val="single" w:color="auto"/>
          <w:color w:val="auto"/>
        </w:rPr>
        <w:t>LivePerson Common Stock</w:t>
      </w:r>
      <w:r>
        <w:rPr>
          <w:rFonts w:ascii="Times New Roman" w:cs="Times New Roman" w:eastAsia="Times New Roman" w:hAnsi="Times New Roman"/>
          <w:sz w:val="18"/>
          <w:szCs w:val="18"/>
          <w:color w:val="auto"/>
        </w:rPr>
        <w:t>”) issued and outstanding immediately prior to the Effective Time (other than certain excluded shares) will be automatically converted into the right to receive a number of shares of Class A common stock of the Company, par value $0.0001 per share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equal to (a) the Closing Merger Consideration (as defined below), divided by (b) the total number of shares of LivePerson Common Stock that are issued and outstanding, or that are issuable upon the conversion, exercise or settlement in full of any rights to acquire LivePerson Common Stock, as of immediately prior to the Effective Time (such number of shares, the “</w:t>
      </w:r>
      <w:r>
        <w:rPr>
          <w:rFonts w:ascii="Times New Roman" w:cs="Times New Roman" w:eastAsia="Times New Roman" w:hAnsi="Times New Roman"/>
          <w:sz w:val="18"/>
          <w:szCs w:val="18"/>
          <w:u w:val="single" w:color="auto"/>
          <w:color w:val="auto"/>
        </w:rPr>
        <w:t>Fully Diluted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and the result of the calculation set forth in the foregoing clauses (a) and (b),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It is expected that the Merger will not qualify as a tax-free reorganization for U.S. federal income tax purposes.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amount of consideration payable by the Company to holders of LivePerson Common Stock in connection with the Merger pursuant to the terms of the Merger Agreement will be a number of shares of Company Common Stock equal to the quotient of (a) the Aggregate Consideration Amount (as defined below), divided by (b) the Company Closing Stock Price (the “</w:t>
      </w:r>
      <w:r>
        <w:rPr>
          <w:rFonts w:ascii="Times New Roman" w:cs="Times New Roman" w:eastAsia="Times New Roman" w:hAnsi="Times New Roman"/>
          <w:sz w:val="18"/>
          <w:szCs w:val="18"/>
          <w:u w:val="single" w:color="auto"/>
          <w:color w:val="auto"/>
        </w:rPr>
        <w:t>Closing Merger Consideration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Aggregate Consideration Amount</w:t>
      </w:r>
      <w:r>
        <w:rPr>
          <w:rFonts w:ascii="Times New Roman" w:cs="Times New Roman" w:eastAsia="Times New Roman" w:hAnsi="Times New Roman"/>
          <w:sz w:val="18"/>
          <w:szCs w:val="18"/>
          <w:color w:val="auto"/>
        </w:rPr>
        <w:t>” refers to an amount equal to (a) $42,784,532.64, minus (b) the LivePerson Shortfall Cash (as defined below), plus</w:t>
      </w:r>
    </w:p>
    <w:p>
      <w:pPr>
        <w:spacing w:after="0" w:line="27" w:lineRule="exact"/>
        <w:rPr>
          <w:sz w:val="20"/>
          <w:szCs w:val="20"/>
          <w:color w:val="auto"/>
        </w:rPr>
      </w:pPr>
    </w:p>
    <w:p>
      <w:pPr>
        <w:jc w:val="both"/>
        <w:ind w:firstLine="8"/>
        <w:spacing w:after="0" w:line="250"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dollar amount of the exercise prices of all In-the-Money Options (as defined below) (other than options assumed by the Company and converted into an option to acquire shares of the Company Common Stock, in accordance with the terms of the Merger Agreement). “</w:t>
      </w:r>
      <w:r>
        <w:rPr>
          <w:rFonts w:ascii="Times New Roman" w:cs="Times New Roman" w:eastAsia="Times New Roman" w:hAnsi="Times New Roman"/>
          <w:sz w:val="18"/>
          <w:szCs w:val="18"/>
          <w:u w:val="single" w:color="auto"/>
          <w:color w:val="auto"/>
        </w:rPr>
        <w:t>LivePerson Shortfall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refers to an amount equal to (x) $74,000,000 (or, solely for purposes of the Merger Agreement, $71,000,000 if the Closing occurs in July), minus (y) the aggregate principal amount of LivePerson’s 0% convertible notes due 2026 (the “</w:t>
      </w:r>
      <w:r>
        <w:rPr>
          <w:rFonts w:ascii="Times New Roman" w:cs="Times New Roman" w:eastAsia="Times New Roman" w:hAnsi="Times New Roman"/>
          <w:sz w:val="18"/>
          <w:szCs w:val="18"/>
          <w:u w:val="single" w:color="auto"/>
          <w:color w:val="auto"/>
        </w:rPr>
        <w:t>2026 Convertible Notes</w:t>
      </w:r>
      <w:r>
        <w:rPr>
          <w:rFonts w:ascii="Times New Roman" w:cs="Times New Roman" w:eastAsia="Times New Roman" w:hAnsi="Times New Roman"/>
          <w:sz w:val="18"/>
          <w:szCs w:val="18"/>
          <w:color w:val="auto"/>
        </w:rPr>
        <w:t>”) repurchased by LivePerson between April 1, 2026 and the Closing Date (the figure resulting from clause (x) minus clause (y), “</w:t>
      </w:r>
      <w:r>
        <w:rPr>
          <w:rFonts w:ascii="Times New Roman" w:cs="Times New Roman" w:eastAsia="Times New Roman" w:hAnsi="Times New Roman"/>
          <w:sz w:val="18"/>
          <w:szCs w:val="18"/>
          <w:u w:val="single" w:color="auto"/>
          <w:color w:val="auto"/>
        </w:rPr>
        <w:t>LivePerson Minimum Cash</w:t>
      </w:r>
      <w:r>
        <w:rPr>
          <w:rFonts w:ascii="Times New Roman" w:cs="Times New Roman" w:eastAsia="Times New Roman" w:hAnsi="Times New Roman"/>
          <w:sz w:val="18"/>
          <w:szCs w:val="18"/>
          <w:color w:val="auto"/>
        </w:rPr>
        <w:t>”), minus (z) the cash and cash equivalents on LivePerson’s balance sheet as of 12:01 a.m. Pacific Time on the Closing Date (net of certain LivePerson transaction expenses) (the foregoing clause (z), the “</w:t>
      </w:r>
      <w:r>
        <w:rPr>
          <w:rFonts w:ascii="Times New Roman" w:cs="Times New Roman" w:eastAsia="Times New Roman" w:hAnsi="Times New Roman"/>
          <w:sz w:val="18"/>
          <w:szCs w:val="18"/>
          <w:u w:val="single" w:color="auto"/>
          <w:color w:val="auto"/>
        </w:rPr>
        <w:t>LivePerson Cash Balance</w:t>
      </w:r>
      <w:r>
        <w:rPr>
          <w:rFonts w:ascii="Times New Roman" w:cs="Times New Roman" w:eastAsia="Times New Roman" w:hAnsi="Times New Roman"/>
          <w:sz w:val="18"/>
          <w:szCs w:val="18"/>
          <w:color w:val="auto"/>
        </w:rPr>
        <w:t>”); provided that, if a negative number results from such calculation, “LivePerson Shortfall Cash” will be $0.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 Stock Price</w:t>
      </w:r>
      <w:r>
        <w:rPr>
          <w:rFonts w:ascii="Times New Roman" w:cs="Times New Roman" w:eastAsia="Times New Roman" w:hAnsi="Times New Roman"/>
          <w:sz w:val="18"/>
          <w:szCs w:val="18"/>
          <w:color w:val="auto"/>
        </w:rPr>
        <w:t>” refers to the price per share of Company Common Stock derived from the average of the daily volume weighted average prices of a share of Company Common Stock on the Nasdaq on each of the ten (10) consecutive trading days ending on (and including) the trading day that is three</w:t>
      </w:r>
    </w:p>
    <w:p>
      <w:pPr>
        <w:spacing w:after="0" w:line="3"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trading days prior to the Closing Date, rounded down to the nearest penny, as reported by Bloomberg; provided that, in the event such price per share (I) exceeds $12 per share, “Company Closing Stock Price” will be $12 per share or (II) falls below $7 per share, “Company Closing Stock Price” will be $7 per share.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at the Effective Time, (i) each option to purchase shares of LivePerson Common Stock (a “</w:t>
      </w:r>
      <w:r>
        <w:rPr>
          <w:rFonts w:ascii="Times New Roman" w:cs="Times New Roman" w:eastAsia="Times New Roman" w:hAnsi="Times New Roman"/>
          <w:sz w:val="18"/>
          <w:szCs w:val="18"/>
          <w:u w:val="single" w:color="auto"/>
          <w:color w:val="auto"/>
        </w:rPr>
        <w:t>LivePerson Option</w:t>
      </w:r>
      <w:r>
        <w:rPr>
          <w:rFonts w:ascii="Times New Roman" w:cs="Times New Roman" w:eastAsia="Times New Roman" w:hAnsi="Times New Roman"/>
          <w:sz w:val="18"/>
          <w:szCs w:val="18"/>
          <w:color w:val="auto"/>
        </w:rPr>
        <w:t>”) with a per-share exercise price less than the product of the Per Share Merger Consideration multiplied by the Company Closing Stock Price (each, an “</w:t>
      </w:r>
      <w:r>
        <w:rPr>
          <w:rFonts w:ascii="Times New Roman" w:cs="Times New Roman" w:eastAsia="Times New Roman" w:hAnsi="Times New Roman"/>
          <w:sz w:val="18"/>
          <w:szCs w:val="18"/>
          <w:u w:val="single" w:color="auto"/>
          <w:color w:val="auto"/>
        </w:rPr>
        <w:t>In-the-Money Option</w:t>
      </w:r>
      <w:r>
        <w:rPr>
          <w:rFonts w:ascii="Times New Roman" w:cs="Times New Roman" w:eastAsia="Times New Roman" w:hAnsi="Times New Roman"/>
          <w:sz w:val="18"/>
          <w:szCs w:val="18"/>
          <w:color w:val="auto"/>
        </w:rPr>
        <w:t>”) and held by any individual who is not an “employee” of the Company within the meaning of Form S-8 as of immediately after the Effective Time will be entitled to receive the Per Share Merger Consideration applicable to the number of shares covered by such LivePerson Option, net of the applicable exercise price and less applicable tax withholdings; (ii) each LivePerson Option that is not an In-the-Money Option will be cancelled for no consideration; (iii) restricted stock units with respect to shares of LivePerson Common Stock (the “</w:t>
      </w:r>
      <w:r>
        <w:rPr>
          <w:rFonts w:ascii="Times New Roman" w:cs="Times New Roman" w:eastAsia="Times New Roman" w:hAnsi="Times New Roman"/>
          <w:sz w:val="18"/>
          <w:szCs w:val="18"/>
          <w:u w:val="single" w:color="auto"/>
          <w:color w:val="auto"/>
        </w:rPr>
        <w:t>LivePerson RSUs</w:t>
      </w:r>
      <w:r>
        <w:rPr>
          <w:rFonts w:ascii="Times New Roman" w:cs="Times New Roman" w:eastAsia="Times New Roman" w:hAnsi="Times New Roman"/>
          <w:sz w:val="18"/>
          <w:szCs w:val="18"/>
          <w:color w:val="auto"/>
        </w:rPr>
        <w:t>”) held by non-employee directors of LivePerson and each LivePerson RSU that has vested but not yet settled will be entitled to receive the Per Share Merger Consideration in respect of each LivePerson RSU, less applicable tax withholdings; (iv) all other In-the-Money Options and LivePerson RSUs will be assumed by the Company and converted into corresponding awards denominated in shares of Company Common Stock in accordance with the terms set forth in the Merger Agreement and (v) all warrants to purchase shares of LivePerson Common Stock will be cancelled for no consideration. The Merger Agreement also provides that in the event the treatment, as set forth in (i)–(iv) above, of any LivePerson Options or LivePerson RSUs held by persons outside of the United States would be administratively burdensome to the Company, the Company may either cash out such equity awards or convert them into cash-based awards that continue to vest on the same schedule.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completion of the Merger is subject to customary closing conditions, including, among others (a) the adoption of the Merger Agreement by the stockholders of LivePerson; (b) the absence of any law, order or other legal impediment prohibiting the consummation of the Merger; (c) the receipt of approvals under certain applicable foreign direct investment laws; (d) the approval for listing the shares of Company Common Stock issuable to the stockholders of LivePerson pursuant to the Merger Agreement on the Nasdaq; (e) the effectiveness of the Company’s registration statement on Form S-4; (f) the accuracy of the parties’ respective representations and warranties in the Merger Agreement, subject to specified materiality qualifications; (g) the performance or compliance by the Company and LivePerson with the covenants in the Merger Agreement in all material respects; (h) the absence of a material adverse effect on LivePerson (as defined in the Merger Agreement); and (i) the consummation of the Notes Restructuring Transactions (as defined below).</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Merger Agreement contains customary representations, warranties and covenants made by each of the Company, Merger Sub and LivePerson, including, among others, covenants by LivePerson regarding the conduct of its business during the pendency of the transactions contemplated by the Merger Agreement, public disclosures and other matters. LivePerson is required, among other things, not to solicit alternative business combination transactions and, subject to certain exceptions, not to engage in discussions or negotiations regarding an alternative business combination transaction.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Both the Company and LivePerson may terminate the Merger Agreement under specified circumstances, including (a) if the Merger is not completed by October 21, 2026 (which date may be extended to December 5, 2026 if certain regulatory approvals have not been obtained); (b) if LivePerson fails to obtain stockholder approval; (c) if the board of directors of LivePerson makes an adverse recommendation change with respect to the Merger or commits a material breach of its non-solicitation obligations; (d) if the board of directors of LivePerson terminates to accept a superior acquisition proposal; or (e) if the Notes Restructuring Transactions are terminated for any reason. The Merger Agreement further provides that LivePerson is required to pay the Company a termination fee of $5,000,000, plus the Company’s transaction expenses, if the Merger Agreement is terminated under certain specified circumstances, including if the board of directors of LivePerson changes or withdraws its recommendation of the Merger, terminates the Merger Agreement to enter into an agreement with respect to a superior acquisition proposal or if the Notes Restructuring Transactions terminate for any reason or otherwise fail to consummate by the Outside Date (as defined in the Merger Agreement), except where such termination or failure to consummate primarily resulted from the Company’s material breach of the Notes Restructuring Agreement; provided that where a termination fee is payable in connection with the failure to consummate, or termination of, the Note Restructuring Transactions, the obligation to reimburse the Company’s transaction expenses will be capped at $3,750,000.</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Agreement and the consummation of the transactions contemplated thereby, including the Merger have been unanimously approved by LivePerson’s board of directors, and LivePerson’s board of directors has resolved to recommend to the stockholders of LivePerson to adopt the Merger Agreement, subject to its terms and conditions.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53" w:lineRule="auto"/>
        <w:rPr>
          <w:sz w:val="20"/>
          <w:szCs w:val="20"/>
          <w:color w:val="auto"/>
        </w:rPr>
      </w:pPr>
      <w:r>
        <w:rPr>
          <w:rFonts w:ascii="Times New Roman" w:cs="Times New Roman" w:eastAsia="Times New Roman" w:hAnsi="Times New Roman"/>
          <w:sz w:val="18"/>
          <w:szCs w:val="18"/>
          <w:color w:val="auto"/>
        </w:rPr>
        <w:t>The Merger Agreement is attached hereto as Exhibit 2.1 and is incorporated herein by reference. The foregoing description does not purport to be complete and is subject to and qualified in its entirety by reference to the Merger Agreement. The Merger Agreement has been attached to provide investors with information regarding its terms. It is not intended to provide any other factual information about the Company, Merger Sub or LivePerson. In particular, the assertions embodied in the representations and warranties contained in the Merger Agreement are qualified by information in a confidential disclosure letter provided by LivePerson to the Company in connection with the signing of the Merger Agreement and in filings of the parties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confidential disclosure letter contains information that modifies, qualifies and creates exceptions to the representations and warranties and certain covenants set forth in the Merger Agreement. Moreover, the representations and warranties in the Merger Agreement were used for the purposes of allocating risk between the Company and LivePerson rather than establishing matters of fact. Accordingly, the representations and warranties in the Merger Agreement should not be relied on as characterization of the actual state of facts about the Company, Merger Sub or LivePerson.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Notes Restructuring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21, 2026, concurrently with the execution and delivery of the Merger Agreement, the Company entered into a Notes Restructuring Agreement (the “</w:t>
      </w:r>
      <w:r>
        <w:rPr>
          <w:rFonts w:ascii="Times New Roman" w:cs="Times New Roman" w:eastAsia="Times New Roman" w:hAnsi="Times New Roman"/>
          <w:sz w:val="18"/>
          <w:szCs w:val="18"/>
          <w:u w:val="single" w:color="auto"/>
          <w:color w:val="auto"/>
        </w:rPr>
        <w:t>Notes Restructuring Agreement</w:t>
      </w:r>
      <w:r>
        <w:rPr>
          <w:rFonts w:ascii="Times New Roman" w:cs="Times New Roman" w:eastAsia="Times New Roman" w:hAnsi="Times New Roman"/>
          <w:sz w:val="18"/>
          <w:szCs w:val="18"/>
          <w:color w:val="auto"/>
        </w:rPr>
        <w:t>”) with LivePerson and each of the holders of LivePerson’s First Lien Convertible Secured Notes due 2029 (the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Lien Secured Notes</w:t>
      </w:r>
      <w:r>
        <w:rPr>
          <w:rFonts w:ascii="Times New Roman" w:cs="Times New Roman" w:eastAsia="Times New Roman" w:hAnsi="Times New Roman"/>
          <w:sz w:val="18"/>
          <w:szCs w:val="18"/>
          <w:color w:val="auto"/>
        </w:rPr>
        <w:t>”) and LivePerson’s Second Lien Senior Subordinated Secured Notes due 2029 (the “</w:t>
      </w:r>
      <w:r>
        <w:rPr>
          <w:rFonts w:ascii="Times New Roman" w:cs="Times New Roman" w:eastAsia="Times New Roman" w:hAnsi="Times New Roman"/>
          <w:sz w:val="18"/>
          <w:szCs w:val="18"/>
          <w:u w:val="single" w:color="auto"/>
          <w:color w:val="auto"/>
        </w:rPr>
        <w:t>Second Lien Secured Notes</w:t>
      </w:r>
      <w:r>
        <w:rPr>
          <w:rFonts w:ascii="Times New Roman" w:cs="Times New Roman" w:eastAsia="Times New Roman" w:hAnsi="Times New Roman"/>
          <w:sz w:val="18"/>
          <w:szCs w:val="18"/>
          <w:color w:val="auto"/>
        </w:rPr>
        <w:t>” and, together with the First Lien Secured Notes, the “</w:t>
      </w:r>
      <w:r>
        <w:rPr>
          <w:rFonts w:ascii="Times New Roman" w:cs="Times New Roman" w:eastAsia="Times New Roman" w:hAnsi="Times New Roman"/>
          <w:sz w:val="18"/>
          <w:szCs w:val="18"/>
          <w:u w:val="single" w:color="auto"/>
          <w:color w:val="auto"/>
        </w:rPr>
        <w:t>Secured Notes</w:t>
      </w:r>
      <w:r>
        <w:rPr>
          <w:rFonts w:ascii="Times New Roman" w:cs="Times New Roman" w:eastAsia="Times New Roman" w:hAnsi="Times New Roman"/>
          <w:sz w:val="18"/>
          <w:szCs w:val="18"/>
          <w:color w:val="auto"/>
        </w:rPr>
        <w:t>”), pursuant to which and on the terms and subject to the conditions thereof, among other things, the holders of the Secured Notes have agreed to release and deem satisfied the Secured Notes for the consideration contemplated thereby (the transactions contemplated by the Notes Restructuring Agreement, “</w:t>
      </w:r>
      <w:r>
        <w:rPr>
          <w:rFonts w:ascii="Times New Roman" w:cs="Times New Roman" w:eastAsia="Times New Roman" w:hAnsi="Times New Roman"/>
          <w:sz w:val="18"/>
          <w:szCs w:val="18"/>
          <w:u w:val="single" w:color="auto"/>
          <w:color w:val="auto"/>
        </w:rPr>
        <w:t>Notes Restructuring Transactions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Upon consummation of the Notes Restructuring Transactions, on the terms and subject to the conditions set forth in the Notes Restructuring Agreement, each holder of First Lien Secured Notes has agreed to accept, in full and complete satisfaction of all obligations of LivePerson to such holder, (a) a number of shares of Company Common Stock equal to the quotient of (i) $178,007,733.68 (the “</w:t>
      </w:r>
      <w:r>
        <w:rPr>
          <w:rFonts w:ascii="Times New Roman" w:cs="Times New Roman" w:eastAsia="Times New Roman" w:hAnsi="Times New Roman"/>
          <w:sz w:val="18"/>
          <w:szCs w:val="18"/>
          <w:u w:val="single" w:color="auto"/>
          <w:color w:val="auto"/>
        </w:rPr>
        <w:t>First Lien Holder Aggregate Consideration Amount</w:t>
      </w:r>
      <w:r>
        <w:rPr>
          <w:rFonts w:ascii="Times New Roman" w:cs="Times New Roman" w:eastAsia="Times New Roman" w:hAnsi="Times New Roman"/>
          <w:sz w:val="18"/>
          <w:szCs w:val="18"/>
          <w:color w:val="auto"/>
        </w:rPr>
        <w:t>”), divided by</w:t>
      </w:r>
    </w:p>
    <w:p>
      <w:pPr>
        <w:spacing w:after="0" w:line="1" w:lineRule="exact"/>
        <w:rPr>
          <w:sz w:val="20"/>
          <w:szCs w:val="20"/>
          <w:color w:val="auto"/>
        </w:rPr>
      </w:pPr>
    </w:p>
    <w:p>
      <w:pPr>
        <w:ind w:right="20" w:firstLine="8"/>
        <w:spacing w:after="0" w:line="260" w:lineRule="auto"/>
        <w:tabs>
          <w:tab w:leader="none" w:pos="2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Closing Stock Price and (b) an amount in cash paid by LivePerson concurrently with Closing in the amount of (i) accrued and unpaid interest on the First Lien Secured Notes held by such holder, plus (ii) 65% of any LivePerson Excess Cash.</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consummation of the Notes Restructuring Transactions, on the terms and subject to the conditions set forth in the Notes Restructuring Agreement, each holder of Second Lien Secured Notes has agreed to accept, in full and complete satisfaction of all obligations of LivePerson to such holder, such holder’s pro rata portion of (a) a number of shares of Company Common Stock equal to the quotient of (i) $83,207,733.68 (the “</w:t>
      </w:r>
      <w:r>
        <w:rPr>
          <w:rFonts w:ascii="Times New Roman" w:cs="Times New Roman" w:eastAsia="Times New Roman" w:hAnsi="Times New Roman"/>
          <w:sz w:val="18"/>
          <w:szCs w:val="18"/>
          <w:u w:val="single" w:color="auto"/>
          <w:color w:val="auto"/>
        </w:rPr>
        <w:t>Second Lien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Aggregate Consideration Amount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divided by (ii) the Company Closing Stock Price and (b) an amount in cash equal to (i) the principal amount of any 2026 Convertible Notes repurchased and retired by LivePerson between April 1, 2026 and the Closing, minus (ii) the amount of cash paid to repurchase such 2026 Convertible Notes, plus (iii) 35% of LivePerson Excess Cash.</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LivePerson Excess Cash</w:t>
      </w:r>
      <w:r>
        <w:rPr>
          <w:rFonts w:ascii="Times New Roman" w:cs="Times New Roman" w:eastAsia="Times New Roman" w:hAnsi="Times New Roman"/>
          <w:sz w:val="18"/>
          <w:szCs w:val="18"/>
          <w:color w:val="auto"/>
        </w:rPr>
        <w:t>” refers to the difference of (a) the LivePerson Cash Balance, minus (b) the LivePerson Minimum Cash; provided that, if a negative number results from such calculation, “LivePerson Excess Cash” shall be $0.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of Company Common Stock to be issued in connection with the Notes Restructuring Transactions are expected to be issued in reliance on the exemption from registration pursuant to Section 4(a)(2)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t>The Notes Restructuring Agreement provides the Company the option to elect, at any time before the close of business two business days prior to the Closing Date, to substitute an amount of cash in lieu of all or a portion of the stock consideration paid to the holders of Secured Notes, provided that (a) each holder of Secured Notes receives the same proportion of its consideration in cash and shares of Company Common Stock; (b) regardless of the Company Closing Stock Price, the proportion of consideration satisfied in cash shall be calculated assuming the stock consideration is worth the First Lien Holder Aggregate Consideration Amount and the Second Lien Holder Aggregate Consideration Amount, respectively and (c) in the event the Company Closing Stock Price is greater than $12 per share, the Company shall not be entitled to substitute cash for more than 50% of the stock consideration.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terms of the Notes Restructuring Agreement, completion of the Notes Restructuring Transactions is subject to customary closing conditions, including (a) the absence of any order or other legal impediment prohibiting the consummation of the Notes Restructuring Transactions; (b) the closing conditions under the Merger Agreement being satisfied or waived (other than the consummation of the Notes Restructuring Transactions); (c) the requisite securities law filings having been made; (d) the approval for listing the shares of Company Common Stock issuable to the holder of the Secured Notes pursuant to the Notes Restructuring Agreement on the Nasdaq; (e) the accuracy of the parties’ respective representations and warranties in the Notes Restructuring Agreement, subject to specified materiality qualifications; (f) the performance or compliance by the Company, LivePerson and the holders of Secured Notes with the covenants in the Notes Restructuring Agreement in all material respects; (g) the delivery of all required payments under the Notes Restructuring Agreement; (h) the entry into a registration rights agreement in respect of the shares of Company Common Stock issuable to the holders of the Secured Notes; and (i) the substantially contemporaneous consummation of the Notes Restructuring Transactions by the holders of the First Lien Secured Notes and the holders of the Second Lien Secured Notes.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Restructuring Agreement contains customary representations, warranties and covenants made by each of the parties, including, among others, that the shares of Company Common Stock issued in connection with the Notes Restructuring Transactions will be eligible for resale pursuant to an effective registration statement filed by the Company with the SEC. The holders of Secured Notes are required, among other things, not to solicit alternative business combination or note restructuring transactions and not to engage in discussions or negotiations regarding an alternative business combination or note restructuring transaction.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Notes Restructuring Agreement automatically terminates upon any termination of the Merger Agreement in accordance with its terms. Additionally, each of the parties may terminate the Notes Restructuring Agreement under specified circumstances, including if the Notes Restructuring Transactions are not completed on or prior to the fifth business day following the Outside Date (as defined in the Merger Agreement). The holders of the First Lien Secured Notes are entitled to terminate the Notes Restructuring Agreement upon (a) any failure by LivePerson to pay amounts due under the indenture or other agreements governing the First Lien Secured Notes or (b) a breach of certain provisions of the indenture governing the First Lien Secured Notes, in each case, subject to cure rights of LivePerson and the Company.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Notes Restructuring Agreement is attached hereto as Exhibit 10.1 and is incorporated herein by reference. The foregoing description does not purport to be complete and is subject to and qualified in its entirety by reference to the Notes Restructuring Agreement.</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under the header “The Notes Restructuring Agreement” of this Current Report on Form 8-K is incorporated by reference into this Item 3.02.</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21, 2026, the Company and LivePerson issued a joint press release announcing execution of the Merger Agreement and the Notes Restructuring Agreement. A copy of the press release is furnished as Exhibit 99.1 to this Current Report on Form 8-K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report furnished pursuant to Item 7.01, including Exhibit 99.1 attached hereto, shall not be deemed “filed” for the purposes of Section 18 of the Securities Exchange Act of 1934, as amended (the “Exchange Act”), or otherwise subject to the liabilities of that section. It may only be incorporated by reference in another filing under the Exchange Act or the Securities Act, if such subsequent filing specifically references such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contains statements the Company, LivePerson, the proposed transactions described herein and other matters that are forward-looking statements within the meaning of Section 27A of the Securities Act of 1933, as amended, and Section 21E of the Securities Exchange Act of 1934, as amended (the “Exchange Act”). In some cases, forward-looking statements can be identified by words such as “anticipate,” “approximate,” “believe,” “plan,” “estimate,” “expect,” “project,” “could,” “should,” “strategy,” “will,” “intend,” “may” and other similar expressions or the negative of such words or expressions. Statements in this communication concerning (i) the Company’s or LivePerson’s expected future financial position, results of operations, business strategy, production capacity, competitive positions, growth opportunities, employment opportunities and mobility, plans and objectives of management and (ii) the Company’s proposed acquisition of LivePerson, the expected benefits of the proposed acquisition, including with respect to the business outlook or future economic performance, and product or services line growth, the structure of the proposed acquisition, the closing date of the proposed acquisition, and plans following the closing of the proposed acquisition, together with other statements that are not historical facts, are forward-looking statements that are estimates reflecting management’s best judgment based upon currently available information. Such forward-looking statements are inherently uncertain, and stockholders and other potential investors must recognize that actual results may differ materially from expectations as a result of a variety of factors, including, without limitation, those discussed below. Such forward-looking statements are based upon management’s current expectations and include known and unknown risks, uncertainties and other factors, many of which the Company and LivePerson are unable to predict or control, that may cause actual results, performance or plans to differ materially from any future results, performance or plans expressed or implied by such forward-looking statements. These statements involve risks and uncertainties that could cause actual results to differ materially from those anticipated in these statements as a result of a number of factors, including, but not limited to: (a) the risk that the transactions described herein will not be completed or will not provide the expected benefits; (b) the failure to timely or at all obtain LivePerson stockholder approval for the Merger; (c) the inability to obtain required regulatory approvals for the Merger; (d) the timing of obtaining such approvals and the risk that such approvals may result in the imposition of conditions that could adversely affect the combined company or the expected benefits of the proposed transactions; (e) the risk that a condition to closing of the proposed transactions may not be satisfied on a timely basis or at all; (f) the possible occurrence of an event, change or other circumstance that would give rise to the termination of the Merger Agreement; (g) the risk of stockholder litigation in connection with the Merger, including resulting expense or delay in closing of the proposed transactions; (h) the failure of the proposed transactions to close for any other reason; (i) the diversion of the attention of the Company and LivePerson management from ongoing business operations; (j) unexpected costs, liabilities, charges or expenses resulting from the proposed transactions; (k) the risk that the integration of the Company and LivePerson will be more difficult, time-consuming or expensive than anticipated; (l) the risk of customer loss or other business disruption in connection with the proposed transactions, or of the loss of key employees; (m) the fact that unforeseen liabilities of the Company or LivePerson may exist; (n) changes in applicable laws or regulations and extensive and evolving government regulations that impact the Company’s or LivePerson’s operations and business; (o) investigations, claims, disputes, enforcement actions, litigation and/or other regulatory or legal proceedings, including with respect to AI technology; (p) risks that the Company may not be able to manage strains associated with its growth; (q) dependence on key personnel; (r) stock price volatility; (s) the Company’s and LivePerson’s ability to protect their intellectual property and litigation risks; (t) the risk that LivePerson’s usage patterns, customer renewals, customer outcomes and similar metrics differ from expectations; (u) the risk of cybersecurity incidents or breaches impacting LivePerson’s business; (v) the risks related to the use and regulation of artificial intelligence and machine learning; (w) general economic, financial, legal, political and business conditions; and (x) other risks inherent in the Company’s and LivePerson’s businesses.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such factors are difficult to predict, are beyond the Company’s and LivePerson’s control, and are subject to additional risks and uncertainties, including those detailed in the Company’s annual report on Form 10-K for the year ended December 31, 2025 and those detailed in LivePerson’s annual report on Form 10-K for the year ended December 31, 2025. These risks, as well as other risks related to the proposed transaction, will be included in the Form S-4 and proxy statement/prospectus (each as defined below) that the Company and LivePerson intend to file with the SEC in connection with the proposed transaction. Forward-looking statements are based on the estimates and opinions of management at the time the statements are made. Neither the Company nor LivePerson undertakes any obligation to publicly update any forward-looking statement, whether as a result of new information, future events or otherwise, except as required by law. Readers are cautioned not to place undue reliance on these forward-looking statements that speak only as of the date 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proposed transaction, the Company intends to file with the SEC a registration statement on Form S-4 (the “Form S-4”) that will include a proxy statement of LivePerson and that will also constitute a prospectus of the Company with respect to the shares of the Company common stock to be issued in the proposed transaction (the “proxy statement/prospectus”). The definitive proxy statement/prospectus (if and when available) will be filed with the SEC by, and mailed to shareholders of, LivePerson. Each of the Company and LivePerson may also file other relevant documents with the SEC regarding the proposed transaction.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is not a substitute for the Form S-4, the proxy statement/prospectus or any other document that the Company or LivePerson may file with the SEC in connection with the proposed transaction. INVESTORS AND SECURITY HOLDERS OF SOUNDHOUND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the Company and LivePerson, free of charge on the SEC’s website at www.sec.gov. Copies of the documents filed with, or furnished to, the SEC by the Company will be available free of charge on the Company’s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the Company’s or LivePerson’s website is not incorporated by reference into this communication.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LivePerson and their respective directors and executive officers may be deemed to be participants in the solicitation of proxies with respect to the proposed transaction under the rules of the SEC. Information about the directors and executive officers of the Company, including a description of their direct or indirect interests, by security holdings or otherwise, is set forth in the Company’s definitive proxy statement for its 2026 annual meeting of stockholders under the heading “Proposal 1 – Election of Directors”, which was filed with the SEC on April 9, 2026 and is available at https://www.sec.gov/ix?doc=/Archives/edgar/data/0001840856/000121390026041978/ea0285618-01.htm. Information about the directors and executive officers of LivePerson and their ownership of LivePerson equity interests can be found in the section entitled “Ownership of Securities” included in LivePerson's definitive proxy statement in connection with its Special Meeting of Stockholders, which was filed with the SEC on September 17, 2025 and is available at https://www.sec.gov/ix?doc=/Archives/edgar/data/1102993/000110299325000159/lpsn-20250917.htm; in the Form 3 and Form 4 statements of beneficial ownership and statements of changes in beneficial ownership filed with the SEC by LivePerson's directors and executive officers; and in other documents filed by LivePerson with the SEC. Additional information regarding the interests of the participants in the solicitation of proxies will be included in the Form S-4, the proxy statement/prospectus and other relevant materials to be filed with the SEC if and when they become available. You should read the Form S-4 and the proxy statement/prospectus carefully when available before making any voting or investment decisions. You may obtain free copies of these documents using the sources indicated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5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5"/>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Merger Agreement, dated as of April 21, 2026, by and among SoundHound AI, Inc., Lightspeed Merger Sub Inc. and LivePerson, Inc.</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Notes Restructuring Agreement, dated as of April 21, 2026, by and among SoundHound AI, Inc., LivePerson, Inc. and each holder of</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LivePerson’s Second Lien Senior Subordinated Secured Notes due 2029.</w:t>
            </w: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Joint Press Release of SoundHound AI, Inc. and LivePerson, Inc., dated April 21, 2026.</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179" w:lineRule="exact"/>
        <w:rPr>
          <w:sz w:val="20"/>
          <w:szCs w:val="20"/>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and (a)(6) of Regulation S-K. The Company hereby undertakes to furnish supplemental copies of any of the omitted schedules and exhibits upon request by the SEC.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9"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April 21,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MERGER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LIGHTSPEED MERGER SUB INC.,</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LIVEPERSON, INC.</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DATED AS OF APRIL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1680210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920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9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THE MERGER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9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1.1</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Merger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1.2</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 and Effective Time of the Merger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012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CONVERSION OF SECURITIES IN THE MERGER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20" w:type="dxa"/>
            <w:vAlign w:val="bottom"/>
            <w:shd w:val="clear" w:color="auto" w:fill="CCEEFF"/>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2.1</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of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2.2</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 for Securities; Surrender of Certificates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2.3</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Distributions with Respect to Unexchanged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2.4</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Fractional 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2.5</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2.6</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Treatment of Company Equity Awards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2.7</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Treatment of Company Warrants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2.8</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Estimated Closing Statement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2.9</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Withholding Rights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2.10</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Treatment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3 REPRESENTATIONS AND WARRANTIES OF THE COMPANY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3.1</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Organization and Qualification; Subsidiaries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3.3</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Authority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3.4</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Conflict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3.5</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Required Filings and Consents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3.6</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3.7</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3.8</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3.9</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Employee Benefit Plans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3.10</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Labor and Other Employment Matters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3.11</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Contracts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3.12</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Permits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3.13</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3.14</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3.15</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3.16</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3.17</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3.18</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Property; Title to Assets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3.19</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Anti-Corruption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3.20</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 Trade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3.21</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3.22</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 Supplied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3.23</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Takeover Statutes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3.24</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3.25</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3.26</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3.27</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4 REPRESENTATIONS AND WARRANTIES OF PARENT AND MERGER SUB</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4.1</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Authority</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4.3</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 Conflict</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4.4</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Required Filings and Consents</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4.5</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4.6</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 Supplied</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4.7</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Takeover Statutes</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4.8</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Ownership of Merger Sub</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4.9</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Valid Issuance</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4.10</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Brokers</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4.11</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52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5 CONDUCT OF THE COMPANY</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5.1</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Conduct of Business by the Company Pending the Closing</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52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6 ADDITIONAL COVENANTS OF THE PARTIES</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6.1</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Preparation of Proxy Statement/Prospectus and Registration Statement; Company Stockholder Meeting</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6.2</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6.3</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Company Non-Solicitation</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6.4</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Appropriate Action; Consents; Filings</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6.5</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Certain Notices</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6.6</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Stockholder Litigation</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6.7</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Public Announcements</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6.8</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Benefit Matters</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6.9</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Indemnification of Directors and Officers</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6.10</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16 Matters</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6.11</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Listing Matters</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6.12</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Takeover Statutes</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6.13</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Benefits Preservation Plan</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6.14</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Cooperation as to Integration</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6.15</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Repayment of 2026 Notes; Note Restructuring Transactions</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6.16</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Resignations</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61</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7 CONDITIONS TO CONSUMMATION OF THE MERGER</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7.1</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Conditions to Obligations of Each Party Under This Agreement</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7.2</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Conditions to Obligations of Parent and Merger Sub</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7.3</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Conditions to Obligations of the Company</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140" w:type="dxa"/>
            <w:vAlign w:val="bottom"/>
            <w:gridSpan w:val="2"/>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8 TERMINATION, AMENDMENT AND WAIVER</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8.1</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Termination</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8.2</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Termination</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8.3</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Company Termination Fee</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140" w:type="dxa"/>
            <w:vAlign w:val="bottom"/>
            <w:gridSpan w:val="2"/>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9 GENERAL PROVISIONS</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9.1</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9.2</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Fees and Expenses</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9.3</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9.4</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Definitions</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9.5</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Terms Defined Elsewhere</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9.6</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Headings</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9.7</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9.8</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Assignment</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9.9</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9.10</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9.11</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Mutual Drafting; Interpretation</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9.12</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 Consent to Jurisdiction; Waiver of Trial by Jury</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9.13</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9.14</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Specific Performance</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9.15</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Modification or Amendment</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9.16</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Extension; Waiver</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89</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MERGER AGREEMENT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MERGER AGREEMENT, dated as of April 21,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among SoundHound AI, Inc., a Delaware corporation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Lightspeed Merger Sub Inc., a Delaware corporation and an indirect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together with Parent, the “</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and LivePerson,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All capitalized terms used in this Agreement shall have the meanings assigned to such terms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or as otherwise defined elsewhere in this Agreement unless the context clearly indicates otherwise.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17"/>
          <w:szCs w:val="17"/>
          <w:color w:val="auto"/>
        </w:rPr>
        <w:t>A. The parties intend that, on the terms and subject to the conditions set forth in this Agreement, Merger Sub be merged with and into the Company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with the Company continuing as the surviving corporation in the Merger (the “</w:t>
      </w:r>
      <w:r>
        <w:rPr>
          <w:rFonts w:ascii="Times New Roman" w:cs="Times New Roman" w:eastAsia="Times New Roman" w:hAnsi="Times New Roman"/>
          <w:sz w:val="17"/>
          <w:szCs w:val="17"/>
          <w:u w:val="single" w:color="auto"/>
          <w:color w:val="auto"/>
        </w:rPr>
        <w:t>Surviving Corporation</w:t>
      </w:r>
      <w:r>
        <w:rPr>
          <w:rFonts w:ascii="Times New Roman" w:cs="Times New Roman" w:eastAsia="Times New Roman" w:hAnsi="Times New Roman"/>
          <w:sz w:val="17"/>
          <w:szCs w:val="17"/>
          <w:color w:val="auto"/>
        </w:rPr>
        <w:t>”) as an indirect wholly owned Subsidiary of Parent in accordance with the applicable provisions of the General Corporation Law of the State of Delaware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pursuant to which each share of common stock, par value $0.001 per share, of the Company (“</w:t>
      </w:r>
      <w:r>
        <w:rPr>
          <w:rFonts w:ascii="Times New Roman" w:cs="Times New Roman" w:eastAsia="Times New Roman" w:hAnsi="Times New Roman"/>
          <w:sz w:val="17"/>
          <w:szCs w:val="17"/>
          <w:u w:val="single" w:color="auto"/>
          <w:color w:val="auto"/>
        </w:rPr>
        <w:t>Company Common Stock</w:t>
      </w:r>
      <w:r>
        <w:rPr>
          <w:rFonts w:ascii="Times New Roman" w:cs="Times New Roman" w:eastAsia="Times New Roman" w:hAnsi="Times New Roman"/>
          <w:sz w:val="17"/>
          <w:szCs w:val="17"/>
          <w:color w:val="auto"/>
        </w:rPr>
        <w:t>”) issued and outstanding immediately prior to the Effective Time (other than Company Cancelled Shares) shall be converted automatically into the right to receive the Per Share Merger Consideration;</w:t>
      </w:r>
    </w:p>
    <w:p>
      <w:pPr>
        <w:spacing w:after="0" w:line="16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unanimously, upon the terms and subject to the conditions set forth herein, (i) determined that the transactions contemplated by this Agreement, including the Merger, are advisable, fair to and in the best interests of the Company and its stockholders, (ii) approved, adopted and declared advisable this Agreement and the transactions contemplated hereby, including the Merger and (iii) determined to recommend that the Company’s stockholders adopt this Agreement (collectively,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The Board of Directors of Parent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has, upon the terms and subject to the conditions set forth herein, (i) determined that the transactions contemplated by this Agreement, including the Merger and the Parent Share Issuance, are advisable, fair to and in the best interests of Parent and its stockholders and (ii) approved, adopted and declared advisable this Agreement and the transactions contemplated hereby, including the Merger and the Parent Share Issuance;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The Board of Directors of Merger Sub has, upon the terms and subject to the conditions set forth herein, (i) determined that the transactions contemplated by this Agreement, including the Merger, are advisable, fair to, and in the best interests of Merger Sub and its sole stockholder and (ii) approved, adopted and declared advisable this Agreement and the transactions contemplated hereby, including the Merger; and</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Concurrently with the execution of this Agreement, each holder of Secured Notes and Parent are entering into a Notes Restructuring Agreement (the “</w:t>
      </w:r>
      <w:r>
        <w:rPr>
          <w:rFonts w:ascii="Times New Roman" w:cs="Times New Roman" w:eastAsia="Times New Roman" w:hAnsi="Times New Roman"/>
          <w:sz w:val="18"/>
          <w:szCs w:val="18"/>
          <w:u w:val="single" w:color="auto"/>
          <w:color w:val="auto"/>
        </w:rPr>
        <w:t>Notes Restructuring Agreement</w:t>
      </w:r>
      <w:r>
        <w:rPr>
          <w:rFonts w:ascii="Times New Roman" w:cs="Times New Roman" w:eastAsia="Times New Roman" w:hAnsi="Times New Roman"/>
          <w:sz w:val="18"/>
          <w:szCs w:val="18"/>
          <w:color w:val="auto"/>
        </w:rPr>
        <w:t>” and the transactions contemplated by the Notes Restructuring Agreement, the “</w:t>
      </w:r>
      <w:r>
        <w:rPr>
          <w:rFonts w:ascii="Times New Roman" w:cs="Times New Roman" w:eastAsia="Times New Roman" w:hAnsi="Times New Roman"/>
          <w:sz w:val="18"/>
          <w:szCs w:val="18"/>
          <w:u w:val="single" w:color="auto"/>
          <w:color w:val="auto"/>
        </w:rPr>
        <w:t>Notes Restructuring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pursuant to which, among other actions and matters, such holders have agreed to release and deem satisfied in full the Secured Notes for the consideration contemplated thereby.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covenants, premises, representations and warranties and agreements contained in this Agreement and for other good and valuable consideration, the receipt and adequacy of which are hereby acknowledged, and intending to be legally bound, the parties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satisfaction or waiver of the conditions set forth in this Agreement and in accordance with the applicable provisions of the DGCL:</w:t>
      </w:r>
    </w:p>
    <w:p>
      <w:pPr>
        <w:spacing w:after="0" w:line="162" w:lineRule="exact"/>
        <w:rPr>
          <w:sz w:val="20"/>
          <w:szCs w:val="20"/>
          <w:color w:val="auto"/>
        </w:rPr>
      </w:pPr>
    </w:p>
    <w:p>
      <w:pPr>
        <w:jc w:val="both"/>
        <w:ind w:firstLine="1952"/>
        <w:spacing w:after="0" w:line="255" w:lineRule="auto"/>
        <w:tabs>
          <w:tab w:leader="none" w:pos="22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Merger Sub shall merge with and into the Company, the separate corporate existence of Merger Sub shall cease and the Company shall continue as the Surviving Corporation. Immediately following the Effective Time, the Surviving Corporation shall be a direct wholly owned Subsidiary of Lightspeed Merger Sub Holdco, Inc., a Delaware corporation (“</w:t>
      </w:r>
      <w:r>
        <w:rPr>
          <w:rFonts w:ascii="Times New Roman" w:cs="Times New Roman" w:eastAsia="Times New Roman" w:hAnsi="Times New Roman"/>
          <w:sz w:val="18"/>
          <w:szCs w:val="18"/>
          <w:u w:val="single" w:color="auto"/>
          <w:color w:val="auto"/>
        </w:rPr>
        <w:t>Intermediate Sub</w:t>
      </w:r>
      <w:r>
        <w:rPr>
          <w:rFonts w:ascii="Times New Roman" w:cs="Times New Roman" w:eastAsia="Times New Roman" w:hAnsi="Times New Roman"/>
          <w:sz w:val="18"/>
          <w:szCs w:val="18"/>
          <w:color w:val="auto"/>
        </w:rPr>
        <w:t>”), which is a direct wholly owned Subsidiary of SoundHound, Inc., a Delaware corporation, which is a direct wholly owned Subsidiary of Parent. The Merger shall have the effects set forth in the applicable provisions of the DGCL. Without limiting the generality of the foregoing, from and after the Effective Time, all of the property, rights, privileges, immunities, powers and franchises of the Company and Merger Sub shall vest in the Surviving Corporation, and all of the debts, liabilities and duties of the Company and Merger Sub shall become the debts, liabilities and duties of the Surviving Corporation.</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6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by the Company, Parent, Merger Sub or any other Person, the certificate of incorporation and the bylaws of the Surviving Corporation shall be amended to be identical to the certificate of incorporation and bylaws of Merger Sub (except that the name of the Surviving Corporation shall not be changed), as in effect immediately prior to the Effective Time.</w:t>
      </w:r>
    </w:p>
    <w:p>
      <w:pPr>
        <w:spacing w:after="0" w:line="17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6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Merger Sub serving in such positions immediately prior to the Effective Time shall become, as of the Effective Time, the directors of the Surviving Corporation, each to hold office in accordance with the certificate of incorporation and bylaws of the Surviving Corporation until their respective successors have been duly elected, designated or qualified, or until their earlier death, resignation or removal in accordance with the certificate of incorporation and bylaws of the Surviving Corporation. The officers of the Company serving in such positions immediately prior to the Effective Time shall become, effective as of the Effective Time, the officers of the Surviving Corporation, each until their respective successors have been duly elected, designated or qualified, or until their earlier death, resignation or removal in accordance with the certificate of incorporation and bylaws of the Surviving Corporation.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130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 and Effective Time of the Merger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8" w:lineRule="auto"/>
        <w:tabs>
          <w:tab w:leader="none" w:pos="218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remotely by electronic exchange of executed documents at 9:00 a.m., New York City time, as soon as practicable (and, in any event, within five (5) Business Days) after satisfaction or, to the extent permitted hereunder, waiver of all of the applicable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(other than those conditions that by their nature are to be satisfied at the Closing, but subject to the fulfillment or waiver of those conditions at the Closing), or at such other time and place as the parties shall agree in writing. The date and time at which the Closing occurs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Parent, Merger Sub and the Company shall cause a certificate of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to be executed and filed with the Secretary of State of the State of Delaware in accordance with the relevant provisions of the DGCL and shall make all other filings or recordings required under the DGCL. The Merger shall become effective at the time the Certificate of Merger has been duly filed with the Secretary of State of the State of Delaware, or at such other date and time as is agreed upon by the parties and specified in the Certificate of Merger in accordance with the DGCL (such time as the Merger becomes effective,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OF SECURITIES IN THE MERGER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Conversion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952"/>
        <w:spacing w:after="0" w:line="282" w:lineRule="auto"/>
        <w:tabs>
          <w:tab w:leader="none" w:pos="21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the Company, Parent, Merger Sub or the holders of any capital stock of the Company, Parent, or Merger Sub:</w:t>
      </w:r>
    </w:p>
    <w:p>
      <w:pPr>
        <w:spacing w:after="0" w:line="161" w:lineRule="exact"/>
        <w:rPr>
          <w:rFonts w:ascii="Times New Roman" w:cs="Times New Roman" w:eastAsia="Times New Roman" w:hAnsi="Times New Roman"/>
          <w:sz w:val="18"/>
          <w:szCs w:val="18"/>
          <w:color w:val="auto"/>
        </w:rPr>
      </w:pPr>
    </w:p>
    <w:p>
      <w:pPr>
        <w:ind w:firstLine="2600"/>
        <w:spacing w:after="0" w:line="282" w:lineRule="auto"/>
        <w:tabs>
          <w:tab w:leader="none" w:pos="280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Common Stock issued and outstanding immediately prior to the Effective Time (other than Company Cancelled Shares) shall be automatically converted into the right to receive the Per Share Merger Consideration.</w:t>
      </w:r>
    </w:p>
    <w:p>
      <w:pPr>
        <w:spacing w:after="0" w:line="161" w:lineRule="exact"/>
        <w:rPr>
          <w:rFonts w:ascii="Times New Roman" w:cs="Times New Roman" w:eastAsia="Times New Roman" w:hAnsi="Times New Roman"/>
          <w:sz w:val="18"/>
          <w:szCs w:val="18"/>
          <w:color w:val="auto"/>
        </w:rPr>
      </w:pPr>
    </w:p>
    <w:p>
      <w:pPr>
        <w:jc w:val="both"/>
        <w:ind w:firstLine="2600"/>
        <w:spacing w:after="0" w:line="258" w:lineRule="auto"/>
        <w:tabs>
          <w:tab w:leader="none" w:pos="28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shares of Company Common Stock (other than any Company Cancelled Shares) shall cease to be outstanding and shall be automatically cancelled and shall cease to exist and, as of the Effective Time, each holder of record of shares of Company Common Stock shall cease to have any rights with respect thereto, except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w:t>
      </w:r>
    </w:p>
    <w:p>
      <w:pPr>
        <w:spacing w:after="0" w:line="183" w:lineRule="exact"/>
        <w:rPr>
          <w:rFonts w:ascii="Times New Roman" w:cs="Times New Roman" w:eastAsia="Times New Roman" w:hAnsi="Times New Roman"/>
          <w:sz w:val="18"/>
          <w:szCs w:val="18"/>
          <w:color w:val="auto"/>
        </w:rPr>
      </w:pPr>
    </w:p>
    <w:p>
      <w:pPr>
        <w:jc w:val="both"/>
        <w:ind w:firstLine="2600"/>
        <w:spacing w:after="0" w:line="266" w:lineRule="auto"/>
        <w:tabs>
          <w:tab w:leader="none" w:pos="290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Company Common Stock held by (x) the Company as treasury shares, (y) any Company Subsidiary or (z) Parent or any Subsidiary of Parent (a “</w:t>
      </w:r>
      <w:r>
        <w:rPr>
          <w:rFonts w:ascii="Times New Roman" w:cs="Times New Roman" w:eastAsia="Times New Roman" w:hAnsi="Times New Roman"/>
          <w:sz w:val="18"/>
          <w:szCs w:val="18"/>
          <w:u w:val="single" w:color="auto"/>
          <w:color w:val="auto"/>
        </w:rPr>
        <w:t>Parent Subsidiary</w:t>
      </w:r>
      <w:r>
        <w:rPr>
          <w:rFonts w:ascii="Times New Roman" w:cs="Times New Roman" w:eastAsia="Times New Roman" w:hAnsi="Times New Roman"/>
          <w:sz w:val="18"/>
          <w:szCs w:val="18"/>
          <w:color w:val="auto"/>
        </w:rPr>
        <w:t>”), in each case, immediately prior to the Effective Time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Cancelled Shares</w:t>
      </w:r>
      <w:r>
        <w:rPr>
          <w:rFonts w:ascii="Times New Roman" w:cs="Times New Roman" w:eastAsia="Times New Roman" w:hAnsi="Times New Roman"/>
          <w:sz w:val="18"/>
          <w:szCs w:val="18"/>
          <w:color w:val="auto"/>
        </w:rPr>
        <w:t>”), shall be automatically cancelled and shall cease to exist, and no consideration shall be delivered in exchange therefor.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firstLine="2600"/>
        <w:spacing w:after="0" w:line="282" w:lineRule="auto"/>
        <w:tabs>
          <w:tab w:leader="none" w:pos="289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par value $0.01 per share, of Merger Sub issued and outstanding immediately prior to the Effective Time shall be automatically converted into one fully paid and nonassessable share of common stock of the Surviving Corporation.</w:t>
      </w:r>
    </w:p>
    <w:p>
      <w:pPr>
        <w:spacing w:after="0" w:line="16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9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prior to the Effective Time, Parent or the Company should split, subdivide, consolidate, combine or otherwise reclassify the Parent Common Stock or the Company Common Stock, as applicable, or pay a stock dividend or other stock distribution in the Parent Common Stock or the Company Common Stock, as applicable, or otherwise change the Parent Common Stock or the Company Common Stock, as applicable, into any other securities, or make any other such stock dividend or stock distribution in capital stock of Parent or the Company in respect of the Parent Common Stock or the Company Common Stock, as applicable, then any number or amount contained herein which is based upon the price or the number or fraction of shares of Parent Common Stock or Company Common Stock, as applicable, shall be appropriately adjusted to proportionately reflect such split, combination, stock dividend or other stock distribution or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shall be construed to permit Parent or the Company to take any action with respect to its securities that is prohibited by the terms of this Agreement.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Payment for Securities; Surrender of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2" w:lineRule="auto"/>
        <w:tabs>
          <w:tab w:leader="none" w:pos="220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At or prior to the Effective Time, Parent shall designate a reputable bank or trust company to act as the exchange agent (the identity and terms of designation and appointment of which shall be reasonably acceptable to the Company) for purposes of effecting the issuances and payments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At or prior to the Effective Time, Parent shall deposit, or cause to be deposited, with the Exchange Agent (x) an amount of uncertificated, book-entry shares representing the number of shares of Parent Common Stock sufficient to effect the issuances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(y) an amount of cash sufficient to deliver the payments contemplated by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each case, to which holders of Company Common Stock shall be entitled at the Effective Time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applicable. The Exchange Agent shall not be entitled to vote or exercise any rights of ownership with respect to the Parent Common Stock held by it from time to time hereunder. Following the Effective Time, Parent shall pay, or shall cause to be paid to the Exchange Agent, from time to time, as needed, cash sufficient to pay the aggregate dividends and other distributions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 the event such deposited shares or funds are insufficient to effect the issuances or make the payments contemplated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as applicable, Parent shall promptly deposit, or cause to be deposited, with the Exchange Agent such additional shares or funds, as applicable, to ensure that the Exchange Agent has at all times sufficient shares or funds, as applicable, to effect such issuances and make such payments. Earnings from any investment by the Exchange Agent (to be made solely at Parent’s direction) of the cash deposited by Parent with the Exchange Agent pursuant to the second and fourth sentences of this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shall be the sole and exclusive property of Parent. No part of such earnings shall accrue to the benefit of holders of Company Common Stock (other than by virtue of receipt of the issuances or payments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each case, pursuant to the terms thereof) and no losses shall alter Parent’s obligation to cause the Exchange Agent to issue the shares or pay the cash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applicable,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2200" w:hanging="248"/>
        <w:spacing w:after="0"/>
        <w:tabs>
          <w:tab w:leader="none" w:pos="2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Surrender; Treatment of Company Certificated Shares and Company Book-Entry Shares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2600"/>
        <w:spacing w:after="0" w:line="251" w:lineRule="auto"/>
        <w:tabs>
          <w:tab w:leader="none" w:pos="280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Certificated Shares</w:t>
      </w:r>
      <w:r>
        <w:rPr>
          <w:rFonts w:ascii="Times New Roman" w:cs="Times New Roman" w:eastAsia="Times New Roman" w:hAnsi="Times New Roman"/>
          <w:sz w:val="18"/>
          <w:szCs w:val="18"/>
          <w:color w:val="auto"/>
        </w:rPr>
        <w:t>. As soon as practicable after the Effective Time (and in no event later than three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Days after the Effective Time), Parent shall cause the Exchange Agent to mail to each Person that was a holder of record of shares of Company Common Stock represented by a certificate (“</w:t>
      </w:r>
      <w:r>
        <w:rPr>
          <w:rFonts w:ascii="Times New Roman" w:cs="Times New Roman" w:eastAsia="Times New Roman" w:hAnsi="Times New Roman"/>
          <w:sz w:val="18"/>
          <w:szCs w:val="18"/>
          <w:u w:val="single" w:color="auto"/>
          <w:color w:val="auto"/>
        </w:rPr>
        <w:t>Company Certificated Shares</w:t>
      </w:r>
      <w:r>
        <w:rPr>
          <w:rFonts w:ascii="Times New Roman" w:cs="Times New Roman" w:eastAsia="Times New Roman" w:hAnsi="Times New Roman"/>
          <w:sz w:val="18"/>
          <w:szCs w:val="18"/>
          <w:color w:val="auto"/>
        </w:rPr>
        <w:t xml:space="preserve">”) immediately prior to the Effective Time: (A) a letter of transmittal, which shall specify that delivery shall be effected, and risk of loss and title to the Company Certificated Shares shall pass, only upon delivery of the Company Certificated Shares to the Exchange Agent, and shall otherwise be in such form as Parent, the Company and the Exchange Agent shall reasonably agree; and (B) instructions for effecting the surrender of the Company Certificated Shares (or affidavits of loss in lieu of the Company Certificated Shares as provided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in exchange for the issuance of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Upon surrender of any Company Certificated Shares (or affidavit of loss in lieu of the Company Certificated Shares as provided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to the Exchange Agent or to such other agent or agents as may be appointed by Parent, and upon delivery of a letter of transmittal, duly executed and in proper form, with respect to such Company Certificated Shares, the holder of such Company Certificated Shares shall be entitled to receive, and Parent shall cause the Exchange Agent to issue and pay, if applicable, and deliver as promptly as practicable after such surrender, (I) credit in the stock ledger and other appropriate books and records of Parent for the number of shares of Parent Common Stock into which the shares of Company Common Stock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(II) any dividends or other distributions (if any) or any cash payment (if any) that such holder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and any Company Certificated Shares so surrendered shall forthwith be cancelled. If payment of the Per Share Merger Consideration is to be made to a Person other than the Person in whose name any surrendered Company Certificated Shares are registered, it shall be a condition precedent of payment that the Company Certificated Shares so surrendered shall be properly endorsed or shall be otherwise in proper form for transfer, and the Person requesting such payment shall have paid any transfer and other similar Taxes required by reason of the payment of the Per Share Merger Consideration to a Person other than the registered holder of the Company Certificated Shares so surrendered and shall have established to the satisfaction of the Surviving Corporation that such Taxes either have been paid or are not required to be paid. No interest will be paid or accrued on any amount payable upon due surrender of the Company Certificated Shares. Until surrendered as contemplated hereby, each Company Certificated Share shall be deemed at any time after the Effective Time to represent only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2600"/>
        <w:spacing w:after="0" w:line="251" w:lineRule="auto"/>
        <w:tabs>
          <w:tab w:leader="none" w:pos="28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Book-Entry Shares</w:t>
      </w:r>
      <w:r>
        <w:rPr>
          <w:rFonts w:ascii="Times New Roman" w:cs="Times New Roman" w:eastAsia="Times New Roman" w:hAnsi="Times New Roman"/>
          <w:sz w:val="18"/>
          <w:szCs w:val="18"/>
          <w:color w:val="auto"/>
        </w:rPr>
        <w:t>. Notwithstanding anything to the contrary contained in this Agreement, no 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Company Common Stock held in book-entry form (“</w:t>
      </w:r>
      <w:r>
        <w:rPr>
          <w:rFonts w:ascii="Times New Roman" w:cs="Times New Roman" w:eastAsia="Times New Roman" w:hAnsi="Times New Roman"/>
          <w:sz w:val="18"/>
          <w:szCs w:val="18"/>
          <w:u w:val="single" w:color="auto"/>
          <w:color w:val="auto"/>
        </w:rPr>
        <w:t>Company Book-Entry Shares</w:t>
      </w:r>
      <w:r>
        <w:rPr>
          <w:rFonts w:ascii="Times New Roman" w:cs="Times New Roman" w:eastAsia="Times New Roman" w:hAnsi="Times New Roman"/>
          <w:sz w:val="18"/>
          <w:szCs w:val="18"/>
          <w:color w:val="auto"/>
        </w:rPr>
        <w:t xml:space="preserve">”) shall be required to deliver a certificate evidencing such Company Book-Entry Shares or, in the case of holders of Company Book-Entry Shares held through The Depository Trust Company, an executed letter of transmittal to the Exchange Agent to receive the Per Share Merger Consideration that such holder is entitled to receive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or any dividends or other distributions (if any) or any cash payment (if any) that such holder is entitled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In lieu thereof, each holder of record of one or more Company Book-Entry Shares held through The Depository Trust Company whose Company Common Stock were converted into the right to receive the Per Share Merger Consideration shall automatically, upon the Effective Time, be entitled to receive, and Parent shall cause the Exchange Agent to issue and pay, if applicable, and deliver as promptly as practicable after the Effective Time, (A) credit in the stock ledger and other appropriate books and records of Parent for the number of shares of Parent Common Stock into which such Company Book-Entry Shares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(B) any dividends or other distributions (if any) or any cash payment (if any) that such holder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and any Company Book-Entry Shares shall forthwith be cancelled. As soon as practicable after the Effective Time (and in no event later than three (3) Business Days after the Effective Time), Parent shall cause the Exchange Agent to mail to each Person that was, immediately prior to the Effective Time, a holder of record of Company Book-Entry Shares not held through The Depository Trust Company: (I) a letter of transmittal, which shall be in such form as Parent, the Company and the Exchange Agent shall reasonably agree; and (II) instructions for returning such letter of transmittal in exchange for the issuance of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Upon delivery of such letter of transmittal, duly executed and in proper form, with respect to such Company Book-Entry Shares, the holder of such Company Book-Entry Shares shall be entitled to receive, and Parent shall cause the Exchange Agent to issue and pay, if applicable, and deliver as promptly as practicable after such delivery, (A) credit in the stock ledger and other appropriate books and records of Parent for the number of shares of Parent Common Stock into which such Company Book-Entry Shares have been converted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2.1(a)(i)</w:t>
      </w:r>
      <w:r>
        <w:rPr>
          <w:rFonts w:ascii="Times New Roman" w:cs="Times New Roman" w:eastAsia="Times New Roman" w:hAnsi="Times New Roman"/>
          <w:sz w:val="18"/>
          <w:szCs w:val="18"/>
          <w:color w:val="auto"/>
        </w:rPr>
        <w:t xml:space="preserve"> and (B) any dividends or other distributions (if any) or any cash payment (if any) that such holder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and any Company Book-Entry Shares shall forthwith be cancelled. Payment of the Per Share Merger Consideration with respect to Company Book-Entry Shares shall only be made to the Person in whose name such Company Book-Entry Shares are registered. No interest will be paid or accrued on any amount payable upon due surrender of Company Book-Entry Shares. Until paid or surrendered as contemplated hereby, each Company Book-Entry Share shall be deemed at any time after the Effective Time to represent only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w:t>
      </w:r>
    </w:p>
    <w:p>
      <w:pPr>
        <w:spacing w:after="0" w:line="20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0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Books; No Further Ownership Rights in Shares</w:t>
      </w:r>
      <w:r>
        <w:rPr>
          <w:rFonts w:ascii="Times New Roman" w:cs="Times New Roman" w:eastAsia="Times New Roman" w:hAnsi="Times New Roman"/>
          <w:sz w:val="18"/>
          <w:szCs w:val="18"/>
          <w:color w:val="auto"/>
        </w:rPr>
        <w:t xml:space="preserve">. The shares of Parent Common Stock issued upon conversion of shares of Company Common Stock pursuant to and in accordance with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(together with dividends or other distributions (if any) or any cash payment (if any)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shall be deemed to have been delivered or paid in full satisfaction of all rights pertaining to the shares of Company Common Stock. From and after the Effective Time, (i) all holders of Company Common Stock shall cease to have any rights as stockholders of the Company other than the right to receive the Per Share Merger Consideration into which the shares of Company Common Stock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and (ii) the stock transfer books of the Company shall be closed and there shall be no further registration of transfers of shares of Company Common Stock thereafter on the records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 w:name="page20"/>
    <w:bookmarkEnd w:id="19"/>
    <w:p>
      <w:pPr>
        <w:jc w:val="both"/>
        <w:ind w:right="20" w:firstLine="1952"/>
        <w:spacing w:after="0" w:line="261" w:lineRule="auto"/>
        <w:tabs>
          <w:tab w:leader="none" w:pos="21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Post-Effective Time Surrender</w:t>
      </w:r>
      <w:r>
        <w:rPr>
          <w:rFonts w:ascii="Times New Roman" w:cs="Times New Roman" w:eastAsia="Times New Roman" w:hAnsi="Times New Roman"/>
          <w:sz w:val="18"/>
          <w:szCs w:val="18"/>
          <w:color w:val="auto"/>
        </w:rPr>
        <w:t xml:space="preserve">. If, after the Effective Time, any Company Certificated Shares are presented to Parent or the Surviving Corporation for any reason, such Company Certificated Shares shall be cancelled and exchanged for the Per Share Merger Consideration that such holder is entitled to receive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subject to abandoned property, escheat or other similar Laws.</w:t>
      </w:r>
    </w:p>
    <w:p>
      <w:pPr>
        <w:spacing w:after="0" w:line="179"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8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Fund; Abandoned Property; No Liability</w:t>
      </w:r>
      <w:r>
        <w:rPr>
          <w:rFonts w:ascii="Times New Roman" w:cs="Times New Roman" w:eastAsia="Times New Roman" w:hAnsi="Times New Roman"/>
          <w:sz w:val="18"/>
          <w:szCs w:val="18"/>
          <w:color w:val="auto"/>
        </w:rPr>
        <w:t xml:space="preserve">. Any portion of the shares or funds (including any interest received with respect thereto) made available to the Exchange Agent that remains unclaimed by the holders of Company Common Stock on the first anniversary of the Effective Time shall be returned to Parent upon demand, and any such holder of Company Common Stock who has not complied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prior to such time shall thereafter look only to Parent (subject to abandoned property, escheat or other similar Laws) for delivery of the Per Share Merger Consideration that such holder is entitled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any dividends or other distributions (if any) or any cash payment (if any) that such holder has the right to receive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Any shares or funds remaining unclaimed by the holders of Company Common Stock immediately prior to such time as such amounts would otherwise escheat to, or become property of, any Governmental Entity shall, to the extent permitted by applicable Law, become the property of Parent, free and clear of any claim or interest of any Person previously entitled thereto immediately prior to such time on which any payment in respect hereof would escheat to or become the property of any Governmental Entity pursuant to any applicable abandoned property, escheat or similar Laws. Notwithstanding the foregoing, none of Parent, the Company, the Exchange Agent or their respective affiliates will be liable to any holder of Company Common Stock for the Per Share Merger Consideration (or any dividends or other distributions or any cash payable in connection therewith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delivered to a public official pursuant to any applicable abandoned property, escheat or similar Law.</w:t>
      </w:r>
    </w:p>
    <w:p>
      <w:pPr>
        <w:spacing w:after="0" w:line="187"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In the event that any Company Certificated Shares shall have been lost, stolen or destroyed, the Exchange Agent shall issue in exchange for such lost, stolen or destroyed Company Certificated Shares, upon the making of an affidavit of that fact by the holder thereof, the Per Share Merger Consideration payable in respect thereof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Parent may, in its reasonable discretion and as a condition precedent to the payment of such Per Share Merger Consideration (and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require the owner of such lost, stolen or destroyed Company Certificated Shares to deliver a bond in a reasonable sum as it may reasonably direct as indemnity against any claim that may be made against Parent, the Surviving Corporation or the Exchange Agent with respect to the Company Certificated Shares alleged to have been lost, stolen or destroyed.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Distributions with Respect to Unexchanged Shares</w:t>
      </w:r>
      <w:r>
        <w:rPr>
          <w:rFonts w:ascii="Times New Roman" w:cs="Times New Roman" w:eastAsia="Times New Roman" w:hAnsi="Times New Roman"/>
          <w:sz w:val="18"/>
          <w:szCs w:val="18"/>
          <w:color w:val="auto"/>
        </w:rPr>
        <w:t xml:space="preserve">. No dividends or other distributions declared or made with respect to shares of Parent Common Stock with a record date after the Effective Time shall be paid to the holder of any shares of Company Common Stock converted into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until such holder shall comply with the provisions of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Subject to escheat, Tax or other applicable Law, following the surrender of any such shares of Company Common Stock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such holder shall be entitled to receive any such dividends or distributions, without interest, which theretofore had become payable with respect to the Parent Common Stock exchangeable for such Company Common Stock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(after giving effect to any required Tax withholdings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xml:space="preserve">. No fractional shares of Parent Common Stock shall be issued upon the conversion of shares of Company Common Stock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such fractional share interests shall not entitle the owner thereof to vote or to any other rights of a stockholder of Parent. Notwithstanding any other provision of this Agreement, each holder of Company Common Stock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that would otherwise have been entitled to receive a fraction of a share of Parent Common Stock (after taking into account all shares of Company Common Stock delivered by such holder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shall receive, in lieu thereof, cash (without interest) in an amount equal to such fractional amount multiplied by the Parent Closing Stock Price. Company and Parent acknowledge that payment of any cash in lieu of fractional shares pursuant to and in accordance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was not separately bargained-for consideration, but merely represents a mechanical rounding off for purposes of avoiding the expense and inconvenience to Parent that would otherwise be caused by the issuance of fractional shares of Parent Common Stock.</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From and after the Effective Time, the respective officers of Parent and the Surviving Corporation, as applicable, shall be authorized to execute and deliver, in the name and on behalf of the Company or any Parent Party, any deeds, bills of sale, assignments or assurances and to take and do, in the name and on behalf of the Company or any Parent Party, any other actions and things to vest, perfect or confirm of record or otherwise in the Surviving Corporation any and all right, title and interest in, to and under any of the rights, properties or assets acquired or to be acquired by the Surviving Corporation, as applicable, as a result of, or in connection with, the Merger.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Treatment of Company Equity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200" w:hanging="248"/>
        <w:spacing w:after="0"/>
        <w:tabs>
          <w:tab w:leader="none" w:pos="2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53" w:lineRule="auto"/>
        <w:tabs>
          <w:tab w:leader="none" w:pos="281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the Company, Parent, Merger Sub or the holders thereof, each In-the-Money Company Option that is outstanding and unexercised immediately prior to the Effective Time and held by an individual who, as of immediately after the Effective Time, will constitute an “employee” of Parent within the meaning of Form S-8 (a “</w:t>
      </w:r>
      <w:r>
        <w:rPr>
          <w:rFonts w:ascii="Times New Roman" w:cs="Times New Roman" w:eastAsia="Times New Roman" w:hAnsi="Times New Roman"/>
          <w:sz w:val="18"/>
          <w:szCs w:val="18"/>
          <w:u w:val="single" w:color="auto"/>
          <w:color w:val="auto"/>
        </w:rPr>
        <w:t>Continuing 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Provider</w:t>
      </w:r>
      <w:r>
        <w:rPr>
          <w:rFonts w:ascii="Times New Roman" w:cs="Times New Roman" w:eastAsia="Times New Roman" w:hAnsi="Times New Roman"/>
          <w:sz w:val="18"/>
          <w:szCs w:val="18"/>
          <w:color w:val="auto"/>
        </w:rPr>
        <w:t xml:space="preserve">”), whether or not then vested or exercisable, shall be assumed by Parent and converted into an option to acquire shares of Parent Common Stock in accordance with this </w:t>
      </w:r>
      <w:r>
        <w:rPr>
          <w:rFonts w:ascii="Times New Roman" w:cs="Times New Roman" w:eastAsia="Times New Roman" w:hAnsi="Times New Roman"/>
          <w:sz w:val="18"/>
          <w:szCs w:val="18"/>
          <w:u w:val="single" w:color="auto"/>
          <w:color w:val="auto"/>
        </w:rPr>
        <w:t>Section 2.6(a)(i)</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u w:val="single" w:color="auto"/>
          <w:color w:val="auto"/>
        </w:rPr>
        <w:t>Assumed Option</w:t>
      </w:r>
      <w:r>
        <w:rPr>
          <w:rFonts w:ascii="Times New Roman" w:cs="Times New Roman" w:eastAsia="Times New Roman" w:hAnsi="Times New Roman"/>
          <w:sz w:val="18"/>
          <w:szCs w:val="18"/>
          <w:color w:val="auto"/>
        </w:rPr>
        <w:t>”). Each such Assumed Option shall continue to have, and shall be subject to, the same terms and conditions as applied to the corresponding In-the-Money Company Option immediately prior to the Effective Time (including vesting and exercisability terms) except that, as of the Effective Time, each such Assumed Option shall constitute an option to acquire that number of whole shares of Parent Common Stock (rounded down to the nearest whole share) equal to the product of (i) the number of shares of Company Common Stock subject to the corresponding In-the-Money Company Option immediately prior to the Effective Time multiplied by (ii) the Per Share Merger Consideration, at an exercise price per share (rounded up to the nearest whole cent) equal to the quotient obtained by dividing (A) the exercise price per share of the corresponding In-the-Money Company Option by (B) the Per Share Merger Consideration.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left="-20" w:firstLine="2600"/>
        <w:spacing w:after="0" w:line="258" w:lineRule="auto"/>
        <w:tabs>
          <w:tab w:leader="none" w:pos="283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the Company, Parent, Merger Sub or the holders thereof, each In-the-Money Company Option that is outstanding and unexercised immediately prior to the Effective Time that is not held by a Continuing Service Provider shall be cancelled and converted into the right to receive the Per Share Merger Consideration in respect of each Net Share covered by such In-the-Money Company Option, less applicable Tax withholdings (provided, that such withholdings shall be satisfied by way of net settlement).</w:t>
      </w:r>
    </w:p>
    <w:p>
      <w:pPr>
        <w:spacing w:after="0" w:line="183" w:lineRule="exact"/>
        <w:rPr>
          <w:rFonts w:ascii="Times New Roman" w:cs="Times New Roman" w:eastAsia="Times New Roman" w:hAnsi="Times New Roman"/>
          <w:sz w:val="18"/>
          <w:szCs w:val="18"/>
          <w:color w:val="auto"/>
        </w:rPr>
      </w:pPr>
    </w:p>
    <w:p>
      <w:pPr>
        <w:jc w:val="both"/>
        <w:ind w:left="-20" w:firstLine="2600"/>
        <w:spacing w:after="0" w:line="266" w:lineRule="auto"/>
        <w:tabs>
          <w:tab w:leader="none" w:pos="288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the Company, Parent, Merger Sub or the holders thereof, each Out-of-the-Money Company Option that is outstanding and unexercised immediately prior to the Effective Time shall be cancelled without any payment in respect thereof.</w:t>
      </w:r>
    </w:p>
    <w:p>
      <w:pPr>
        <w:spacing w:after="0" w:line="175" w:lineRule="exact"/>
        <w:rPr>
          <w:rFonts w:ascii="Times New Roman" w:cs="Times New Roman" w:eastAsia="Times New Roman" w:hAnsi="Times New Roman"/>
          <w:sz w:val="18"/>
          <w:szCs w:val="18"/>
          <w:color w:val="auto"/>
        </w:rPr>
      </w:pPr>
    </w:p>
    <w:p>
      <w:pPr>
        <w:ind w:left="2180" w:hanging="248"/>
        <w:spacing w:after="0"/>
        <w:tabs>
          <w:tab w:leader="none" w:pos="2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firstLine="2600"/>
        <w:spacing w:after="0" w:line="256" w:lineRule="auto"/>
        <w:tabs>
          <w:tab w:leader="none" w:pos="278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the Company, Parent, Merger Sub or holders thereof, (A) each Company RSU Award that is outstanding immediately prior to the Effective Time and held by a non-employee member of the Company Board, and (B) each Company RSU Award that is outstanding immediately prior to the Effective Time and vested but not yet settled shall, in each case, be cancelled and converted into the right to receive the Per Share Merger Consideration in respect of each share of Company Common Stock subject to such Company RSU Award as of immediately prior to the Effective Time, less applicable Tax withholdings (provided, that such withholdings shall be satisfied by way of net settlement).</w:t>
      </w:r>
    </w:p>
    <w:p>
      <w:pPr>
        <w:spacing w:after="0" w:line="187" w:lineRule="exact"/>
        <w:rPr>
          <w:rFonts w:ascii="Times New Roman" w:cs="Times New Roman" w:eastAsia="Times New Roman" w:hAnsi="Times New Roman"/>
          <w:sz w:val="18"/>
          <w:szCs w:val="18"/>
          <w:color w:val="auto"/>
        </w:rPr>
      </w:pPr>
    </w:p>
    <w:p>
      <w:pPr>
        <w:jc w:val="both"/>
        <w:ind w:left="-20" w:firstLine="2600"/>
        <w:spacing w:after="0" w:line="254" w:lineRule="auto"/>
        <w:tabs>
          <w:tab w:leader="none" w:pos="283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by virtue of the Merger and without any action on the part of the Company, Parent, Merger Sub or holders thereof, each Company RSU Award that is outstanding immediately prior to the Effective Time (other than a Company RSU Award covered in </w:t>
      </w:r>
      <w:r>
        <w:rPr>
          <w:rFonts w:ascii="Times New Roman" w:cs="Times New Roman" w:eastAsia="Times New Roman" w:hAnsi="Times New Roman"/>
          <w:sz w:val="18"/>
          <w:szCs w:val="18"/>
          <w:u w:val="single" w:color="auto"/>
          <w:color w:val="auto"/>
        </w:rPr>
        <w:t>Section 2.6(b)(i)</w:t>
      </w:r>
      <w:r>
        <w:rPr>
          <w:rFonts w:ascii="Times New Roman" w:cs="Times New Roman" w:eastAsia="Times New Roman" w:hAnsi="Times New Roman"/>
          <w:sz w:val="18"/>
          <w:szCs w:val="18"/>
          <w:color w:val="auto"/>
        </w:rPr>
        <w:t>) shall be assumed by Parent and converted into a restricted stock unit award covering shares of Parent Common Stock (each, an “</w:t>
      </w:r>
      <w:r>
        <w:rPr>
          <w:rFonts w:ascii="Times New Roman" w:cs="Times New Roman" w:eastAsia="Times New Roman" w:hAnsi="Times New Roman"/>
          <w:sz w:val="18"/>
          <w:szCs w:val="18"/>
          <w:u w:val="single" w:color="auto"/>
          <w:color w:val="auto"/>
        </w:rPr>
        <w:t>Assumed RSU Award</w:t>
      </w:r>
      <w:r>
        <w:rPr>
          <w:rFonts w:ascii="Times New Roman" w:cs="Times New Roman" w:eastAsia="Times New Roman" w:hAnsi="Times New Roman"/>
          <w:sz w:val="18"/>
          <w:szCs w:val="18"/>
          <w:color w:val="auto"/>
        </w:rPr>
        <w:t xml:space="preserve">”) in accordance with this </w:t>
      </w:r>
      <w:r>
        <w:rPr>
          <w:rFonts w:ascii="Times New Roman" w:cs="Times New Roman" w:eastAsia="Times New Roman" w:hAnsi="Times New Roman"/>
          <w:sz w:val="18"/>
          <w:szCs w:val="18"/>
          <w:u w:val="single" w:color="auto"/>
          <w:color w:val="auto"/>
        </w:rPr>
        <w:t>Section 2.6(b)(ii)</w:t>
      </w:r>
      <w:r>
        <w:rPr>
          <w:rFonts w:ascii="Times New Roman" w:cs="Times New Roman" w:eastAsia="Times New Roman" w:hAnsi="Times New Roman"/>
          <w:sz w:val="18"/>
          <w:szCs w:val="18"/>
          <w:color w:val="auto"/>
        </w:rPr>
        <w:t>. Each such Assumed RSU Award shall continue to have, and shall be subject to, the same terms and conditions as applied to the corresponding Company RSU Award immediately prior to the Effective Time (including service-vesting and settlement terms, but excluding any performance-based vesting conditions) except that, as of the Effective Time, each such Assumed RSU Award shall cover that number of whole shares of Parent Common Stock (rounded down to the nearest whole share) equal to the product of (i) the number of shares of Company Common Stock subject to the corresponding Company RSU Award immediately prior to the Effective Time multiplied by (ii) the Per Share Merger Consideration.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22" w:name="page23"/>
    <w:bookmarkEnd w:id="22"/>
    <w:p>
      <w:pPr>
        <w:jc w:val="both"/>
        <w:ind w:firstLine="1952"/>
        <w:spacing w:after="0" w:line="258" w:lineRule="auto"/>
        <w:tabs>
          <w:tab w:leader="none" w:pos="220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Non-US Awards</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if Parent determines that, for holders of Company Equity Awards employed outside of the United States, the treatment of Company Equity Awards prescribed by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would reasonably be expected to cause an administrative burden to Parent, Parent may require that such awards be converted into cash-based awards that otherwise have the same terms and conditions as the corresponding Company Equity Awards held by such individuals or that such awards be cashed out at the Closing based on the value of the Per Share Merger Consideration.</w:t>
      </w:r>
    </w:p>
    <w:p>
      <w:pPr>
        <w:spacing w:after="0" w:line="183"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As soon as practicable following the date of this Agreement, the Company shall take all actions with respect to the Company ESPP that are necessary to provide that: (i) with respect to any offering periods in effect as of the date of this Agreement (the “</w:t>
      </w:r>
      <w:r>
        <w:rPr>
          <w:rFonts w:ascii="Times New Roman" w:cs="Times New Roman" w:eastAsia="Times New Roman" w:hAnsi="Times New Roman"/>
          <w:sz w:val="18"/>
          <w:szCs w:val="18"/>
          <w:u w:val="single" w:color="auto"/>
          <w:color w:val="auto"/>
        </w:rPr>
        <w:t>Current ESPP Offering Periods</w:t>
      </w:r>
      <w:r>
        <w:rPr>
          <w:rFonts w:ascii="Times New Roman" w:cs="Times New Roman" w:eastAsia="Times New Roman" w:hAnsi="Times New Roman"/>
          <w:sz w:val="18"/>
          <w:szCs w:val="18"/>
          <w:color w:val="auto"/>
        </w:rPr>
        <w:t>”), no employee who is not a participant in a Current ESPP Offering Period as of the date of this Agreement may become a participant in the Current ESPP Offering Period, and no participant may increase the percentage amount of his or her payroll deduction election from that in effect on the date of this Agreement for such Current ESPP Offering Periods; (ii) subject to the consummation of the Merger, the Company ESPP shall terminate effective immediately prior to the Effective Time; (iii) if the Current ESPP Offering Periods terminate prior to the Effective Time, then the Company ESPP shall be suspended and no new offering period shall be commenced under the Company ESPP prior to the termination of this Agreement; and (iv) if any Current ESPP Offering Period is still in effect at the Effective Time, then the last day of such Current ESPP Offering Period shall be accelerated to a date that is no later than three (3) Business Days prior to the Closing Date.</w:t>
      </w:r>
    </w:p>
    <w:p>
      <w:pPr>
        <w:spacing w:after="0" w:line="188"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2600"/>
        <w:spacing w:after="0" w:line="282" w:lineRule="auto"/>
        <w:tabs>
          <w:tab w:leader="none" w:pos="281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the Company shall pass such resolutions and take such other actions as are necessary so as to cause the treatment of the Company Equity Awards and the Company ESPP as contemplated by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2600"/>
        <w:spacing w:after="0" w:line="261" w:lineRule="auto"/>
        <w:tabs>
          <w:tab w:leader="none" w:pos="285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Parent shall file, or have on file with the SEC, a registration statement on Form S-8 (or any successor form) relating to the shares of Parent Common Stock issuable with respect to the Assumed Options and Assumed RSU Awards, and Parent shall use its best efforts to maintain the effectiveness of such registration statement for so long as Assumed Options or Assumed RSU Awards remain outstanding.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Treatment of Company Warrants</w:t>
      </w:r>
      <w:r>
        <w:rPr>
          <w:rFonts w:ascii="Times New Roman" w:cs="Times New Roman" w:eastAsia="Times New Roman" w:hAnsi="Times New Roman"/>
          <w:sz w:val="18"/>
          <w:szCs w:val="18"/>
          <w:color w:val="auto"/>
        </w:rPr>
        <w:t>. At the Effective Time, by virtue of the Merger and without any action on the part of the Company, Parent or Merger Sub, or the holders thereof, each Company Warrant outstanding and unexercised immediately prior to the Effective Time shall be cancelled without any payment in respect thereof.</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No earlier than twenty (20) Business Days nor later than fifteen (15) Business Days prior to the Closing Date, the Company shall deliver to the Acquiror a statement (the “</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certified by the Chief Financial Officer of the Company, setting forth (a) a good faith estimated unaudited balance sheet of the Company and (b) the Company’s good faith estimate of the Company Cash Balance, in each case, as of 12:01 a.m. Pacific Time on the Closing Date. The Company shall deliver supporting calculations and documentation of such calculations (including with respect to any deductions contemplated by the definition of Company Cash Balance and reflected in such calculations), in detail reasonably acceptable to Parent, concurrently with the delivery of such Estimated Closing Statement. The Company shall consult in good faith with Parent and any Parent Representatives with respect to the preparation of, and with respect to any updates reasonably requested by the Parent or the Parent Representatives to, the Estimated Closing Statement until the date that is five (5) Business Days prior to the Closing Date. Subject to such good faith consultation by the Company and any updates to the Estimated Closing Statement resulting therefrom, the Company Cash Balance set forth in the Estimated Closing Statement as of such fifth (5th) Business Day prior to the Closing Date shall be deemed the final Company Cash Balance for purposes of calculating the Aggregate Consideration Amount.</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Each of Parent, the Merger Sub, the Company, the Surviving Corporation, the Exchange Agent, the Section 102 Trustee and any TASE member shall be entitled to deduct and withhold from any amounts otherwise payable pursuant to this Agreement, such amounts, if any, as are required to be deducted and withheld with respect to the making of such payment under the Code or any provision of applicable Law. To the extent that any withholding obligation cannot be satisfied by the retention of cash amounts otherwise payable hereunder, each of Parent, the Merger Sub, the Company, the Surviving Corporation, the Exchange Agent, the Section 102 Trustee and any TASE member may, in their sole discretion and without requiring the prior consent of the applicable recipient (except where required by applicable Law), sell or instruct to sell, on behalf of such recipient, such portion of the shares of Parent Common Stock otherwise deliverable to such recipient as is necessary to generate proceeds sufficient to satisfy the applicable withholding obligation. Neither Parent nor the Merger Sub, the Company, the Surviving Corporation, the Exchange Agent, the Section 102 Trustee and any TASE member shall have any liability to the recipient for the market price obtained in connection with any such sale or for any market fluctuations or delays in effecting such sale, and the net cash proceeds from any such sale (after deducting the applicable Tax withholding amounts and any brokerage fees, commissions, or other transaction costs) shall be remitted to the recipient as soon as reasonably practicable. The parties shall reasonably cooperate with each other in good faith to minimize any such deduction or withholding, including, to the extent feasible and practicable in the circumstances, by seeking appropriate tax rulings. To the extent that amounts are so deducted and withheld, such deducted and withheld amounts (a) shall be remitted by Parent, the Merger Sub, the Company, the Surviving Corporation, the Exchange Agent, the Section 102 Trustee or any TASE member, as the case may be, to the applicable Governmental Entity as required by applicable Law and (b) shall be treated for all purposes of this Agreement as having been paid to the Person in respect of which such deduction and withholding was made.</w:t>
      </w:r>
    </w:p>
    <w:p>
      <w:pPr>
        <w:spacing w:after="0" w:line="19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Each of Parent, SoundHound, Inc., Intermediate Sub, Merger Sub and the Company intends that the exchange of shares of Company Common Stock for the Per Share Merger Consideration pursuant to the Merger be treated as a transaction described in Section 1001 of the Code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None of Parent, SoundHound, Inc., Intermediate Sub, Merger Sub or the Company or any of their affiliates shall take any position for U.S. federal income tax purposes (and applicable state, local and non-U.S. Tax purposes) on any Tax Return, in any Tax contest or audit or in any communication (whether written or unwritten) with any Governmental Entity that is inconsistent with the Intended Tax Treatment unless required by a “determination” within the meaning of Section 1313 of the Code (or any similar provision of state, local or non-U.S. Tax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Except (a) as set forth in the disclosure schedule delivered by the Company to Parent (the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xml:space="preserve">”) concurrent with the execution of this Agreement (with specific reference to the representations and warranties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to which the information in such schedule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disclosure in the Company Disclosure Schedule as to a specific representation or warranty shall qualify one or more other sections of this Agreement to the extent (notwithstanding the absence of a specific cross reference) it is reasonably apparent on its face that such disclosure relates to such other sections, and (b) as otherwise disclosed or identified in the Company SEC Documents filed or furnished by the Company with the SEC on or after January 1, 2024 and at least two (2) Business Days prior to the date hereof (other than any forward-looking disclosures contained in the “Forward Looking Statements” and “Risk Factors” sections of the Company SEC Documents and any other disclosures included therein to the extent they are primarily predictive, cautionary or forward-looking in nature, but including any historical or factual matters disclosed in such sections), the Company hereby represents and warrants to Parent as follows:</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and Qualification;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5" w:lineRule="auto"/>
        <w:tabs>
          <w:tab w:leader="none" w:pos="221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(each, a “</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is a corporation or other legal entity duly organized, validly existing and in good standing (with respect to jurisdictions which recognize such concept) under the Laws of the jurisdiction of its incorporation or organization and has the requisite corporate or organizational, as the case may be, power and authority to own, lease and operate its properties and assets and to carry on its business as it is now being conducted. The Company and each Company Subsidiary is duly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qualified or in good standing has not had and would not reasonably be expected to have, individually or in the aggregate, a Company Material Adverse Effect.</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or caused to be made available to Parent true and complete copies of (i) any amendments to the Fourth Amended and Restated Certificate of Incorporation of the Company (the “</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not filed prior to the date hereof with the SEC,</w:t>
      </w:r>
    </w:p>
    <w:p>
      <w:pPr>
        <w:ind w:right="20" w:firstLine="8"/>
        <w:spacing w:after="0" w:line="260" w:lineRule="auto"/>
        <w:tabs>
          <w:tab w:leader="none" w:pos="27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to the Fourth Amended and Restated By-Laws of the Company (the “</w:t>
      </w:r>
      <w:r>
        <w:rPr>
          <w:rFonts w:ascii="Times New Roman" w:cs="Times New Roman" w:eastAsia="Times New Roman" w:hAnsi="Times New Roman"/>
          <w:sz w:val="18"/>
          <w:szCs w:val="18"/>
          <w:u w:val="single" w:color="auto"/>
          <w:color w:val="auto"/>
        </w:rPr>
        <w:t>Company Bylaws</w:t>
      </w:r>
      <w:r>
        <w:rPr>
          <w:rFonts w:ascii="Times New Roman" w:cs="Times New Roman" w:eastAsia="Times New Roman" w:hAnsi="Times New Roman"/>
          <w:sz w:val="18"/>
          <w:szCs w:val="18"/>
          <w:color w:val="auto"/>
        </w:rPr>
        <w:t>”) not filed prior to the date hereof with the SEC and (iii) the certificates of incorporation and bylaws, or equivalent organizational or governing documents, of each Company Subsidiary.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1952"/>
        <w:spacing w:after="0" w:line="261" w:lineRule="auto"/>
        <w:tabs>
          <w:tab w:leader="none" w:pos="218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of the Company Disclosure Schedule sets forth a true and complete list of the Company Subsidiaries, together with the jurisdiction of organization or incorporation, as the case may be, of each Company Subsidiary. The Company owns, beneficially and of record, directly or indirectly, all Equity Interests of the Company Subsidiaries free and clear of any Liens other than Permitted Liens; except where the failure to own such interest has not had and would not reasonably be expected to have, individually or in the aggregate, a Company Material Adverse Effect.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4" w:lineRule="auto"/>
        <w:tabs>
          <w:tab w:leader="none" w:pos="218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(i) 20,000,000 shares of Company Common Stock, of which, as of the close of business on April 17, 2026 (the “</w:t>
      </w:r>
      <w:r>
        <w:rPr>
          <w:rFonts w:ascii="Times New Roman" w:cs="Times New Roman" w:eastAsia="Times New Roman" w:hAnsi="Times New Roman"/>
          <w:sz w:val="18"/>
          <w:szCs w:val="18"/>
          <w:u w:val="single" w:color="auto"/>
          <w:color w:val="auto"/>
        </w:rPr>
        <w:t>Company Capitalization Date</w:t>
      </w:r>
      <w:r>
        <w:rPr>
          <w:rFonts w:ascii="Times New Roman" w:cs="Times New Roman" w:eastAsia="Times New Roman" w:hAnsi="Times New Roman"/>
          <w:sz w:val="18"/>
          <w:szCs w:val="18"/>
          <w:color w:val="auto"/>
        </w:rPr>
        <w:t>”), there were 12,135,767 shares of Company Common Stock issued and outstanding and (ii) 5,000,000 shares of Preferred Stock, par value $0.001 per share, of the Company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and together with the Company Common Stock, the “</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of which 200,000 shares of Company Preferred Stock were designated as Series A Junior Participating Preferred Stock and reserved for issuance pursuant to the Tax Benefits Preservation Plan. As of the Company Capitalization Date, no shares of Company Preferred Stock are issued and outstanding. No Company Subsidiary owns any shares of Company Stock or has any option or warrant to purchase shares of any Company Stock or any other Equity Interest in the Company. All of the outstanding shares of Company Stock have been duly authorized and validly issued and are fully paid, non-assessable and free of preemptive rights.</w:t>
      </w:r>
    </w:p>
    <w:p>
      <w:pPr>
        <w:spacing w:after="0" w:line="191" w:lineRule="exact"/>
        <w:rPr>
          <w:rFonts w:ascii="Times New Roman" w:cs="Times New Roman" w:eastAsia="Times New Roman" w:hAnsi="Times New Roman"/>
          <w:sz w:val="18"/>
          <w:szCs w:val="18"/>
          <w:color w:val="auto"/>
        </w:rPr>
      </w:pPr>
    </w:p>
    <w:p>
      <w:pPr>
        <w:jc w:val="both"/>
        <w:ind w:firstLine="1952"/>
        <w:spacing w:after="0" w:line="251" w:lineRule="auto"/>
        <w:tabs>
          <w:tab w:leader="none" w:pos="219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close of business on the Company Capitalization Date, the Company has no shares of Company Stock subject to or reserved for issuance, except for (i) 175,459 shares of Company Common Stock subject to outstanding Company Options (assuming that any applicable performance-based vesting conditions have been achieved at “target” levels), (ii) 672,610 shares of Company Common Stock subject to outstanding Company RSU Awards that vest based solely on continued service, (iii) 0 shares of Company Common Stock subject to outstanding Company RSU Awards with performance-based vesting conditions (assuming that the applicable performance goals have been achieved at “target” levels), (iv) 121,202 shares of Company Common Stock reserved for future issuance under the Company Equity Plans for awards not yet granted, (v) 92,972 shares of Company Common Stock reserved for issuance under the Company ESPP, (vi) 13,268 shares of Company Common Stock issuable upon the exercise of the 2026 Notes and (vii) 1,031,021 shares of Company Common Stock issuable upon the exercise of the Company Warrants. All shares of Company Common Stock subject to issuance under the Company Equity Plans and Company ESPP upon issuance prior to the Effective Time on the terms and conditions specified in the instruments pursuant to which they are issuable, shall be duly authorized, validly issued, fully paid, non-assessable and free of preemptive rights.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of the Company Disclosure Schedule sets forth the following information with respect to each outstanding Company Equity Award as of the close of business on the Company Capitalization Date: (1) the name (or employee identification number) of the holder thereof; (2) the number of shares of Company Common Stock issuable thereunder (with Company Equity Awards that are subject to performance-based vesting conditions disclosed assuming that applicable performance goals are achieved at each of “target” levels and “maximum” levels); (3) the grant date; (4) the expiration date (if any); (5) the exercise price (if any); (6) the vesting schedule under the terms of the applicable award agreement (including any vesting acceleration provisions); and</w:t>
      </w:r>
    </w:p>
    <w:p>
      <w:pPr>
        <w:spacing w:after="0" w:line="11" w:lineRule="exact"/>
        <w:rPr>
          <w:rFonts w:ascii="Times New Roman" w:cs="Times New Roman" w:eastAsia="Times New Roman" w:hAnsi="Times New Roman"/>
          <w:sz w:val="18"/>
          <w:szCs w:val="18"/>
          <w:color w:val="auto"/>
        </w:rPr>
      </w:pPr>
    </w:p>
    <w:p>
      <w:pPr>
        <w:ind w:firstLine="8"/>
        <w:spacing w:after="0" w:line="260" w:lineRule="auto"/>
        <w:tabs>
          <w:tab w:leader="none" w:pos="29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Company Option, whether such Company Option is intended to constitute an “incentive stock option” within the meaning of Section 422 of the Code or is intended to be Tax-qualified under foreign law.</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1952"/>
        <w:spacing w:after="0" w:line="255" w:lineRule="auto"/>
        <w:tabs>
          <w:tab w:leader="none" w:pos="21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Equity Interests set forth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the Company Warrants, and the Series A Junior Participating Preferred Stock purchase rights of the Company issued pursuant to the Tax Benefits Preservation Plan and associated with corresponding shares of Company Common Stock (the “</w:t>
      </w:r>
      <w:r>
        <w:rPr>
          <w:rFonts w:ascii="Times New Roman" w:cs="Times New Roman" w:eastAsia="Times New Roman" w:hAnsi="Times New Roman"/>
          <w:sz w:val="18"/>
          <w:szCs w:val="18"/>
          <w:u w:val="single" w:color="auto"/>
          <w:color w:val="auto"/>
        </w:rPr>
        <w:t>Company Rights</w:t>
      </w:r>
      <w:r>
        <w:rPr>
          <w:rFonts w:ascii="Times New Roman" w:cs="Times New Roman" w:eastAsia="Times New Roman" w:hAnsi="Times New Roman"/>
          <w:sz w:val="18"/>
          <w:szCs w:val="18"/>
          <w:color w:val="auto"/>
        </w:rPr>
        <w:t>”), there are no outstanding Equity Interests or other options, phantom equity, warrants or other rights, relating to or based on the value of any Equity Interests of the Company or any Company Subsidiary or obligating the Company or any Company Subsidiary to issue, acquire or sell any Equity Interests of the Company or any Company Subsidiary. From the close of business on the Company Capitalization Date until the date hereof, the Company has not issued any Company Stock or other Equity Interests other than Company Common Stock issued upon the exercise or settlement of Company Equity Awards outstanding as of the close of business on the Company Capitalization Date in accordance with their terms.</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Company Equity Awards, there are no outstanding obligations of the Company or any Company Subsidiary (i) restricting the transfer of, (ii) affecting the voting rights of, (iii) requiring the repurchase, redemption or disposition of, or containing any right of first refusal with respect to, (iv) requiring the registration for sale of or (v) granting any preemptive or anti-dilutive rights with respect to, any Company Stock or other Equity Interests of the Company or any Company Subsidiary.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3" w:lineRule="auto"/>
        <w:tabs>
          <w:tab w:leader="none" w:pos="22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necessary power and authority to execute and deliver this Agreement, to perform its obligations hereunder and to consummate the transactions contemplated hereby, including the Merger. The execution and delivery of this Agreement by the Company and the consummation by the Company of the transactions contemplated hereby, including the Merger, have been duly and validly authorized by all necessary corporate action, and no other corporate proceedings on the part of the Company and, except for the affirmative vote of the holders of a majority in voting power of the outstanding shares of Company Common Stock entitled to vote thereon in favor of the adoption of this Agreement (the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Vote</w:t>
      </w:r>
      <w:r>
        <w:rPr>
          <w:rFonts w:ascii="Times New Roman" w:cs="Times New Roman" w:eastAsia="Times New Roman" w:hAnsi="Times New Roman"/>
          <w:sz w:val="18"/>
          <w:szCs w:val="18"/>
          <w:color w:val="auto"/>
        </w:rPr>
        <w:t>”), no stockholder votes are necessary to adopt this Agreement or to consummate the transactions contemplated hereby. The Company has duly and validly executed and delivered this Agreement and, assuming due and valid authorization, execution and delivery by the Parent Parties, constitutes its legal, valid and binding obligation, enforceable against it in accordance with its terms, except as limited by Laws affecting the enforcement of creditors’ rights generally, by general equitable principles or by the discretion of any Governmental Entity before which any Proceeding seeking enforcement may be brought (the “</w:t>
      </w:r>
      <w:r>
        <w:rPr>
          <w:rFonts w:ascii="Times New Roman" w:cs="Times New Roman" w:eastAsia="Times New Roman" w:hAnsi="Times New Roman"/>
          <w:sz w:val="18"/>
          <w:szCs w:val="18"/>
          <w:u w:val="single" w:color="auto"/>
          <w:color w:val="auto"/>
        </w:rPr>
        <w:t>Enforceability Limitations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1952"/>
        <w:spacing w:after="0" w:line="254" w:lineRule="auto"/>
        <w:tabs>
          <w:tab w:leader="none" w:pos="22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has adopted resolutions irrevocably, affirmatively and unconditionally determining that the Parent Parties and their respective affiliates, in each case, shall not be deemed an “Acquiring Person” (as defined in the Tax Benefits Preservation Plan) and no “Stock Acquisition Date”, “Triggering Event” or “Flip-In Trigger Date” (as such terms are defined in the Tax Benefits Preservation Plan) will occur as a result of the execution of this Agreement or any other agreement contemplated hereby or the consummation of the transactions contemplated hereby or thereby, including the Merger (the “</w:t>
      </w:r>
      <w:r>
        <w:rPr>
          <w:rFonts w:ascii="Times New Roman" w:cs="Times New Roman" w:eastAsia="Times New Roman" w:hAnsi="Times New Roman"/>
          <w:sz w:val="18"/>
          <w:szCs w:val="18"/>
          <w:u w:val="single" w:color="auto"/>
          <w:color w:val="auto"/>
        </w:rPr>
        <w:t>Tax Benefits Preservation Plan Waiver</w:t>
      </w:r>
      <w:r>
        <w:rPr>
          <w:rFonts w:ascii="Times New Roman" w:cs="Times New Roman" w:eastAsia="Times New Roman" w:hAnsi="Times New Roman"/>
          <w:sz w:val="18"/>
          <w:szCs w:val="18"/>
          <w:color w:val="auto"/>
        </w:rPr>
        <w:t>”). The Company has previously provided true and complete copies of (i) the Tax Benefits Preservation Plan Waiver and (ii) the Tax Benefits Preservation Plan and all amendments thereto to the Parent Parties. Other than the Tax Benefits Preservation Plan, the Company has no rights plan, “poison-pill” or other comparable agreement or arrangement designed to have the effect of delaying, deferring or discouraging any Person from acquiring control of the Company.</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xml:space="preserve">(a). Subject to receipt of the Required Company Vote, none of the execution, delivery or performance of this Agreement by the Company, the consummation by the Company of the Merger or any other transaction contemplated by this Agreement will (with or without notice or lapse of time, or both): (a) conflict with or violate any provision of the Company Charter or the Company Bylaws or any equivalent organizational or governing documents of any Company Subsidiary; (b) assuming that all consents, approvals, authorizations and permits described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have been obtained and all filings and notifications described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have been made and any waiting periods thereunder have terminated or expired, conflict with or violate any Law applicable to the Company or any Company Subsidiary or any of their respective properties or assets; or (c) require any consent or approval under, violate, conflict with, result in any breach of or any loss of any benefit under, or constitute a change of control or default under, or result in termination or give to others any right of termination, vesting, amendment, acceleration or cancellation of, or result in the creation of a Lien (other than Permitted Liens) upon any of the respective properties or assets of the Company or any Company Subsidiary pursuant to any Company Material Contract or any Company Permit, except, with respect to clauses (b) and (c), for any such conflicts, violations, consents, breaches, losses, changes of control, defaults, rights, other occurrences or Liens which would not, individually or in the aggregate, reasonably be expected to have a Company Material Adverse Effect.</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Required Filings and Consents</w:t>
      </w:r>
      <w:r>
        <w:rPr>
          <w:rFonts w:ascii="Times New Roman" w:cs="Times New Roman" w:eastAsia="Times New Roman" w:hAnsi="Times New Roman"/>
          <w:sz w:val="18"/>
          <w:szCs w:val="18"/>
          <w:color w:val="auto"/>
        </w:rPr>
        <w:t xml:space="preserve">. Assuming the accuracy of the representations and warranties of the Parent Parties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none of the execution, delivery or performance of this Agreement by the Company, the consummation by the Company of the Merger or any other transaction contemplated by this Agreement will require (with or without notice or lapse of time, or both) any consent, approval, authorization or permit of, or filing or registration with or notification to, any Governmental Entity, other than (a) the filing of the Certificate of Merger as required by the DGCL, (b) compliance with any applicable requirements of any Regulatory Laws, (c) compliance with the applicable requirements of the Exchange Act, Securities Act and any other applicable U.S. state or federal securities Laws, (d) filings with the SEC as may be required by the Company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have, individually or in the aggregate, a Company Material Adverse Effect. The performance of the obligations under this Agreement, and the consummation of the Merger or any other transaction contemplated by this Agreement, in each case, will not require the publication of a prospectus or a similar offering document in Israel.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Neither the Company nor any Company Subsidiary is, or since January 1, 2023, has been in conflict with, default under or violation of any Law applicable to the Company or any Company Subsidiary or by which any property or asset of the Company or any Company Subsidiary is bound or affected, except for any conflicts, defaults or violations that have not had and would not reasonably be expected to have, individually or in the aggregate, a Company Material Adverse Effect. To the Knowledge of the Company, no investigation by any Governmental Entity with respect to the Company or any Company Subsidiary is pending, nor has any Governmental Entity indicated to the Company an intention to conduct any such investigation, except for such investigations, the outcomes of which if determined adversely to the Company or any Company Subsidiary have not had and would not reasonably be expected to have, individually or in the aggregate, a Company Material Adverse Effect.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1" w:lineRule="auto"/>
        <w:tabs>
          <w:tab w:leader="none" w:pos="218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or furnished all reports, schedules, forms, statements, registration statements, prospectuses and other documents required to be filed or furnished by the Company with the SEC under the Securities Act or the Exchange Act since January 1, 2024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or with the ISA under the Israeli Securities Laws since January 1, 2024 (the “</w:t>
      </w:r>
      <w:r>
        <w:rPr>
          <w:rFonts w:ascii="Times New Roman" w:cs="Times New Roman" w:eastAsia="Times New Roman" w:hAnsi="Times New Roman"/>
          <w:sz w:val="18"/>
          <w:szCs w:val="18"/>
          <w:u w:val="single" w:color="auto"/>
          <w:color w:val="auto"/>
        </w:rPr>
        <w:t>Company ISA Documents</w:t>
      </w:r>
      <w:r>
        <w:rPr>
          <w:rFonts w:ascii="Times New Roman" w:cs="Times New Roman" w:eastAsia="Times New Roman" w:hAnsi="Times New Roman"/>
          <w:sz w:val="18"/>
          <w:szCs w:val="18"/>
          <w:color w:val="auto"/>
        </w:rPr>
        <w:t>”). No Company Subsidiary is required to make any filings with the SEC.</w:t>
      </w:r>
    </w:p>
    <w:p>
      <w:pPr>
        <w:spacing w:after="0" w:line="17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9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respective filing date, and, if amended, as of the date of the last amendment prior to the date hereof, each Company SEC Document and Company ISA Document complied in all material respects with the requirements of the Exchange Act, the Securities Act or the Israeli Securities Laws, as the case may be, and the rules and regulations of the SEC or the ISA, as applicable, promulgated thereunder applicable to such Company SEC Document or Company ISA Document, as the case may be, and did not contain any untrue statement of a material fact or omit to state a material fact required to be stated therein or necessary in order to make the statements therein, in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0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in the Company SEC Documents (including, in each case, any notes or schedules thereto)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fairly present, in all material respects, the consolidated financial condition and the consolidated results of operations, cash flows and changes in stockholders’ equity of the Company and the Company Subsidiaries (on a consolidated basis) as of the respective dates of and for the periods referred to in the Company Financial Statements, and were prepared in accordance with GAAP applied on a consistent basis during the periods involved (except as may be specifically indicated in the notes thereto), subject, in the case of any interim unaudited Company Financial Statements, to normal and recurring year-end adjustments (in each case, except as would not, individually or in the aggregate, reasonably be expected to be material to the Company and the Company Subsidiaries, taken as a whole) and the absence of notes and other presentation items (none of which, if presented, would materially differ from those presented in the most recent Company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952"/>
        <w:spacing w:after="0" w:line="252" w:lineRule="auto"/>
        <w:tabs>
          <w:tab w:leader="none" w:pos="219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The Company’s disclosure controls and procedures are designed to ensure that all information (both financial and non-financial) required to be disclosed by the Company in the reports that it files or furnishes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disclosure controls and procedures and, to the extent required by applicable Law, presented in any applicable Company SEC Document that is a report on Form 10-K or Form 10-Q, or any amendment thereto, its conclusions about the effectiveness of the disclosure controls and procedures as of the end of the period covered by such report or amendment based on such evaluation. The Company’s management has not identified any significant deficiencies or material weaknesses in the design or operation of its internal control over financial reporting that would reasonably be expected to adversely affect the Company’s ability to record, process, summarize and report financial information and the Company does not have Knowledge of any fraud, whether or not material, that involves management or other employees who have a significant role in the Company’s internal control over financial reporting.</w:t>
      </w:r>
    </w:p>
    <w:p>
      <w:pPr>
        <w:spacing w:after="0" w:line="197"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do not have any material liabilities or obligations of any nature (whether absolute or contingent, asserted or unasserted, known or unknown, primary or secondary, direct or indirect, and whether or not accrued) required by GAAP to be reflected or reserved on a consolidated balance sheet of the Company (or the notes thereto) except (i) as specifically and adequately disclosed, reflected or reserved against in the most recent balance sheet included in the Company Financial Statements or the notes thereto, (ii) for liabilities and obligations incurred in the ordinary course of business since the date of the most recent balance sheet included in the Company Financial Statements (none of which is a liability or obligation resulting from a breach of Contract, tort, or infringement), (iii) for liabilities and obligations arising out of or in connection with this Agreement, the Merger or the other transactions contemplated hereby and (iv) for liabilities and obligations that have not been and would not reasonably be expected to be, individually or in the aggregate, material to the Company and the Company Subsidiaries, taken as a whole.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6" w:lineRule="auto"/>
        <w:tabs>
          <w:tab w:leader="none" w:pos="220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2025 through the date hereof, except for the discussion and negotiation of this Agreement, the Company and the Company Subsidiaries have conducted their respective businesses in all material respects in the ordinary course of business consistent with past practice.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right="20" w:firstLine="1952"/>
        <w:spacing w:after="0" w:line="282" w:lineRule="auto"/>
        <w:tabs>
          <w:tab w:leader="none" w:pos="221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2025 through the date hereof, there has not been any Company Material Adverse Effect or any change, event or development, that had or would reasonably be expected to have, individually or in the aggregate, a Company Material Adverse Effect.</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January 1, 2026 through the date hereof, there has not been any action taken by the Company or any Company Subsidiary that, if taken during the period between the date of hereof through the Effective Time, would constitute a breach of </w:t>
      </w:r>
      <w:r>
        <w:rPr>
          <w:rFonts w:ascii="Times New Roman" w:cs="Times New Roman" w:eastAsia="Times New Roman" w:hAnsi="Times New Roman"/>
          <w:sz w:val="18"/>
          <w:szCs w:val="18"/>
          <w:u w:val="single" w:color="auto"/>
          <w:color w:val="auto"/>
        </w:rPr>
        <w:t>Sections 5.1(a)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5.1(q)</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2" w:lineRule="auto"/>
        <w:tabs>
          <w:tab w:leader="none" w:pos="218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sets forth a complete and accurate list of each material Company Benefit Plan as of the date hereof, excluding (i) any Company Benefit Plan that is an employment offer letter or individual independent contractor or consultant agreement that (x) does not materially differ from the applicable form set forth on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(y) does not provide for (A) any change in control, retention or other payments or benefits that could be triggered by the consummation of the transactions contemplated hereby, or (B) severance payments or benefits (other than statutory payments or benefits under applicable Laws) and (z) can be terminated upon thirty (30) days’ notice or less without further payment, liability or obligation (other than as required by applicable Laws) and (ii) any individual award agreement evidencing Company Equity Awards that is on a form that does not materially differ from the applicable form set forth on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separately identifies each Company Benefit Plan that is governed by the laws of any jurisdiction other than the United States or provides compensation or benefits to any employee or former employee of the Company or any Company Subsidiary (or any dependent thereof) who resides outside of the United States (each, a “</w:t>
      </w:r>
      <w:r>
        <w:rPr>
          <w:rFonts w:ascii="Times New Roman" w:cs="Times New Roman" w:eastAsia="Times New Roman" w:hAnsi="Times New Roman"/>
          <w:sz w:val="18"/>
          <w:szCs w:val="18"/>
          <w:u w:val="single" w:color="auto"/>
          <w:color w:val="auto"/>
        </w:rPr>
        <w:t>Non-U.S. Company Benefit Plan</w:t>
      </w:r>
      <w:r>
        <w:rPr>
          <w:rFonts w:ascii="Times New Roman" w:cs="Times New Roman" w:eastAsia="Times New Roman" w:hAnsi="Times New Roman"/>
          <w:sz w:val="18"/>
          <w:szCs w:val="18"/>
          <w:color w:val="auto"/>
        </w:rPr>
        <w:t>”). With respect to each material Company Benefit Plan, to the extent applicable, the Company and the Company Subsidiaries have either delivered or made available to Parent prior to the execution of this Agreement true, correct and complete copies of: (i) all plan documents and all amendments thereto, and all related trust or other funding documents, and in the case of unwritten Company Benefit Plans, written descriptions thereof, (ii) the most recent determination letters, rulings, opinion letters, information letters or advisory opinions issued by the IRS or the United States Department of Labor, (iii) the most recently filed annual return/report (Form 5500) and accompanying schedules and attachments thereto, (iv) the most recently prepared actuarial report and financial statements, (v) the most recent prospectus or summary plan descriptions and any material modifications thereto, (vi) all nondiscrimination and compliance testing reports for the most recently completed plan year and (vii) all material non-routine correspondence to and from any Governmental Entity within the last three (3) years.</w:t>
      </w:r>
    </w:p>
    <w:p>
      <w:pPr>
        <w:spacing w:after="0" w:line="193"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9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has been established, administered and maintained in all respects in accordance with its terms and all applicable Laws, including ERISA and the Code, except as, individually or in the aggregate, would not reasonably be expected to have a Company Material Adverse Effect. With respect to each Company Benefit Plan that is intended to be qualified under Section 401(a) of the Code, such Company Benefit Plan has received a determination from the IRS that such Company Benefit Plan is so qualified (or if it is a prototype plan, it has a favorable opinion letter, or if it is a volume submitter plan, it has a favorable advisory letter), and, to the Knowledge of the Company, nothing has occurred that has or would reasonably be expected to adversely affect the qualification of such Company Benefit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952"/>
        <w:spacing w:after="0" w:line="255" w:lineRule="auto"/>
        <w:tabs>
          <w:tab w:leader="none" w:pos="22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is, and none of the Company, any of the Company Subsidiaries or their respective ERISA Affiliates sponsors, maintains, contributes to, has any obligation to contribute to, or otherwise has any liability or obligation (whether direct or contingent) under or with respect to: (i) a Multiemployer Plan; (ii) a “multiple employer plan” within the meaning of Section 210 of ERISA or Section 413(c) of the Code; (iii) a “multiple employer welfare arrangement” within the meaning of Section 3(40) of ERISA; or (iv) a “defined benefit plan” (as defined in Section 3(35) of ERISA whether or not subject thereto) or any other pension plan that is subject to Section 302 or Title IV of ERISA or Section 412 of 430 of the Code. None of the Company or any of the Company Subsidiaries has any current or contingent liability or obligation as a consequence of being considered a single employer with any other Person under Section 414 of the Code during the past six (6) years.</w:t>
      </w:r>
    </w:p>
    <w:p>
      <w:pPr>
        <w:spacing w:after="0" w:line="188"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provides, and neither the Company nor any of the Company Subsidiaries sponsors, maintains, contributes to or is required to contribute to or has any liability with respect to any post-retirement welfare benefits, other than (i) health care continuation coverage required by Section 4980B of the Code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or other applicable Law, (ii) coverage through the end of the calendar month in which a termination of employment occurs or (iii) pursuant to an applicable agreement, plan or policy requiring the Company or any Company Subsidiary to pay or subsidize COBRA premiums for a terminated employee following the employee’s termination of employment.</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claims, actions, causes of action, suits, litigations, proceedings, arbitrations, mediations, interferences, audits, assessments, hearings or other legal proceedings (including Proceedings but excluding routine claims for benefits) are pending or, to the Knowledge of the Company, threatened with respect to any Company Benefit Plan that would reasonably be expected to have a Company Material Adverse Effect.</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or performance of this Agreement by the Company or the consummation by the Company of the transactions contemplated hereby could (alone or in conjunction with any other event) (i) entitle any current or former employee, individual independent contractor, officer or director of the Company or any of the Company Subsidiaries to any compensation or benefits, (ii) increase the amount of any compensation or benefits due to any such individual, (iii) accelerate the vesting, funding or time of payment of any compensation or benefits due to any such individual or (iv) result in the payment of any “excess parachute payments” within the meaning of Section 280G of the Code.</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9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have a Company Material Adverse Effect, all required premiums for, contributions required to be made to, or other payments that are due in respect of each Company Benefit Plan have been timely and fully made in accordance with the terms of the applicable Company Benefit Plan and applicable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1952"/>
        <w:spacing w:after="0" w:line="258" w:lineRule="auto"/>
        <w:tabs>
          <w:tab w:leader="none" w:pos="219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have a Company Material Adverse Effect, each Company Benefit Plan, and any award thereunder, that is or forms part of a “nonqualified deferred compensation plan” within the meaning of Section 409A of the Code has been operated and maintained in all respects with all applicable requirements of Sections 409A of the Code. Neither the Company nor any of the Company Subsidiaries has any obligations to gross-up or reimburse any individual for any Tax or related interest or penalties incurred by such individual, including under Sections 409A or 4999 of the Code or otherwise.</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7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individually or in the aggregate, a Company Material Adverse Effect, each Non-U.S. Company Benefit Plan (i) has been operated in conformance with the applicable statutes or governmental regulations and rulings relating to such plans in the jurisdictions in which such Non-U.S. Company Benefit Plan is present or operates and, to the extent relevant, the United States, (ii) that is intended to qualify for special tax treatment meets all requirements for such treatment and (iii) that is intended to be funded or book-reserved are fully funded or book reserved, as appropriate, based upon reasonable actuarial assumptions. No Non-U.S. Company Benefit Plan is a defined benefit pension plan.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Labor and Other Employment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4" w:lineRule="auto"/>
        <w:tabs>
          <w:tab w:leader="none" w:pos="218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of the Company Disclosure Schedule sets forth, as of the date hereof, a true, correct, and complete list of all employees of the Company and the Company Subsidiaries, including for each such employee their (i) name or identification number, (ii) job title, (iii) primary work location (city, state (where applicable), and country), (iv) date of hire, (v) base hourly or monthly rate, annual salary or other base rate of compensation, (vi) eligibility for commissions, bonuses or other incentive-based compensation payments (if any), (vii) full-time or part-time status, (viii) exempt or non-exempt status under applicable wage and hour Laws, (ix) employing entity, (x) for each employee located in the United States, status as active or on leave (including anticipated date of return if on leave and any protected status under any applicable Law), and (xi) for each Israeli Employee, such Israeli Employee’s prior notice entitlement (to the extent in excess of thirty (30) days or any legal requirement) and pension arrangement, including an indication on whether the Section 14 Arrangement has been applied on such employee since the commencement of their employment. Neither the Company nor any Company Subsidiary engages any personnel through manpower agencies in Israel.</w:t>
      </w:r>
    </w:p>
    <w:p>
      <w:pPr>
        <w:spacing w:after="0" w:line="188"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of the Company Disclosure Schedule sets forth, as of the date hereof, a true, correct, and complete list of all individual independent contractors engaged by or providing services to the Company or any Company Subsidiary, including those providing services through a sole proprietorship or an entity wholly owned and operated by the individual, including for each such contractor (i) their name, (ii) the services they provide, (iii) their primary work location (state (where applicable), and country), (iv) their first date of retention, (v) their compensation terms, and (vi) the entity that engages such contractor.</w:t>
      </w:r>
    </w:p>
    <w:p>
      <w:pPr>
        <w:spacing w:after="0" w:line="183"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8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is a party to or bound by any Collective Bargaining Agreement or has ever been a member of any employers’ association or organization. There are no and for the past three years there have been no (i) Union representing or purporting to represent any current or former employee of the Company or any Company Subsidiary in their role as an employee of the Company or any Company Subsidiary, (ii) union organizing activities or efforts with respect to the formation of a Union or demands of any Union for recognition or certification involving any current or former employee of the Company or any Company Subsidiary in their role as an employee of the Company or any Company Subsidiary, or (iii) representation proceedings or petitions seeking a representation proceeding pending or threatened to be brought or filed against the Company or any Company Subsidiary with any Governmental Entity. Neither the Company nor any Company Subsidiary, has paid, has received notice that it is required to pay or has been requested to pay, any payment (including professional organizational handling charges) to any employers’ association or organization.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952"/>
        <w:spacing w:after="0" w:line="266" w:lineRule="auto"/>
        <w:tabs>
          <w:tab w:leader="none" w:pos="221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and for the past three years there has been no, labor strike, picketing, lockouts, handbillings, material labor grievances, material labor dispute, slowdown or concerted work stoppage pending or, to the Knowledge of the Company, threatened against or materially affecting the Company or any Company Subsidiary.</w:t>
      </w:r>
    </w:p>
    <w:p>
      <w:pPr>
        <w:spacing w:after="0" w:line="175"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are and for the past three years have been in compliance with (i) all applicable Laws respecting labor, employment and employment practices including, without limitation, all Laws respecting terms and conditions of employment, background checks, hiring, promotions, employee privacy, worker classification, health and safety, working conditions, meal and rest periods, wage payment, wages and hours, pay equity, overtime, child labor, immigration and work authorizations, employment eligibility verification, employment harassment and discrimination, retaliation, disability rights or benefits, accommodations, leaves of absence, paid sick leave, equal employment opportunity, fair employment practices, plant closures and layoffs, reduction in force, affirmative action, workers’ compensation, labor relations and collective bargaining, discipline, termination, social welfare obligations and unemployment insurance, notification of employment terms, travel expenses, recuperation pay, pension arrangement and statutory severance pay (as applicable), engaging employees through manpower agencies and/ or through services providers in accordance with the Israeli Law for Strengthening the Enforcement of Labor Laws, 2011, and (ii) all obligations of the Company or any Company Subsidiary under any employment agreement, consulting agreement, severance agreement, Collective Bargaining Agreement or any other employment or labor-related Contract or understanding, in each case, except as would not, individually or in the aggregate, reasonably be expected to be material to the Company and the Company Subsidiaries, taken as a whole. Neither the Company nor any Company Subsidiary have incurred, and no circumstances exist under which the Company or any Company Subsidiary would reasonably be expected to incur, any material liability arising from (i) the failure to pay wages (including overtime wages) or to make any statutory required social contributions, (ii) the misclassification of any independent contractors or other non-employee workers, or (iii) the misclassification of any employees as exempt from the overtime requirements of applicable wage and hour Laws, in each case, except as would not, individually or in the aggregate, reasonably be expected to be material to the Company and the Company Subsidiaries, taken as a whole.</w:t>
      </w:r>
    </w:p>
    <w:p>
      <w:pPr>
        <w:spacing w:after="0" w:line="19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three years, neither the Company nor any Company Subsidiary have implemented or effectuated a “mass layoff” or “plant closing” as defined under the Worker Adjustment and Retraining Notification Act of 1988 or by any equivalent foreign or state Law (each a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or other employment decision sufficient in number to trigger application of an applicable WARN Act, nor is any “mass layoff” or “plant closing” expected. No employee of the Company or any Company Subsidiary is on furlough or temporary layoff or working hours that have been involuntarily reduced by 50% or more.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952"/>
        <w:spacing w:after="0" w:line="256" w:lineRule="auto"/>
        <w:tabs>
          <w:tab w:leader="none" w:pos="222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be material to the Company and the Company Subsidiaries, taken as a whole, as of the date hereof, there are no and for the past three years have been no Proceedings pending or, to the Knowledge of the Company, threatened based on, arising out of, in connection with, or otherwise relating to any applicant for employment, any current or former employee, any current or former individual independent contractor (including those providing or who provided services through sole proprietorships or entities wholly owned and operated by them), any other non-employee service provider (including workers provided through temporary staffing agencies or service contractors), or any other labor or employment matter.</w:t>
      </w:r>
    </w:p>
    <w:p>
      <w:pPr>
        <w:spacing w:after="0" w:line="187" w:lineRule="exact"/>
        <w:rPr>
          <w:rFonts w:ascii="Times New Roman" w:cs="Times New Roman" w:eastAsia="Times New Roman" w:hAnsi="Times New Roman"/>
          <w:sz w:val="18"/>
          <w:szCs w:val="18"/>
          <w:color w:val="auto"/>
        </w:rPr>
      </w:pPr>
    </w:p>
    <w:p>
      <w:pPr>
        <w:ind w:firstLine="1952"/>
        <w:spacing w:after="0" w:line="282" w:lineRule="auto"/>
        <w:tabs>
          <w:tab w:leader="none" w:pos="22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current employee with a position at the Vice President level or higher, intends to terminate his or her employment or retire prior to the one-year anniversary of the Closing.</w:t>
      </w:r>
    </w:p>
    <w:p>
      <w:pPr>
        <w:spacing w:after="0" w:line="16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three (3) years, no material allegations of sexual harassment, discriminatory harassment, sexual assault, or sexual misconduct have been made or threatened by or against any current or former officer, director, executive, manager, or employee of the Company or any Company Subsidiary at the managerial level or higher relating to their capacity as such and neither the Company nor any Company Subsidiary has entered into any settlement or separation agreements related to any such allegation of sexual harassment, sexual assault or sexual misconduct. The Company and each Company Subsidiary have promptly, impartially and reasonably investigated all sexual harassment, discrimination and discriminatory harassment, sexual assault, sexual misconduct and retaliation allegations made against such individuals of which the Company or any Company Subsidiary are or were aware, and for each such allegation with potential merit, the Company or any Company Subsidiary has taken prompt, reasonable corrective actions reasonably calculated to prevent further harassment. Neither the Company nor any Company Subsidiary reasonably expects any material liability with respect to any such allegations and, to the Knowledge of the Company, there are no such allegations, that, if known to the public, would bring the Company or any Company Subsidiary into material disrepute.</w:t>
      </w:r>
    </w:p>
    <w:p>
      <w:pPr>
        <w:spacing w:after="0" w:line="194"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employees of the Company or any Company Subsidiary who reside or work in Israel (“</w:t>
      </w:r>
      <w:r>
        <w:rPr>
          <w:rFonts w:ascii="Times New Roman" w:cs="Times New Roman" w:eastAsia="Times New Roman" w:hAnsi="Times New Roman"/>
          <w:sz w:val="18"/>
          <w:szCs w:val="18"/>
          <w:u w:val="single" w:color="auto"/>
          <w:color w:val="auto"/>
        </w:rPr>
        <w:t>Israeli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(i) neither the Company nor any Company Subsidiary has or is subject to, and no Israeli Employee of the Company or any Company Subsidiary benefits from, any extension order (</w:t>
      </w:r>
      <w:r>
        <w:rPr>
          <w:rFonts w:ascii="Times New Roman" w:cs="Times New Roman" w:eastAsia="Times New Roman" w:hAnsi="Times New Roman"/>
          <w:sz w:val="18"/>
          <w:szCs w:val="18"/>
          <w:i w:val="1"/>
          <w:iCs w:val="1"/>
          <w:color w:val="auto"/>
        </w:rPr>
        <w:t>tzavei harchava</w:t>
      </w:r>
      <w:r>
        <w:rPr>
          <w:rFonts w:ascii="Times New Roman" w:cs="Times New Roman" w:eastAsia="Times New Roman" w:hAnsi="Times New Roman"/>
          <w:sz w:val="18"/>
          <w:szCs w:val="18"/>
          <w:color w:val="auto"/>
        </w:rPr>
        <w:t>) (other than extension orders applicable to all employers in Israel and no employee of the Company or any of its Subsidiaries benefits from any such extension orders); and (ii) all current and former Israeli Employees that are or were employed by the Company or any Company Subsidiary are, and were, lawfully subject to the arrangement under Section 14 of the Israeli Severance Pay Law – 1963 (the “</w:t>
      </w:r>
      <w:r>
        <w:rPr>
          <w:rFonts w:ascii="Times New Roman" w:cs="Times New Roman" w:eastAsia="Times New Roman" w:hAnsi="Times New Roman"/>
          <w:sz w:val="18"/>
          <w:szCs w:val="18"/>
          <w:u w:val="single" w:color="auto"/>
          <w:color w:val="auto"/>
        </w:rPr>
        <w:t>Section 14 Arrangement</w:t>
      </w:r>
      <w:r>
        <w:rPr>
          <w:rFonts w:ascii="Times New Roman" w:cs="Times New Roman" w:eastAsia="Times New Roman" w:hAnsi="Times New Roman"/>
          <w:sz w:val="18"/>
          <w:szCs w:val="18"/>
          <w:color w:val="auto"/>
        </w:rPr>
        <w:t>”) during such individual’s entire period of engagement with the Company or the applicable Company Subsidiary and such Section 14 Arrangement was properly applied in accordance with the terms of the general permit issued by the Israeli Labor Minister regarding such individual based on their full determining salaries and from their commencement date of employment, and upon termination of their employment the Company or any Company Subsidiary shall be under no obligation to pay any additional severance amounts. To the knowledge of the Company, the Company and the Company’s Subsidiaries have not engaged any Israeli Employees whose employment would require special approvals from any Governmental Entity. Except for matters that have not resulted in and would not, individually or in the aggregate, result in material liabilities to the Company and any Company Subsidiaries, taken as a whole, all amounts that the Company and the Company’s Subsidiaries are legally or contractually required either (x) to deduct from their Israeli Employees’ salaries or to transfer to such Israeli Employees’ pension or provident, life insurance, incapacity insurance, continuing education fund or other similar funds or (y) to withhold from their Israeli Employees’ salaries and benefits and to pay to any Governmental Entity as required by any applicable Law, or otherwise have, in each case, been duly deducted, transferred, withheld and paid (other than routine payments, deductions or withholdings to be timely made in the normal course of business and consistent with past practice).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130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6" w:lineRule="auto"/>
        <w:tabs>
          <w:tab w:leader="none" w:pos="22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Schedule sets forth, as of the date hereof, a true and complete list of each Contract to which the Company or any Company Subsidiary is a party or by which their respective properties or assets are bound, and which falls within any of the following categories:</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0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venture, partnership, limited liability or other similar Contract related to the formation, creation, operation, management or control of any partnership, limited liability company or joint venture in which the Company or any Company Subsidiary owns any interest, or any Contract involving a sharing of any revenues, profits, losses, costs, or liabilities of the Company or any Company Subsidiary;</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5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requires future payments (A) by the Company or any Company Subsidiary of more than $350,000 in any one year period or (B) to the Company or any Company Subsidiary of more than $1,000,000 in any one year period, in each case, that cannot be terminated on less than ninety (90) days’ notice without payment or penalty;</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9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grants any right of first refusal or right of first offer or imposes any other similar restriction or obligation that, in each case, limits in any material respect the ability of the Company or any Company Subsidiary (or Parent and its affiliates after the Effective Time) to own, operate, sell, transfer, pledge or otherwise dispose of any material businesses or material assets;</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91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materially limits the freedom of the Company or any Company Subsidiary (or Parent and its affiliates after the Effective Time) to engage in any line of business, compete with any Person or purchase, sell, supply or distribute any product or service, in each case, in any geographic area;</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related to the acquisition, disposition or other merger, reorganization or business combination that contains, covenants, indemnities, “earn-out” provisions or other contingent payment obligations that would reasonably be expected to result in future payments by the Company or a Company Subsidiary in excess of $250,000;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2600"/>
        <w:spacing w:after="0" w:line="266" w:lineRule="auto"/>
        <w:tabs>
          <w:tab w:leader="none" w:pos="28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gives any Person the express right to acquire legal ownership of any assets owned by the Company or any Company Subsidiary (excluding ordinary course commitments to purchase Company Products) after the date hereof with consideration of more than $250,000;</w:t>
      </w:r>
    </w:p>
    <w:p>
      <w:pPr>
        <w:spacing w:after="0" w:line="175" w:lineRule="exact"/>
        <w:rPr>
          <w:rFonts w:ascii="Times New Roman" w:cs="Times New Roman" w:eastAsia="Times New Roman" w:hAnsi="Times New Roman"/>
          <w:sz w:val="18"/>
          <w:szCs w:val="18"/>
          <w:color w:val="auto"/>
        </w:rPr>
      </w:pPr>
    </w:p>
    <w:p>
      <w:pPr>
        <w:ind w:firstLine="2600"/>
        <w:spacing w:after="0" w:line="282" w:lineRule="auto"/>
        <w:tabs>
          <w:tab w:leader="none" w:pos="2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indebtedness for borrowed money or any financial guaranty (including any guaranty by the Company or any Company Subsidiary of any obligations of any third party), in each case pertaining to indebtedness in excess of $250,000;</w:t>
      </w:r>
    </w:p>
    <w:p>
      <w:pPr>
        <w:spacing w:after="0" w:line="161" w:lineRule="exact"/>
        <w:rPr>
          <w:rFonts w:ascii="Times New Roman" w:cs="Times New Roman" w:eastAsia="Times New Roman" w:hAnsi="Times New Roman"/>
          <w:sz w:val="18"/>
          <w:szCs w:val="18"/>
          <w:color w:val="auto"/>
        </w:rPr>
      </w:pPr>
    </w:p>
    <w:p>
      <w:pPr>
        <w:ind w:left="3000" w:hanging="400"/>
        <w:spacing w:after="0"/>
        <w:tabs>
          <w:tab w:leader="none" w:pos="3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w:t>
      </w:r>
    </w:p>
    <w:p>
      <w:pPr>
        <w:spacing w:after="0" w:line="225" w:lineRule="exact"/>
        <w:rPr>
          <w:rFonts w:ascii="Times New Roman" w:cs="Times New Roman" w:eastAsia="Times New Roman" w:hAnsi="Times New Roman"/>
          <w:sz w:val="18"/>
          <w:szCs w:val="18"/>
          <w:color w:val="auto"/>
        </w:rPr>
      </w:pPr>
    </w:p>
    <w:p>
      <w:pPr>
        <w:ind w:firstLine="2600"/>
        <w:spacing w:after="0" w:line="282" w:lineRule="auto"/>
        <w:tabs>
          <w:tab w:leader="none" w:pos="28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Person that is one of the top 20 customers of the Company and the Company Subsidiaries (as measured by total revenue for the fiscal year ending December 31, 2025);</w:t>
      </w:r>
    </w:p>
    <w:p>
      <w:pPr>
        <w:spacing w:after="0" w:line="161" w:lineRule="exact"/>
        <w:rPr>
          <w:rFonts w:ascii="Times New Roman" w:cs="Times New Roman" w:eastAsia="Times New Roman" w:hAnsi="Times New Roman"/>
          <w:sz w:val="18"/>
          <w:szCs w:val="18"/>
          <w:color w:val="auto"/>
        </w:rPr>
      </w:pPr>
    </w:p>
    <w:p>
      <w:pPr>
        <w:ind w:right="20" w:firstLine="2600"/>
        <w:spacing w:after="0" w:line="282" w:lineRule="auto"/>
        <w:tabs>
          <w:tab w:leader="none" w:pos="284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Person that is one of the top 20 vendors of the Company and the Company Subsidiaries (as measured by expenditures for the fiscal year ending December 31, 2025);</w:t>
      </w:r>
    </w:p>
    <w:p>
      <w:pPr>
        <w:spacing w:after="0" w:line="161" w:lineRule="exact"/>
        <w:rPr>
          <w:rFonts w:ascii="Times New Roman" w:cs="Times New Roman" w:eastAsia="Times New Roman" w:hAnsi="Times New Roman"/>
          <w:sz w:val="18"/>
          <w:szCs w:val="18"/>
          <w:color w:val="auto"/>
        </w:rPr>
      </w:pPr>
    </w:p>
    <w:p>
      <w:pPr>
        <w:ind w:firstLine="2600"/>
        <w:spacing w:after="0" w:line="282" w:lineRule="auto"/>
        <w:tabs>
          <w:tab w:leader="none" w:pos="291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or sublease with respect to the Company Leased Real Property that is material to the conduct of the Company’s and the Company Subsidiaries’ business as currently conducted;</w:t>
      </w:r>
    </w:p>
    <w:p>
      <w:pPr>
        <w:spacing w:after="0" w:line="161" w:lineRule="exact"/>
        <w:rPr>
          <w:rFonts w:ascii="Times New Roman" w:cs="Times New Roman" w:eastAsia="Times New Roman" w:hAnsi="Times New Roman"/>
          <w:sz w:val="18"/>
          <w:szCs w:val="18"/>
          <w:color w:val="auto"/>
        </w:rPr>
      </w:pPr>
    </w:p>
    <w:p>
      <w:pPr>
        <w:jc w:val="both"/>
        <w:ind w:firstLine="2600"/>
        <w:spacing w:after="0" w:line="254" w:lineRule="auto"/>
        <w:tabs>
          <w:tab w:leader="none" w:pos="2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Company Subsidiary assigns or licenses to a third party or otherwise grants the right to use or exploit or covenants not to assert any Intellectual Property that is material to the conduct of the Company’s and the Company Subsidiaries’ business as currently conducted, except (A) non-exclusive licenses granted to employees, consultants, independent contractors, service providers, suppliers and other vendors of the Company or any Company Subsidiary solely to provide services to the Company or any Company Subsidiary, (B) non-exclusive licenses authorizing limited use of brand materials, feedback, or other Intellectual Property (excluding source code for any Software that is Company Owned Intellectual Property (other than as part of software development kits) and trade secrets that are Company Owned Intellectual Property), which licenses are incidental to the primary purpose of the Contract, and which Contracts are entered into in the ordinary course of business, and (C) non-exclusive licenses granted to customers by the Company or any Company Subsidiaries for use of Company Products in the ordinary course of business;</w:t>
      </w:r>
    </w:p>
    <w:p>
      <w:pPr>
        <w:spacing w:after="0" w:line="188" w:lineRule="exact"/>
        <w:rPr>
          <w:rFonts w:ascii="Times New Roman" w:cs="Times New Roman" w:eastAsia="Times New Roman" w:hAnsi="Times New Roman"/>
          <w:sz w:val="18"/>
          <w:szCs w:val="18"/>
          <w:color w:val="auto"/>
        </w:rPr>
      </w:pPr>
    </w:p>
    <w:p>
      <w:pPr>
        <w:jc w:val="both"/>
        <w:ind w:firstLine="2600"/>
        <w:spacing w:after="0" w:line="256" w:lineRule="auto"/>
        <w:tabs>
          <w:tab w:leader="none" w:pos="29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Company Subsidiary licenses from a third party or otherwise is granted the right to use or exploit or is the beneficiary of a covenant not to assert with respect to any Intellectual Property that is material to the conduct of the Company’s and the Company Subsidiaries’ business as currently conducted, except (A) shrink wrap, click through or off-the-shelf software licenses to non-customized third party software that is not incorporated into a Company Product, (B) non-exclusive licenses authorizing limited use of brand materials, feedback, or other Intellectual Property, which licenses are licenses incidental to the primary purpose of the Contract, and (C) licenses of any Open Source Materials;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firstLine="2600"/>
        <w:spacing w:after="0" w:line="282" w:lineRule="auto"/>
        <w:tabs>
          <w:tab w:leader="none" w:pos="29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agreement or similar Contract restricting in any material respect the operations or conduct of the Company or any Company Subsidiary or any of their respective affiliates (including Parent or any Parent Subsidiary after the Effective Time);</w:t>
      </w:r>
    </w:p>
    <w:p>
      <w:pPr>
        <w:spacing w:after="0" w:line="161" w:lineRule="exact"/>
        <w:rPr>
          <w:rFonts w:ascii="Times New Roman" w:cs="Times New Roman" w:eastAsia="Times New Roman" w:hAnsi="Times New Roman"/>
          <w:sz w:val="18"/>
          <w:szCs w:val="18"/>
          <w:color w:val="auto"/>
        </w:rPr>
      </w:pPr>
    </w:p>
    <w:p>
      <w:pPr>
        <w:ind w:left="2940" w:hanging="340"/>
        <w:spacing w:after="0"/>
        <w:tabs>
          <w:tab w:leader="none" w:pos="2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(including any side letter) governing or amending, modifying, supplementing or otherwise relating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Notes or the Secured Notes;</w:t>
      </w:r>
    </w:p>
    <w:p>
      <w:pPr>
        <w:spacing w:after="0" w:line="206" w:lineRule="exact"/>
        <w:rPr>
          <w:rFonts w:ascii="Times New Roman" w:cs="Times New Roman" w:eastAsia="Times New Roman" w:hAnsi="Times New Roman"/>
          <w:sz w:val="18"/>
          <w:szCs w:val="18"/>
          <w:color w:val="auto"/>
        </w:rPr>
      </w:pPr>
    </w:p>
    <w:p>
      <w:pPr>
        <w:jc w:val="both"/>
        <w:ind w:firstLine="2600"/>
        <w:spacing w:after="0" w:line="266" w:lineRule="auto"/>
        <w:tabs>
          <w:tab w:leader="none" w:pos="3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involving derivative financial instruments or arrangements (including swaps, caps, floors, futures, forward contracts and option agreements) for which the aggregate exposure (or aggregate value) to the Company and the Company Subsidiaries is reasonably expected to be in excess of $100,000 or with a notional value in excess of $100,000;</w:t>
      </w:r>
    </w:p>
    <w:p>
      <w:pPr>
        <w:spacing w:after="0" w:line="175" w:lineRule="exact"/>
        <w:rPr>
          <w:rFonts w:ascii="Times New Roman" w:cs="Times New Roman" w:eastAsia="Times New Roman" w:hAnsi="Times New Roman"/>
          <w:sz w:val="18"/>
          <w:szCs w:val="18"/>
          <w:color w:val="auto"/>
        </w:rPr>
      </w:pPr>
    </w:p>
    <w:p>
      <w:pPr>
        <w:jc w:val="both"/>
        <w:ind w:firstLine="2600"/>
        <w:spacing w:after="0" w:line="256" w:lineRule="auto"/>
        <w:tabs>
          <w:tab w:leader="none" w:pos="30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between the Company or any Company Subsidiary, on the one hand, and any officer, director or affiliate (other than a wholly owned Company Subsidiary) of the Company or any Company Subsidiary, any beneficial owner, directly or indirectly, of more than five percent (5%) of the number or voting power of the shares of Company Common Stock or any of their respective “associates” or “immediate family” members (as such terms are defined in Rule 12b-2 and Rule 16a-1 of the Exchange Act), on the other hand, including any Contract pursuant to which the Company or any Company Subsidiary has an obligation to indemnify such officer, director, affiliate, beneficial owner, associate or immediate family member;</w:t>
      </w:r>
    </w:p>
    <w:p>
      <w:pPr>
        <w:spacing w:after="0" w:line="187" w:lineRule="exact"/>
        <w:rPr>
          <w:rFonts w:ascii="Times New Roman" w:cs="Times New Roman" w:eastAsia="Times New Roman" w:hAnsi="Times New Roman"/>
          <w:sz w:val="18"/>
          <w:szCs w:val="18"/>
          <w:color w:val="auto"/>
        </w:rPr>
      </w:pPr>
    </w:p>
    <w:p>
      <w:pPr>
        <w:ind w:firstLine="2600"/>
        <w:spacing w:after="0" w:line="282" w:lineRule="auto"/>
        <w:tabs>
          <w:tab w:leader="none" w:pos="30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contains any exclusivity rights or “most favored nations” provisions or minimum use, supply or display requirements that are binding on the Company or any Company Subsidiary (including Parent or any Parent Subsidiary after the Effective Time);</w:t>
      </w:r>
    </w:p>
    <w:p>
      <w:pPr>
        <w:spacing w:after="0" w:line="161" w:lineRule="exact"/>
        <w:rPr>
          <w:rFonts w:ascii="Times New Roman" w:cs="Times New Roman" w:eastAsia="Times New Roman" w:hAnsi="Times New Roman"/>
          <w:sz w:val="18"/>
          <w:szCs w:val="18"/>
          <w:color w:val="auto"/>
        </w:rPr>
      </w:pPr>
    </w:p>
    <w:p>
      <w:pPr>
        <w:jc w:val="both"/>
        <w:ind w:firstLine="2600"/>
        <w:spacing w:after="0" w:line="256" w:lineRule="auto"/>
        <w:tabs>
          <w:tab w:leader="none" w:pos="301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providing for (A) any severance, termination payment, or advance notice of termination to any employee or individual independent contractor (or any other Person contracted to provide services that is controlled by an individual independent contractor) of the Company or any Company Subsidiary (except for Contracts providing for no greater notice nor greater statutory severance pay than is required by applicable Law and Contracts with individual independent contractors providing for an advance notice period of thirty (30) days or less that can be terminated without material liability to the Company or any Company Subsidiary) or (B) retention payments, change of control payments, accelerated vesting or any other payment or benefit that may or will become due as a result of the Merger or any other transaction contemplated by this Agreement;</w:t>
      </w:r>
    </w:p>
    <w:p>
      <w:pPr>
        <w:spacing w:after="0" w:line="187" w:lineRule="exact"/>
        <w:rPr>
          <w:rFonts w:ascii="Times New Roman" w:cs="Times New Roman" w:eastAsia="Times New Roman" w:hAnsi="Times New Roman"/>
          <w:sz w:val="18"/>
          <w:szCs w:val="18"/>
          <w:color w:val="auto"/>
        </w:rPr>
      </w:pPr>
    </w:p>
    <w:p>
      <w:pPr>
        <w:ind w:firstLine="2600"/>
        <w:spacing w:after="0" w:line="282" w:lineRule="auto"/>
        <w:tabs>
          <w:tab w:leader="none" w:pos="293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between the Company or any Company Subsidiary, on the one hand, and any Governmental Entity or prime contractor or subcontractor of a Governmental Entity, on the other hand;</w:t>
      </w:r>
    </w:p>
    <w:p>
      <w:pPr>
        <w:spacing w:after="0" w:line="161" w:lineRule="exact"/>
        <w:rPr>
          <w:rFonts w:ascii="Times New Roman" w:cs="Times New Roman" w:eastAsia="Times New Roman" w:hAnsi="Times New Roman"/>
          <w:sz w:val="18"/>
          <w:szCs w:val="18"/>
          <w:color w:val="auto"/>
        </w:rPr>
      </w:pPr>
    </w:p>
    <w:p>
      <w:pPr>
        <w:ind w:firstLine="2600"/>
        <w:spacing w:after="0" w:line="282" w:lineRule="auto"/>
        <w:tabs>
          <w:tab w:leader="none" w:pos="29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expressly obligates the Company or any Company Subsidiary to make any capital investment or capital expenditure outside the ordinary course of business and in excess of $250,000; and</w:t>
      </w:r>
    </w:p>
    <w:p>
      <w:pPr>
        <w:spacing w:after="0" w:line="161" w:lineRule="exact"/>
        <w:rPr>
          <w:rFonts w:ascii="Times New Roman" w:cs="Times New Roman" w:eastAsia="Times New Roman" w:hAnsi="Times New Roman"/>
          <w:sz w:val="18"/>
          <w:szCs w:val="18"/>
          <w:color w:val="auto"/>
        </w:rPr>
      </w:pPr>
    </w:p>
    <w:p>
      <w:pPr>
        <w:ind w:left="3040" w:hanging="440"/>
        <w:spacing w:after="0"/>
        <w:tabs>
          <w:tab w:leader="none" w:pos="3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contract” (as such term is defined in Item 601(b)(10) of Regulation S-K of the SEC),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than a Company Benefit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right="20" w:firstLine="1952"/>
        <w:spacing w:after="0" w:line="266" w:lineRule="auto"/>
        <w:tabs>
          <w:tab w:leader="none" w:pos="219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Contract of the type described in this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is referred to herein as a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True and complete copies of each Company Material Contract in effect as of the date hereof has been made available to Parent (including pursuant to agreed-upon procedures to protect competitively sensitive information) or publicly filed with the SEC.</w:t>
      </w:r>
    </w:p>
    <w:p>
      <w:pPr>
        <w:spacing w:after="0" w:line="17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8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(i) each Company Material Contract is a legally valid and enforceable obligation of the Company or the Company Subsidiary party thereto, in accordance with its terms, subject to applicable Enforceability Limitations; (ii) each Company Material Contract is in full force and effect, (iii) none of the Company or any Company Subsidiary is in breach or default under any Company Material Contract to which it is a party or by which it or any of its properties or assets is bound or affected and (iv) neither the Company, any of the Company Subsidiaries nor, to the Knowledge of the Company, any other party to a Company Material Contract has terminated or failed to renew any Company Material Contract or given notice of any termination or intent to not renew thereunder, nor, to the Knowledge of the Company, has the other party to a Company Material Contract stated (orally or in writing) that it does not intend to renew that agreement on terms substantially the same as, or no less favorable in any material respect to the Company and Company Subsidiaries than, the current agreement.</w:t>
      </w:r>
    </w:p>
    <w:p>
      <w:pPr>
        <w:spacing w:after="0" w:line="18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The Company and each Company Subsidiary (a) holds all authorizations, licenses, permits, certificates, variances, exemptions, approvals, orders, registrations and clearances of any Governmental Entity and (b) has filed all tariffs, reports, notices and other documents with any Governmental Entity, in the case of each of the foregoing clauses (a) and (b), that is necessary for the Company and each Company Subsidiary to own, lease and operate its properties and assets, and to carry on and operate its businesses as currently conducted (collectively, the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and (b) is, and since January 1, 2023, has been in compliance with all the terms and conditions of all Company Permits, except where the failure to comply with, to have, or the suspension or cancellation of, or failure to be valid or in full force and effect of, any of the Company Permits has not had and would not reasonably be expected to have, individually or in the aggregate, a Company Material Adverse Effect.</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hereof, there are no Proceedings pending, or to the Knowledge of the Company, threatened against the Company or any of the Company Subsidiaries or any of their respective assets or properties or any of the officers or directors of the Company, nor have there been any such Proceedings within the past three (3) years, except, in each case, for those that have not had and would not reasonably be expected to have, individually or in the aggregate, a Company Material Adverse Effect or that challenges the validity or propriety of the transactions contemplated hereby. Neither the Company nor any of the Company Subsidiaries is subject to any Order that has or would reasonably be expected to have, individually or in the aggregate, a Company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has not had or would not reasonably be expected to have, individually or in the aggregate, a Company Material Adverse Effect (a) each of the Company and the Company Subsidiaries is, and since January 1, 2023, has been, in compliance with all Environmental Laws and each has all Environmental Permits necessary for the conduct and operation of their respective businesses as now being conducted, and all such Environmental Permits are in good standing; (b) none of the Company or any Company Subsidiary has received any written notice, demand, letter or claim alleging that the Company or any Company Subsidiary is in violation of, or liable under, any Environmental Law, in each case, that remains pending or unresolved; (c) there has been no Release of or exposure of any Person to any Hazardous Substance by the Company, any Company Subsidiary, or, to the Knowledge of the Company, any other Person that has given rise or would reasonably be expected to give rise to any liability of the Company or any Company Subsidiary under Environmental Law, including at, in, on, under or from any Company Leased Real Property or, to the Knowledge of the Company, at, in, on, under or from any real property formerly owned, leased or operated by the Company or any Company Subsidiary;</w:t>
      </w:r>
    </w:p>
    <w:p>
      <w:pPr>
        <w:spacing w:after="0" w:line="6" w:lineRule="exact"/>
        <w:rPr>
          <w:sz w:val="20"/>
          <w:szCs w:val="20"/>
          <w:color w:val="auto"/>
        </w:rPr>
      </w:pPr>
    </w:p>
    <w:p>
      <w:pPr>
        <w:jc w:val="both"/>
        <w:ind w:firstLine="8"/>
        <w:spacing w:after="0" w:line="252" w:lineRule="auto"/>
        <w:tabs>
          <w:tab w:leader="none" w:pos="26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Company Subsidiary has entered into or agreed to any consent decree or order, or is subject to any judgment, decree or judicial order, relating to compliance with Environmental Laws, Environmental Permits or the investigation, sampling, monitoring, treatment, remediation, removal or cleanup of Hazardous Substances and no investigation, litigation or other proceeding is pending or, to the Knowledge of the Company, threatened with respect thereto; (e) none of the Company or any Company Subsidiary has assumed by Contract or by operation of Law any liabilities or obligations of any other Person under Environmental Law; and (f) the Company has made available to Parent copies of all reports, audits, assessments, and other similar material documents in the possession of the Company or any Company Subsidiary with respect to the environmental condition of the Company Leased Real Property or the Company’s or any Company Subsidiary’s compliance with Environmental Law.</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4" w:lineRule="auto"/>
        <w:tabs>
          <w:tab w:leader="none" w:pos="220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 xml:space="preserve"> of the Company Disclosure Schedule sets forth a complete list of all (i) issued patents and pending patent applications, (ii) trademark and service mark registrations and applications, (iii) copyright registrations, (iv) design registrations and applications, and (v) internet domain name registrations, in each case that are owned or purported to be owned by the Company or any of the Company Subsidiaries (collectively, the “</w:t>
      </w: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Except as would not reasonably be expected to have, individually or in the aggregate, a Company Material Adverse Effect, (A) each item of Company Registered Intellectual Property is subsisting, valid and enforceable, and (B) no Proceeding is pending or, to the Knowledge of the Company, is threatened, that challenges the validity, enforceability, registration, use, ownership or scope of any Company Registered Intellectual Property (other than office actions in connection with applications for the registration or issuance of any Company Registered Intellectual Property). Each item of material Company Registered Intellectual Property (x) has not been abandoned or cancelled, (y) has been maintained effective by all requisite filings, renewals and payments, and (z) remains in full force and effect.</w:t>
      </w:r>
    </w:p>
    <w:p>
      <w:pPr>
        <w:spacing w:after="0" w:line="188"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item of Company Owned Intellectual Property is owned exclusively by the Company or a Company Subsidiary, free and clear of all Liens (other than Permitted Liens), (ii) none of the execution, delivery or performance of this Agreement by the Company, the consummation by the Company of the Merger or any other transaction contemplated by this Agreement will (with or without notice or lapse of time, or both) result in the loss, forfeiture, termination, or impairment of, or give rise to a right of any Person to limit, terminate, or consent to the continued use of, any rights of the Company or any of Company Subsidiaries in any Company Owned Intellectual Property or any other Intellectual Property that is used or held for use in the conduct of the business of the Company and the Company Subsidiaries as currently conducted that is licensed by the Company or any Company Subsidiaries pursuant to a Company Material Contract, and (iii) the Company owns and possesses all right, title and interest in and to (or has the right pursuant to a valid and enforceable license or otherwise possesses legally enforceable rights to use) all Intellectual Property that is used or held for use in the conduct of the business of the Company and the Company Subsidiaries as currently conducted.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952"/>
        <w:spacing w:after="0" w:line="253" w:lineRule="auto"/>
        <w:tabs>
          <w:tab w:leader="none" w:pos="218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neither the Company nor any of the Company Subsidiaries is infringing, misappropriating, diluting, or otherwise violating the Intellectual Property rights of any Person. Except as would not reasonably be expected to have, individually or in the aggregate, a Company Material Adverse Effect, neither the Company nor any of the Company Subsidiaries has received any written (or, to the Knowledge of the Company, oral) charge, complaint, claim, demand, or notice since January 1, 2023 (or earlier, if presently not resolved) alleging that the Company or any Company Subsidiary has infringed, misappropriated, diluted or otherwise violated the Intellectual Property rights of any Person. Except as would not reasonably be expected to have, individually or in the aggregate, a Company Material Adverse Effect, (i) to the Knowledge of the Company, no Person is infringing, misappropriating, diluting or otherwise violating any Company Owned Intellectual Property, and (ii) neither the Company nor any of the Company Subsidiaries has made or asserted any written charge, complaint, claim, demand or notice since January 1, 2023 (or earlier, if presently not resolved) alleging any such infringement, misappropriation, dilution, or violation.</w:t>
      </w:r>
    </w:p>
    <w:p>
      <w:pPr>
        <w:spacing w:after="0" w:line="194"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has maintained all Trade Secrets included in the Company Owned Intellectual Property in confidence in accordance with procedures customarily used in the industry to protect rights of like importance and, to the Knowledge of the Company, there have been no unauthorized use or disclosure of any such Trade Secrets.</w:t>
      </w:r>
    </w:p>
    <w:p>
      <w:pPr>
        <w:spacing w:after="0" w:line="179"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2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former and current officers, directors, employees, personnel, consultants, advisors, agents, and independent contractors of the Company and the Company Subsidiaries, and each of their predecessors, who have contributed to or participated in the conception and development of Intellectual Property for such entities have entered into valid and binding proprietary rights agreements with the Company or one of the Company Subsidiaries or predecessors, vesting ownership of such Intellectual Property in the Company of a Company Subsidiary, and (ii) no such Person has asserted, and no such Person has, any right, title, interest or other claim in, or the right to receive any royalties or other consideration with respect to, any Company Owned Intellectual Property.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1952"/>
        <w:spacing w:after="0" w:line="261" w:lineRule="auto"/>
        <w:tabs>
          <w:tab w:leader="none" w:pos="219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received any support, funding, resources or assistance from any Governmental Entities, academic institutions, or research centers in the development of any Company Product, Software, technology or Intellectual Property that resulted in, or will result in, such third parties being granted any rights or licenses to, or ownership interest in, any Company Owned Intellectual Property that is material to the business of the Company or the Company Subsidiaries.</w:t>
      </w:r>
    </w:p>
    <w:p>
      <w:pPr>
        <w:spacing w:after="0" w:line="179" w:lineRule="exact"/>
        <w:rPr>
          <w:rFonts w:ascii="Times New Roman" w:cs="Times New Roman" w:eastAsia="Times New Roman" w:hAnsi="Times New Roman"/>
          <w:sz w:val="18"/>
          <w:szCs w:val="18"/>
          <w:color w:val="auto"/>
        </w:rPr>
      </w:pPr>
    </w:p>
    <w:p>
      <w:pPr>
        <w:jc w:val="both"/>
        <w:ind w:firstLine="1952"/>
        <w:spacing w:after="0" w:line="257" w:lineRule="auto"/>
        <w:tabs>
          <w:tab w:leader="none" w:pos="219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no Open Source Material is used or compiled together with, or is otherwise linked or distributed with or incorporated into, any Software included in the Company Owned Intellectual Property in a manner that would require any portion of such Software (except the unmodified Open Source Material) be</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2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or distributed in source code form, (ii) licensed for the purpose of making derivative works, or (iii) redistributable at no charge or minimal charge, or that otherwise grants to any other Person any right, immunity or license to any Company Owned Intellectual Property.</w:t>
      </w:r>
    </w:p>
    <w:p>
      <w:pPr>
        <w:spacing w:after="0" w:line="18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have delivered, licensed or made available, or are under a duty or obligation (whether present, contingent, or otherwise) to deliver, license or make available, the source code for any Software that is Company Owned Intellectual Property to any escrow agent or other Person who is not an employee or consultant acting on behalf of the Company or any of the Company Subsidiaries (other than as part of software development kits).</w:t>
      </w:r>
    </w:p>
    <w:p>
      <w:pPr>
        <w:spacing w:after="0" w:line="17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5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no Company Product contains “back door,” “drop dead device,” “time bomb,” “Trojan horse,” “virus,” “worm,” “spyware” or “adware” (as such terms are commonly understood in the software industry) or any other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w:t>
      </w:r>
    </w:p>
    <w:p>
      <w:pPr>
        <w:spacing w:after="0" w:line="187"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7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computers, servers, workstations, routers, hubs, switches, circuits, and all other information technology assets and equipment owned, leased, or licensed by the Company or any of the Company Subsidiaries and used by them in the conduct of their businesses (“</w:t>
      </w:r>
      <w:r>
        <w:rPr>
          <w:rFonts w:ascii="Times New Roman" w:cs="Times New Roman" w:eastAsia="Times New Roman" w:hAnsi="Times New Roman"/>
          <w:sz w:val="18"/>
          <w:szCs w:val="18"/>
          <w:u w:val="single" w:color="auto"/>
          <w:color w:val="auto"/>
        </w:rPr>
        <w:t>Company IT Assets</w:t>
      </w:r>
      <w:r>
        <w:rPr>
          <w:rFonts w:ascii="Times New Roman" w:cs="Times New Roman" w:eastAsia="Times New Roman" w:hAnsi="Times New Roman"/>
          <w:sz w:val="18"/>
          <w:szCs w:val="18"/>
          <w:color w:val="auto"/>
        </w:rPr>
        <w:t>”) operate and perform as required by the Company and the Company Subsidiaries for the conduct of their businesses as currently conducted, and have not malfunctioned or failed since January 1, 2023.</w:t>
      </w:r>
    </w:p>
    <w:p>
      <w:pPr>
        <w:spacing w:after="0" w:line="183"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9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and the Company Subsidiaries have (i) obtained all licenses and consents, provided all notices and disclosures, and taken all other steps, in each case to the extent required by applicable laws in order to collect and use all Training Data and AI Inputs used, or held for use, in connection with the conduct of the Company’s or any Company Subsidiaries’ business (including as needed to use Training Data to develop, train, refine, fine tune, test or</w:t>
      </w:r>
    </w:p>
    <w:p>
      <w:pPr>
        <w:spacing w:after="0" w:line="2"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Company’s and Company Subsidiaries’ AI Technologies), and (ii) complied with all use restrictions and other requirements set forth in any Company Material Contract (including any website terms of use or terms of service) governing the collection and use of such Training Data and AI Inputs, including the collection of Scraped Dataset.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1952"/>
        <w:spacing w:after="0" w:line="254" w:lineRule="auto"/>
        <w:tabs>
          <w:tab w:leader="none" w:pos="21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Company Subsidiaries have implemented commercially reasonable processes and policies (i) relating to the ethical or responsible use of AI Technologies at and by Company and Company Subsidiaries and (ii) designed to ensure that the Company AI Products can be reproduced, retrained, debugged and modified in a manner consistent with industry standard procedures. Except as would not reasonably be expected to have, individually or in the aggregate, a Company Material Adverse Effect, to the Knowledge of the Company, there has been no (i) actual or alleged non-compliance with any such policies or claims or allegations challenging the Company’s ethical use of AI Technologies; (ii) no complaint, claim, proceeding, litigation or governmental inquiry or investigation alleging that, or questioning whether, Training Data used in the development, training, fine tuning, improvement or testing of any Company Product was biased, untrustworthy or manipulated in an unethical or unscientific way, and no report, finding or impact assessment of any internal or external auditor or other third party that makes any such allegation; or (iii) no written request for information or testimony from regulators or legislators concerning any Company Product or related AI Technologies.</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Data Privacy and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5" w:lineRule="auto"/>
        <w:tabs>
          <w:tab w:leader="none" w:pos="218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and each of the Company Subsidiaries complies, and to the Knowledge of the Company, all affiliates and/or third parties with respect to the Processing of Personal Information on behalf of, and/or sharing Personal Information with, the Company or any Company Subsidiary (collectively,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Partners</w:t>
      </w:r>
      <w:r>
        <w:rPr>
          <w:rFonts w:ascii="Times New Roman" w:cs="Times New Roman" w:eastAsia="Times New Roman" w:hAnsi="Times New Roman"/>
          <w:sz w:val="18"/>
          <w:szCs w:val="18"/>
          <w:color w:val="auto"/>
        </w:rPr>
        <w:t>”), has for the past three (3) years complied with (i) policies and/or notices relating to privacy, security, or the Processing of Personal Information,</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9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commitments related to privacy, security, or the Processing of Personal Information, and (iii) Privacy and Security Laws (collectively, “</w:t>
      </w:r>
      <w:r>
        <w:rPr>
          <w:rFonts w:ascii="Times New Roman" w:cs="Times New Roman" w:eastAsia="Times New Roman" w:hAnsi="Times New Roman"/>
          <w:sz w:val="18"/>
          <w:szCs w:val="18"/>
          <w:u w:val="single" w:color="auto"/>
          <w:color w:val="auto"/>
        </w:rPr>
        <w:t>Privacy Requirements</w:t>
      </w:r>
      <w:r>
        <w:rPr>
          <w:rFonts w:ascii="Times New Roman" w:cs="Times New Roman" w:eastAsia="Times New Roman" w:hAnsi="Times New Roman"/>
          <w:sz w:val="18"/>
          <w:szCs w:val="18"/>
          <w:color w:val="auto"/>
        </w:rPr>
        <w:t>”). Except as would not reasonably be expected to have, individually or in the aggregate, a Company Material Adverse Effect, the Company and its Subsidiaries have at all times provided all required notices, and obtained all necessary consents, to Process Personal Information by or for the Company or any of its Subsidiaries.</w:t>
      </w:r>
    </w:p>
    <w:p>
      <w:pPr>
        <w:spacing w:after="0" w:line="188"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2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the Company and each of the Company Subsidiaries have at all times implemented, maintained and complied with commercially reasonable technical, physical, and organizational measures, including a written information security program, that complies with Privacy Requirements and is designed to protect Personal Information and other confidential information in their possession or under their control against Security Incidents, and required all Data Partners to at all times implement, maintain and comply with, commercially reasonable technical, physical, and organizational measures. The Company and the Company Subsidiaries regularly test their written information security program by conducting security audits, penetration tests, and/or vulnerability scans, and, except as would not reasonably be expected to be material to the Company and its Subsidiaries, taken as a whole, the Company nor any Company Subsidiary has identified any high or critical vulnerabilities that have not been fully remediated. To the Knowledge of the Company, neither the Company nor any Company Subsidiary, nor any Data Partner with respect to its Processing of Personal Information on behalf of the Company or any Company Subsidiary, has experienced any material Security Incidents.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1952"/>
        <w:spacing w:after="0" w:line="253" w:lineRule="auto"/>
        <w:tabs>
          <w:tab w:leader="none" w:pos="218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has developed, used and deployed the Company AI Products in compliance with all Privacy Requirements. Except as would not reasonably be expected to have, individually or in the aggregate, a Company Material Adverse Effect, the Company has obtained all consents, provided all notices, and taken all other steps required by the Privacy Requirements to collect, use, or otherwise Process any AI Input in connection with the Company AI Products, including to train, validate, test, or improve such Company AI Products. No Personal Information was or is used to train, validate, test, or improve the Company AI Products. The Company has not included and does not include any Personal Information in any AI Input, except in cases where such AI Input is not used to train, validate, test, or improve the Company AI Products or any third-party AI Technologies. The Company has implemented processes to ensure that (i) no AI Input or AI Output contains any Personal Information, and (ii) no Company AI Product is used by the Company in furtherance of a decision that produces a legal or similarly significant effect concerning individuals, or for the purpose of “automated decision-making” or “profiling” of individuals, as such terms are defined under Privacy Requirements or other applicable Laws.</w:t>
      </w:r>
    </w:p>
    <w:p>
      <w:pPr>
        <w:spacing w:after="0" w:line="194"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in relation to any Security Incident and/or actual, alleged, or potential violation of a Privacy Requirement, neither the Company nor any Company Subsidiary has (i) notified or been required to notify any Person, or (ii) received any notice, claim, or complaint from any Person, or been the subject of any investigation or enforcement action by any Person.</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8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and the Merger does not and will not materially conflict with or result in a material violation or breach of any Privacy Requirements or require the consent of or provision of notice to any Person concerning such Person’s Personal Information.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Except as has not had and would not reasonably be expected to have, individually or in the aggregate, a Company Material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Effect:</w:t>
      </w:r>
    </w:p>
    <w:p>
      <w:pPr>
        <w:spacing w:after="0" w:line="207" w:lineRule="exact"/>
        <w:rPr>
          <w:sz w:val="20"/>
          <w:szCs w:val="20"/>
          <w:color w:val="auto"/>
        </w:rPr>
      </w:pPr>
    </w:p>
    <w:p>
      <w:pPr>
        <w:jc w:val="both"/>
        <w:ind w:firstLine="2600"/>
        <w:spacing w:after="0" w:line="266" w:lineRule="auto"/>
        <w:tabs>
          <w:tab w:leader="none" w:pos="280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required to be filed by the Company and the Company Subsidiaries have been timely filed (taking into account any extension of time within which to file) with the appropriate Governmental Entity and all such Tax Returns are true, correct and complete in all respects;</w:t>
      </w:r>
    </w:p>
    <w:p>
      <w:pPr>
        <w:spacing w:after="0" w:line="175" w:lineRule="exact"/>
        <w:rPr>
          <w:rFonts w:ascii="Times New Roman" w:cs="Times New Roman" w:eastAsia="Times New Roman" w:hAnsi="Times New Roman"/>
          <w:sz w:val="18"/>
          <w:szCs w:val="18"/>
          <w:color w:val="auto"/>
        </w:rPr>
      </w:pPr>
    </w:p>
    <w:p>
      <w:pPr>
        <w:ind w:right="20" w:firstLine="2600"/>
        <w:spacing w:after="0" w:line="282" w:lineRule="auto"/>
        <w:tabs>
          <w:tab w:leader="none" w:pos="28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payable by the Company and the Company Subsidiaries (whether or not shown to be due and payable on any Tax Return) have been fully and timely paid to the appropriate Governmental Entity;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2600"/>
        <w:spacing w:after="0" w:line="258" w:lineRule="auto"/>
        <w:tabs>
          <w:tab w:leader="none" w:pos="29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Company and the Company Subsidiaries did not, as of the date of the most recent Company Financial Statements, exceed the reserve for Tax liability (excluding any reserve for deferred Taxes established to reflect timing differences between book and Tax income) set forth on the face of the balance sheets included in such Company Financial Statements (rather than in any notes thereto). Since the date of the most recent Company Financial Statements, the Company and the Company Subsidiaries have not incurred any liability for Taxes outside the ordinary course of business or otherwise inconsistent with past custom and practice;</w:t>
      </w:r>
    </w:p>
    <w:p>
      <w:pPr>
        <w:spacing w:after="0" w:line="183" w:lineRule="exact"/>
        <w:rPr>
          <w:rFonts w:ascii="Times New Roman" w:cs="Times New Roman" w:eastAsia="Times New Roman" w:hAnsi="Times New Roman"/>
          <w:sz w:val="18"/>
          <w:szCs w:val="18"/>
          <w:color w:val="auto"/>
        </w:rPr>
      </w:pPr>
    </w:p>
    <w:p>
      <w:pPr>
        <w:jc w:val="both"/>
        <w:ind w:firstLine="2600"/>
        <w:spacing w:after="0" w:line="258" w:lineRule="auto"/>
        <w:tabs>
          <w:tab w:leader="none" w:pos="290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(i) timely paid, deducted, withheld and collected all amounts in respect of Taxes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and (ii) otherwise complied with all withholding Tax requirements imposed on or with respect to the Company and the Company Subsidiaries;</w:t>
      </w:r>
    </w:p>
    <w:p>
      <w:pPr>
        <w:spacing w:after="0" w:line="183"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agreements, consents, extensions or waivers have been entered into, given or requested with respect to the assessment or payment of any Taxes or the filing of Tax Returns of the Company or any Company Subsidiary (other than extension of time to file Tax Returns obtained in the ordinary course of business consistent with past practice for the filing of Tax Returns);</w:t>
      </w:r>
    </w:p>
    <w:p>
      <w:pPr>
        <w:spacing w:after="0" w:line="175" w:lineRule="exact"/>
        <w:rPr>
          <w:rFonts w:ascii="Times New Roman" w:cs="Times New Roman" w:eastAsia="Times New Roman" w:hAnsi="Times New Roman"/>
          <w:sz w:val="18"/>
          <w:szCs w:val="18"/>
          <w:color w:val="auto"/>
        </w:rPr>
      </w:pPr>
    </w:p>
    <w:p>
      <w:pPr>
        <w:jc w:val="both"/>
        <w:ind w:firstLine="2600"/>
        <w:spacing w:after="0" w:line="261" w:lineRule="auto"/>
        <w:tabs>
          <w:tab w:leader="none" w:pos="290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assessment, adjustment or deficiency for any amount of Taxes has been asserted or threatened in writing by any Governmental Entity against the Company or any Company Subsidiary, except for claims, assessments, adjustments or deficiencies being contested in good faith by appropriate Proceedings for which adequate reserves have been established in accordance with GAAP on the financial statements of the Company and the Company Subsidiaries;</w:t>
      </w:r>
    </w:p>
    <w:p>
      <w:pPr>
        <w:spacing w:after="0" w:line="179" w:lineRule="exact"/>
        <w:rPr>
          <w:rFonts w:ascii="Times New Roman" w:cs="Times New Roman" w:eastAsia="Times New Roman" w:hAnsi="Times New Roman"/>
          <w:sz w:val="18"/>
          <w:szCs w:val="18"/>
          <w:color w:val="auto"/>
        </w:rPr>
      </w:pPr>
    </w:p>
    <w:p>
      <w:pPr>
        <w:ind w:right="20" w:firstLine="2600"/>
        <w:spacing w:after="0" w:line="312" w:lineRule="auto"/>
        <w:tabs>
          <w:tab w:leader="none" w:pos="294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disputes, audits, examinations, investigations or other Proceedings in progress, or to the Knowledge of the Company, pending or threatened, by any Governmental Entity with respect to any Taxes or Tax Returns of the Company or any Company Subsidiary;</w:t>
      </w:r>
    </w:p>
    <w:p>
      <w:pPr>
        <w:spacing w:after="0" w:line="139" w:lineRule="exact"/>
        <w:rPr>
          <w:rFonts w:ascii="Times New Roman" w:cs="Times New Roman" w:eastAsia="Times New Roman" w:hAnsi="Times New Roman"/>
          <w:sz w:val="17"/>
          <w:szCs w:val="17"/>
          <w:color w:val="auto"/>
        </w:rPr>
      </w:pPr>
    </w:p>
    <w:p>
      <w:pPr>
        <w:jc w:val="both"/>
        <w:ind w:firstLine="2600"/>
        <w:spacing w:after="0" w:line="266" w:lineRule="auto"/>
        <w:tabs>
          <w:tab w:leader="none" w:pos="299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six years, no Governmental Entity has made an assertion in writing to the Company or any Company Subsidiary in a jurisdiction where the Company or any Company Subsidiary does not currently file a Tax Return that the Company and/or Company Subsidiary is, was or may be subject to any Tax, or required to file Tax Returns, in such jurisdiction;</w:t>
      </w:r>
    </w:p>
    <w:p>
      <w:pPr>
        <w:spacing w:after="0" w:line="175" w:lineRule="exact"/>
        <w:rPr>
          <w:rFonts w:ascii="Times New Roman" w:cs="Times New Roman" w:eastAsia="Times New Roman" w:hAnsi="Times New Roman"/>
          <w:sz w:val="18"/>
          <w:szCs w:val="18"/>
          <w:color w:val="auto"/>
        </w:rPr>
      </w:pPr>
    </w:p>
    <w:p>
      <w:pPr>
        <w:jc w:val="both"/>
        <w:ind w:firstLine="2600"/>
        <w:spacing w:after="0" w:line="258" w:lineRule="auto"/>
        <w:tabs>
          <w:tab w:leader="none" w:pos="289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(A) is a party to any Tax-allocation, Tax-sharing, Tax-indemnity or similar agreement (not including, for the avoidance of doubt (I) an agreement or arrangement solely between or among the Company and/or any of the Company Subsidiaries or (II) any customary commercial Contract not primarily related to Taxes and entered into in the ordinary course of business) or (B) has requested or is subject to any IRS private letter ruling or closing agreement (within the meaning of Section 7121(a) of the Code or any similar or analogous provision of state, local or non-U.S. Tax Law) or any comparable ruling from or agreement with any other Governmental Entity;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2600"/>
        <w:spacing w:after="0" w:line="258" w:lineRule="auto"/>
        <w:tabs>
          <w:tab w:leader="none" w:pos="28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(A) has been a member of an affiliated group of corporations within the meaning of Section 1504 of the Code (other than a group the common parent of which is or was the Company) or (B) has any liability for Taxes of any Person (other than the Company or the Company Subsidiaries) under Treasury Regulations Section 1.1502-6 (or any similar provision of state, local or non-U.S. Tax Law), as a transferee or successor, by Contract (other than any customary commercial Contract not primarily related to Taxes and entered into the ordinary course of business), or otherwise by operation of Law;</w:t>
      </w:r>
    </w:p>
    <w:p>
      <w:pPr>
        <w:spacing w:after="0" w:line="183" w:lineRule="exact"/>
        <w:rPr>
          <w:rFonts w:ascii="Times New Roman" w:cs="Times New Roman" w:eastAsia="Times New Roman" w:hAnsi="Times New Roman"/>
          <w:sz w:val="18"/>
          <w:szCs w:val="18"/>
          <w:color w:val="auto"/>
        </w:rPr>
      </w:pPr>
    </w:p>
    <w:p>
      <w:pPr>
        <w:ind w:left="2900" w:hanging="300"/>
        <w:spacing w:after="0"/>
        <w:tabs>
          <w:tab w:leader="none" w:pos="29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upon any property or assets of the Company or the Company Subsidiaries, other than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06" w:lineRule="exact"/>
        <w:rPr>
          <w:rFonts w:ascii="Times New Roman" w:cs="Times New Roman" w:eastAsia="Times New Roman" w:hAnsi="Times New Roman"/>
          <w:sz w:val="18"/>
          <w:szCs w:val="18"/>
          <w:color w:val="auto"/>
        </w:rPr>
      </w:pPr>
    </w:p>
    <w:p>
      <w:pPr>
        <w:ind w:firstLine="2600"/>
        <w:spacing w:after="0" w:line="282" w:lineRule="auto"/>
        <w:tabs>
          <w:tab w:leader="none" w:pos="294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participated in any “listed transaction” within the meaning of Treasury Regulations Section 1.6011-4(b)(2) (or under a similar provision of state, local, or non-U.S. Tax Law);</w:t>
      </w:r>
    </w:p>
    <w:p>
      <w:pPr>
        <w:spacing w:after="0" w:line="161" w:lineRule="exact"/>
        <w:rPr>
          <w:rFonts w:ascii="Times New Roman" w:cs="Times New Roman" w:eastAsia="Times New Roman" w:hAnsi="Times New Roman"/>
          <w:sz w:val="18"/>
          <w:szCs w:val="18"/>
          <w:color w:val="auto"/>
        </w:rPr>
      </w:pPr>
    </w:p>
    <w:p>
      <w:pPr>
        <w:jc w:val="both"/>
        <w:ind w:firstLine="2600"/>
        <w:spacing w:after="0" w:line="258" w:lineRule="auto"/>
        <w:tabs>
          <w:tab w:leader="none" w:pos="299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 will be required to include a material item of income in, or exclude a material item of deduction from, taxable income for any taxable period (or portion thereof) beginning after the Closing Date as a result of (A) a change in method of accounting, or use of an improper method of accounting, in each case, occurring prior to the Closing Date, (B) any installment sale or other transaction on or prior to the Closing Date, or (C) a prepaid amount received (or deferred revenue recognized) or paid, prior to the Closing Date or (ii) has made an election pursuant to Section 965(h) of the Code;</w:t>
      </w:r>
    </w:p>
    <w:p>
      <w:pPr>
        <w:spacing w:after="0" w:line="183" w:lineRule="exact"/>
        <w:rPr>
          <w:rFonts w:ascii="Times New Roman" w:cs="Times New Roman" w:eastAsia="Times New Roman" w:hAnsi="Times New Roman"/>
          <w:sz w:val="18"/>
          <w:szCs w:val="18"/>
          <w:color w:val="auto"/>
        </w:rPr>
      </w:pPr>
    </w:p>
    <w:p>
      <w:pPr>
        <w:jc w:val="both"/>
        <w:ind w:firstLine="2600"/>
        <w:spacing w:after="0" w:line="255" w:lineRule="auto"/>
        <w:tabs>
          <w:tab w:leader="none" w:pos="298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 has been a United States real property holding corporation within the meaning of Section 897(c)(2) of the Code during the applicable period specified in Section 897(c)(1)(A)(ii) of the Code; (ii) has been a stockholder of a “controlled foreign corporation” as defined in Section 957 of the Code (or any similar provision of state, local or non-U.S. Tax Law); (iii) has been a “personal holding company” as defined in Section 542 of the Code (or any similar provision of state, local or non-U.S. Tax Law); (iv) has been a stockholder of a “passive foreign investment company” within the meaning of Section 1297 of the Code; or (v) has engaged in a trade or business, had a permanent establishment (within the meaning of an applicable Tax treaty) or otherwise become subject to Tax jurisdiction in a country other than the country of its formation;</w:t>
      </w:r>
    </w:p>
    <w:p>
      <w:pPr>
        <w:spacing w:after="0" w:line="188" w:lineRule="exact"/>
        <w:rPr>
          <w:rFonts w:ascii="Times New Roman" w:cs="Times New Roman" w:eastAsia="Times New Roman" w:hAnsi="Times New Roman"/>
          <w:sz w:val="18"/>
          <w:szCs w:val="18"/>
          <w:color w:val="auto"/>
        </w:rPr>
      </w:pPr>
    </w:p>
    <w:p>
      <w:pPr>
        <w:jc w:val="both"/>
        <w:ind w:firstLine="2600"/>
        <w:spacing w:after="0" w:line="261" w:lineRule="auto"/>
        <w:tabs>
          <w:tab w:leader="none" w:pos="293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treated the 2026 Notes, the First Lien Notes and the Second Lien Notes as debt for U.S. federal income tax and financial accounting purposes and, except to the extent otherwise required by a change in applicable Law or GAAP after the date hereof, will continue to treat the 2026 Notes, the First Lien Notes and the Second Lien Notes as debt for U.S. federal income tax and financial accounting purposes at all times through and immediately after the Effective Time; and</w:t>
      </w:r>
    </w:p>
    <w:p>
      <w:pPr>
        <w:spacing w:after="0" w:line="179" w:lineRule="exact"/>
        <w:rPr>
          <w:rFonts w:ascii="Times New Roman" w:cs="Times New Roman" w:eastAsia="Times New Roman" w:hAnsi="Times New Roman"/>
          <w:sz w:val="18"/>
          <w:szCs w:val="18"/>
          <w:color w:val="auto"/>
        </w:rPr>
      </w:pPr>
    </w:p>
    <w:p>
      <w:pPr>
        <w:jc w:val="both"/>
        <w:ind w:firstLine="2600"/>
        <w:spacing w:after="0" w:line="266" w:lineRule="auto"/>
        <w:tabs>
          <w:tab w:leader="none" w:pos="302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constituted either a “distributing corporation” or a “controlled corporation” (within the meaning of Section 355(a)(1)(A) of the Code) in a distribution of stock intended to qualify for tax-free treatment under Section 355 of the Code (or any similar provision of state, local, or non-U.S. Tax Law) in the two years prior to the date hereof.</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neither the Company nor any Company Subsidiary makes any representation or warranty as to the amount, limitation on, existence or availability of any net operating loss carryforward, capital loss carryforward, Tax credit carryforward or other Tax attribute of the Company or any Company Subsidiary with respect to any taxable period (or portion thereof) beginning after the Closing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1300"/>
        <w:spacing w:after="0"/>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Real Property; Title to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952"/>
        <w:spacing w:after="0" w:line="282" w:lineRule="auto"/>
        <w:tabs>
          <w:tab w:leader="none" w:pos="218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owns, or has ever (or, in the case of each Company Subsidiary, for so long as such Person has been a Subsidiary of the Company) owned, any real property.</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1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3.18(b)</w:t>
      </w:r>
      <w:r>
        <w:rPr>
          <w:rFonts w:ascii="Times New Roman" w:cs="Times New Roman" w:eastAsia="Times New Roman" w:hAnsi="Times New Roman"/>
          <w:sz w:val="18"/>
          <w:szCs w:val="18"/>
          <w:color w:val="auto"/>
        </w:rPr>
        <w:t xml:space="preserve"> of the Company Disclosure Schedule sets forth (i) a true and complete list of all material real property leased, subleased or otherwise occupied by the Company or any of the Company Subsidiaries (collectively,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(ii) the address for such Company Leased Real Property, and (iii) a description of the applicable lease, sublease or other agreement therefore and any and all amendments and modifications relating thereto (collectively, the “</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8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neither the Company nor any of the Company Subsidiaries has received written notice of any Proceedings in eminent domain, condemnation or other similar Proceedings that are pending, and to the Knowledge of the Company there are no such Proceedings threatened, affecting any portion of the Company Leased Real Property.</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 Company Subsidiary has good and marketable title to, or a valid and binding leasehold or other interest in, all tangible personal property necessary for the conduct of the business of the Company and the Company Subsidiaries, taken as a whole, as currently conducted, free and clear of all Liens (except for Permitted Liens); except as has not had and would not reasonably be expected to have, individually or in the aggregate, a Company Material Adverse Effect.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952"/>
        <w:spacing w:after="0" w:line="282" w:lineRule="auto"/>
        <w:tabs>
          <w:tab w:leader="none" w:pos="220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each Company Subsidiary, and each Company Representative is and, since January 1, 2021, has been in compliance with the Anti-Corruption Laws.</w:t>
      </w:r>
    </w:p>
    <w:p>
      <w:pPr>
        <w:spacing w:after="0" w:line="16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nor any of their respective officers, managers, directors, employees, nor, to the Knowledge of the Company, any of their agents, representatives, or other Persons acting for or on behalf of the Company or any Company Subsidiary have made any corrupt payment or corruptly given, offered, paid, promised, authorized, solicited, or received, or agreed to give or receive, any money or thing of value, directly or indirectly, to or from any Person, including any Government Official, in each case in violation of applicable Anti-Corruption Laws.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1952"/>
        <w:spacing w:after="0" w:line="255" w:lineRule="auto"/>
        <w:tabs>
          <w:tab w:leader="none" w:pos="218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nor any Company Representative acting for or on behalf of the Company or any Company Subsidiary has made any voluntary or involuntary disclosure to any Governmental Entity under the Anti-Corruption Laws, and there have been no actual, suspected, or threatened written or, to the Knowledge of the Company, oral allegations, inquiries, investigations (internal or governmental), enforcement actions by any Governmental Entity, or whistleblower reports regarding compliance by the Company, any Company Subsidiary, or any Company Representative with Anti-Corruption Laws, and no Governmental Entity has assessed any fine or penalty against the Company, any Company Subsidiary, or any Company Representative, or issued any warning letter to the Company, any Company Subsidiary, or any Company Representative, with regard to compliance with Anti-Corruption Laws.</w:t>
      </w:r>
    </w:p>
    <w:p>
      <w:pPr>
        <w:spacing w:after="0" w:line="188" w:lineRule="exact"/>
        <w:rPr>
          <w:rFonts w:ascii="Times New Roman" w:cs="Times New Roman" w:eastAsia="Times New Roman" w:hAnsi="Times New Roman"/>
          <w:sz w:val="18"/>
          <w:szCs w:val="18"/>
          <w:color w:val="auto"/>
        </w:rPr>
      </w:pPr>
    </w:p>
    <w:p>
      <w:pPr>
        <w:ind w:firstLine="1952"/>
        <w:spacing w:after="0" w:line="282" w:lineRule="auto"/>
        <w:tabs>
          <w:tab w:leader="none" w:pos="219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established and maintain and enforce policies and procedures reasonably designed to promote and achieve compliance with the Anti-Corruption Laws applicable to the Company and the Company Subsidiaries.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International Trade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8" w:lineRule="auto"/>
        <w:tabs>
          <w:tab w:leader="none" w:pos="22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Company Subsidiary or, in each case, any of its respective officers, managers, directors, employees, nor to the Knowledge of the Company, any of the Company’s or any Company Subsidiary’s agents, representatives, or other Persons that act for or on behalf of the Company or any Company Subsidiary is currently, or since April 24, 2019, has been, (i) a Sanctioned Person or engaged in transactions, dealings, or activities that might reasonably cause such Person to become a Sanctioned Person; (ii) engaged in any dealings or transactions with, involving or for the benefit of any Sanctioned Person or in or with any Sanctioned Country; or (iii) otherwise in violation of applicable Sanctions.</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3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and its and their officers, managers, directors, employees, and to the Knowledge of the Company, the Company’s and the Company Subsidiaries’ agents, representatives, and other Persons that act for or on behalf of the Company or the Company Subsidiaries is and, since five years prior to the date of this Agreement, has been in compliance, (i) has been in compliance, in all material respects, with all Trade Compliance Laws, and (ii) has not been subject to debarment or list-based designations under any Trade Compliance Laws.</w:t>
      </w:r>
    </w:p>
    <w:p>
      <w:pPr>
        <w:spacing w:after="0" w:line="183" w:lineRule="exact"/>
        <w:rPr>
          <w:rFonts w:ascii="Times New Roman" w:cs="Times New Roman" w:eastAsia="Times New Roman" w:hAnsi="Times New Roman"/>
          <w:sz w:val="18"/>
          <w:szCs w:val="18"/>
          <w:color w:val="auto"/>
        </w:rPr>
      </w:pPr>
    </w:p>
    <w:p>
      <w:pPr>
        <w:jc w:val="both"/>
        <w:ind w:firstLine="1952"/>
        <w:spacing w:after="0" w:line="257" w:lineRule="auto"/>
        <w:tabs>
          <w:tab w:leader="none" w:pos="218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24, 2019, the Company and the Company Subsidiaries have not made any voluntary or involuntary disclosure to any Governmental Entity regarding the actual or possible violations of Sanctions or Trade Compliance Laws, and there have been no actual or threatened inquiries, allegations, requests for information, investigations, or enforcement actions by any Governmental Entity regarding the actual or possible violation of Sanctions or Trade Compliance Laws by the Company or any Company Subsidiary, and no Governmental Entity has assessed any fine or penalty against, or issued any warning letter to, the Company or any Company Subsidiary with regard to compliance with Sanctions or Trade Compliance Laws.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firstLine="1952"/>
        <w:spacing w:after="0" w:line="282" w:lineRule="auto"/>
        <w:tabs>
          <w:tab w:leader="none" w:pos="219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since April 24, 2019, implemented and maintain policies and procedures to promote compliance with Sanctions and Trade Compliance Laws.</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8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products or materials imported by, for or on behalf of the Company or the Company Subsidiaries, for which final liquidation has not yet occurred is subject to or otherwise covered by an antidumping duty order or countervailing duty order that remains in effect or is subject to or otherwise covered by any pending antidumping or countervailing duty investigation by any Governmental Entity.</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5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are not importing and have not imported, products or materials mined, produced, or manufactured, wholly or in part, with the use of forced labor or mined, produced, or manufactured, wholly or in part, in the Xinjiang Uyghur Autonomous Region or by an entity on the Uyghur Forced Labor Prevention Act Entity List.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has received the opinion (the “</w:t>
      </w:r>
      <w:r>
        <w:rPr>
          <w:rFonts w:ascii="Times New Roman" w:cs="Times New Roman" w:eastAsia="Times New Roman" w:hAnsi="Times New Roman"/>
          <w:sz w:val="18"/>
          <w:szCs w:val="18"/>
          <w:u w:val="single" w:color="auto"/>
          <w:color w:val="auto"/>
        </w:rPr>
        <w:t>Company Fairness Opinion</w:t>
      </w:r>
      <w:r>
        <w:rPr>
          <w:rFonts w:ascii="Times New Roman" w:cs="Times New Roman" w:eastAsia="Times New Roman" w:hAnsi="Times New Roman"/>
          <w:sz w:val="18"/>
          <w:szCs w:val="18"/>
          <w:color w:val="auto"/>
        </w:rPr>
        <w:t>”) of Houlihan Lokey Capital, Inc. (“</w:t>
      </w:r>
      <w:r>
        <w:rPr>
          <w:rFonts w:ascii="Times New Roman" w:cs="Times New Roman" w:eastAsia="Times New Roman" w:hAnsi="Times New Roman"/>
          <w:sz w:val="18"/>
          <w:szCs w:val="18"/>
          <w:u w:val="single" w:color="auto"/>
          <w:color w:val="auto"/>
        </w:rPr>
        <w:t>Houlihan Lokey</w:t>
      </w:r>
      <w:r>
        <w:rPr>
          <w:rFonts w:ascii="Times New Roman" w:cs="Times New Roman" w:eastAsia="Times New Roman" w:hAnsi="Times New Roman"/>
          <w:sz w:val="18"/>
          <w:szCs w:val="18"/>
          <w:color w:val="auto"/>
        </w:rPr>
        <w:t>”), to the effect that, as of the date of the Company Fairness Opinion, and based upon and subject to the various qualifications, assumptions, limitations and other matters set forth therein, the Per Share Merger Consideration to be received by the holders of Company Common Stock for their shares of Company Common Stock in the Merger pursuant to this Agreement was fair, from a financial point of view, to such holders (solely in their capacity as holders of Company Common Stock). The Company shall make available to Parent a copy of such opinion as soon as practicable following the execution of this Agreement for informational purposes only.</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information supplied or to be supplied by the Company in writing expressly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not misleading, except that no representation or warranty is made by the Company with respect to statements made therein based on information supplied by the Parent Parties or any of their respective Parent Representatives for inclusion therein. The information supplied or to be supplied by the Company in writing expressly for inclusion in the Proxy Statement/Prospectus, which shall be included in the Registration Statement, shall not, on the date(s) the Proxy Statement/Prospectus is first mailed to the stockholders of the Company, or at the time of the Company Stockholders Meeting, or at the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the Company with respect to statements made therein based on information supplied by the Parent Parties or any of their respective Parent Representatives for inclusion therein.</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The Company Board has approved this Agreement and the transactions contemplated hereby and has taken all such other necessary actions as required to render inapplicable to this Agreement and the transactions contemplated hereby the provisions of any potentially applicable takeover Laws of any state, including any “moratorium,” “control share,” “fair price,” “takeover” or “interested shareholder” Law or similar provision of the Company Charter or the Company Bylaws (any of the foregoing,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outstanding amounts payable to or receivable from, or advances by the Company, or any Company Subsidiary to, and neither the Company, nor any of the Company Subsidiaries is otherwise a creditor or debtor to, or party to any Contract or transaction with, any holder of five percent (5%) or more of the shares of Company Common Stock, or any director, officer or employee of the Company or any Company Subsidiary, or, to the Knowledge of the Company, any relative of any of the foregoing (in each case, any such Person, a “</w:t>
      </w:r>
      <w:r>
        <w:rPr>
          <w:rFonts w:ascii="Times New Roman" w:cs="Times New Roman" w:eastAsia="Times New Roman" w:hAnsi="Times New Roman"/>
          <w:sz w:val="18"/>
          <w:szCs w:val="18"/>
          <w:u w:val="single" w:color="auto"/>
          <w:color w:val="auto"/>
        </w:rPr>
        <w:t>Company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except for employment or compensation agreements or arrangements with directors, officers and employees made in the ordinary course consistent with past practice. Since January 1, 2023, there have been no transactions or contracts between the Company or any Company Subsidiaries, on the one hand, and any affiliates (other than Company Subsidiaries) of the Company or other Persons, on the other hand, that would be required to be reported by the Company pursuant to Item 404 of Regulation S-K promulgated by the SEC that have not been so reported.</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reasonably be expected to have, individually or in the aggregate, a Company Material Adverse Effect, (a) all insurance policies maintained by the Company or any Company Subsidiary, are in full force and effect and provide insurance in such amounts and against such risks as the management of such party reasonably has determined to be prudent in accordance with industry practices or as is required by Law, and all premiums due and payable thereon have been paid; and (b) neither the Company nor any Company Subsidiary is in breach or default of any of the insurance policies, and neither the Company nor any Company Subsidiary has taken any action or failed to take any action which, with notice or the lapse of time, would constitute such a breach or default or permit termination or material modification of any of the insurance policies. Since January 1, 2023, neither the Company nor any Company Subsidiary has received any written notice of termination or cancellation or denial of coverage with respect to any material insurance policy.</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the Company’s obligations to Lazard Frères &amp; Co. LLC and Houlihan Lokey, no broker, investment banker, financial advisor or other Person is entitled to any brokerage, finders’, advisory or similar fee in connection with the transactions contemplated by this Agreement, including the Merger.</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none of the Company, any of its affiliates or any other Person on behalf of the Company makes any express or implied representation or warranty with respect to the Company, the Company Subsidiaries or their respective businesses or with respect to any other information provided, or made available, to Parent Parties or their respective Parent Representatives or affiliates in connection with the transactions contemplated hereby, including the accuracy or completeness thereof. Without limiting the foregoing, neither the Company nor any other Person shall have or be subject to any liability or other obligation to the Parent Parties or their respective Parent Representatives or affiliates or any other Person resulting from the Parent Parties’ or the Parent Representatives’ or affiliates’ use of any information, documents, projections, forecasts or other material made available to the Parent Parties or their respective Parent Representatives or affiliates, including any information made available in the electronic data room maintained by the Company for purposes of the transactions contemplated by this Agreement, teaser, marketing material, confidential information memorandum, management presentations, functional “break-out” discussions, responses to questions submitted on behalf of the Parent Parties or their respective Parent Representatives or in any other form in connection with the transactions contemplated by this Agreement, in each case, unless and to the extent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Except as otherwise disclosed or identified in the Parent SEC Documents filed or furnished by Parent with the SEC on or after January 1, 2024 and at least two Business Days prior to the date hereof (other than forward-looking disclosures contained in the “Forward Looking Statements” and “Risk Factors” sections of the Parent SEC Documents and any other disclosures included therein to the extent they are primarily predictive, cautionary or forward-looking in nature, but including and historical or factual matters disclosed in such sections), each Parent Party each hereby jointly and severally represent and warrant to the Company as follows: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Parent Party is a corporation duly incorporated, validly existing and in good standing under the laws of the State of Delaware. Parent has all requisite powers required to carry on its business as now conducted and is duly qualified to do business as a foreign corporation and is in good standing in each jurisdiction where such qualification is necessary, except in those jurisdictions where the failure to be so qualified or in good standing, when taken together, would not reasonably be expected to have a Parent Material Adverse Effect.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Parent Party has all necessary power and authority to execute and deliver this Agreement, to perform its obligations hereunder and to consummate the transactions contemplated hereby, including (a) in the case of Parent, the Parent Share Issuance and (b) in the case of Merger Sub, subject to the adoption of this Agreement by Parent as the sole stockholder of Merger Sub, the Merger. The execution and delivery of this Agreement by the Parent Parties and the consummation by the Parent Parties of the transactions contemplated hereby, including the Parent Share Issuance (in the case of Parent) and the Merger (in the case of Merger Sub), have been duly and validly authorized by all necessary corporate action, and no other corporate proceedings on the part of either Parent Party and, except for the affirmative vote of Parent as the sole stockholder of Merger Sub in favor of the adoption of this Agreement, no stockholder votes are necessary to adopt this Agreement or to consummate the transactions contemplated hereby. Each Parent Party has duly and validly executed and delivered this Agreement and, assuming due and valid authorization, execution and delivery by the other Parent Party and the Company, constitutes its legal, valid and binding obligation, enforceable against it in accordance with its terms, except as limited by Enforceability Limitations.</w:t>
      </w:r>
    </w:p>
    <w:p>
      <w:pPr>
        <w:spacing w:after="0" w:line="19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xml:space="preserve">(a). The execution, delivery and performance by the Parent Parties of this Agreement and the consummation by the Parent Parties of the transactions contemplated hereby, including the Parent Share Issuance (in the case of Parent) and the Merger (in the case of Merger Sub), do not and will not (a) contravene, conflict with, or result in any violation or breach of any provision of the Restated Certificate of Incorporation or the Amended and Restated Bylaws of Parent or the certificate of incorporation and bylaws (or equivalent organizational documents) of Merger Sub or (b) assuming compliance with the matters referred to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contravene, conflict with or result in a violation or breach of any provision of any material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Required Filings and Consents</w:t>
      </w:r>
      <w:r>
        <w:rPr>
          <w:rFonts w:ascii="Times New Roman" w:cs="Times New Roman" w:eastAsia="Times New Roman" w:hAnsi="Times New Roman"/>
          <w:sz w:val="18"/>
          <w:szCs w:val="18"/>
          <w:color w:val="auto"/>
        </w:rPr>
        <w:t xml:space="preserve">. Assuming the accuracy of the representations and warranties of the Company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none of the execution, delivery or performance of this Agreement by the Parent Parties, including the Parent Share Issuance (in the case of Parent) and the Merger (in the case of Merger Sub), or any other transaction contemplated by this Agreement will require (with or without notice or lapse of time, or both) any consent, approval, authorization or permit of, or filing or registration with or notification to, any Governmental Entity, other than (a) the filing of the Certificate of Merger as required by the DGCL, (b) compliance with any applicable requirements of any Regulatory Laws, (c) compliance with the applicable requirements of the Exchange Act, Securities Act and any other applicable U.S. state or federal securities Laws, (d) filings with the SEC as may be required by Parent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have, individually or in the aggregate, a Parent Material Adverse Effect.</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6" w:lineRule="auto"/>
        <w:tabs>
          <w:tab w:leader="none" w:pos="222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filed or furnished all reports, schedules, forms, statements, registration statements, prospectuses and other documents required to be filed or furnished by Parent with the SEC under the Securities Act or the Exchange Act since January 1, 2024 (the “</w:t>
      </w:r>
      <w:r>
        <w:rPr>
          <w:rFonts w:ascii="Times New Roman" w:cs="Times New Roman" w:eastAsia="Times New Roman" w:hAnsi="Times New Roman"/>
          <w:sz w:val="18"/>
          <w:szCs w:val="18"/>
          <w:u w:val="single" w:color="auto"/>
          <w:color w:val="auto"/>
        </w:rPr>
        <w:t>Parent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No Parent Subsidiary is required to make any filings with the SEC.</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1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respective filing date, and, if amended, as of the date of the last amendment prior to the date hereof, each Parent SEC Document complied in all material respects with the requirements of the Exchange Act or the Securities Act, as the case may be, and the rules and regulations of the SEC promulgated thereunder applicable to such Parent SEC Document and did not contain any untrue statement of a material fact or omit to state a material fact required to be stated therein or necessary in order to make the statements therein, in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8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Parent included in the Parent SEC Documents (including, in each case, any notes or schedules thereto) (the “</w:t>
      </w:r>
      <w:r>
        <w:rPr>
          <w:rFonts w:ascii="Times New Roman" w:cs="Times New Roman" w:eastAsia="Times New Roman" w:hAnsi="Times New Roman"/>
          <w:sz w:val="18"/>
          <w:szCs w:val="18"/>
          <w:u w:val="single" w:color="auto"/>
          <w:color w:val="auto"/>
        </w:rPr>
        <w:t>Parent Financial Statements</w:t>
      </w:r>
      <w:r>
        <w:rPr>
          <w:rFonts w:ascii="Times New Roman" w:cs="Times New Roman" w:eastAsia="Times New Roman" w:hAnsi="Times New Roman"/>
          <w:sz w:val="18"/>
          <w:szCs w:val="18"/>
          <w:color w:val="auto"/>
        </w:rPr>
        <w:t>”) fairly present, in all material respects, the consolidated financial condition and the consolidated results of operations, cash flows and changes in stockholders’ equity of Parent and the Parent Subsidiaries (on a consolidated basis) as of the respective dates of and for the periods referred to in the Parent Financial Statements, and were prepared in accordance with GAAP applied on a consistent basis during the periods involved (except as may be indicated in the notes thereto), subject, in the case of any interim unaudited Parent Financial Statements, to normal year-end adjustments and the absence of notes and other presentation items.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1952"/>
        <w:spacing w:after="0" w:line="253" w:lineRule="auto"/>
        <w:tabs>
          <w:tab w:leader="none" w:pos="219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Parent’s disclosure controls and procedures are designed to ensure that all information (both financial and non-financial) required to be disclosed by Parent in the reports that it files or furnishes under the Exchange Act is recorded, processed, summarized and reported within the time periods specified in the rules and forms of the SEC, and that all such information is accumulated and communicated to Parent’s management as appropriate to allow timely decisions regarding required disclosure and to make the certifications required pursuant to Sections 302 and 906 of the Sarbanes-Oxley Act. Parent’s management has completed an assessment of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 Parent’s management has not identified any significant deficiencies or material weaknesses in the design or operation of its internal control over financial reporting that would reasonably be expected to adversely affect Parent’s ability to record, process, summarize and report financial information and Parent does not have Knowledge of any fraud, whether or not material, that involves management or other employees who have a significant role in Parent’s internal control over financial reporting.</w:t>
      </w:r>
    </w:p>
    <w:p>
      <w:pPr>
        <w:spacing w:after="0" w:line="187"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0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Parent Subsidiaries do not have any material liabilities or obligations of any nature (whether absolute or contingent, asserted or unasserted, known or unknown, primary or secondary, direct or indirect, and whether or not accrued) required by GAAP to be reflected or reserved on a consolidated balance sheet of Parent (or the notes thereto) except (i) as disclosed, reflected or reserved against in the most recent balance sheet included in the Parent Financial Statements or the notes thereto, (ii) for liabilities and obligations incurred in the ordinary course of business since the date of the most recent balance sheet included in the Parent Financial Statements, (iii) for liabilities and obligations arising out of or in connection with this Agreement, the Merger or the other transactions contemplated hereby and (iv) for liabilities and obligations that have not had and would not reasonably be expected to have, individually or in the aggregate, a Parent Material Adverse Effect.</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information supplied or to be supplied by Parent in writing expressly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not misleading, except that no representation or warranty is made by Parent with respect to statements made therein based on information supplied by the Company or any of its Company Representatives for inclusion therein. The information supplied or to be supplied by Parent in writing expressly for inclusion in the Proxy Statement/Prospectus, which shall be included in the Registration Statement, shall not, on the date(s) the Proxy Statement/Prospectus is first mailed to the stockholders of Parent or at the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Parent with respect to statements made therein based on information supplied by the Company or any of its Company Representatives for inclusion therein.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The Parent Board has approved this Agreement and the transactions contemplated hereby and has taken all such other necessary actions as required to render inapplicable to this Agreement and the transactions contemplated hereby the provisions of any potentially applicable Takeover Statutes.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Ownership of Merger Sub</w:t>
      </w:r>
      <w:r>
        <w:rPr>
          <w:rFonts w:ascii="Times New Roman" w:cs="Times New Roman" w:eastAsia="Times New Roman" w:hAnsi="Times New Roman"/>
          <w:sz w:val="18"/>
          <w:szCs w:val="18"/>
          <w:color w:val="auto"/>
        </w:rPr>
        <w:t>. Merger Sub is an indirect, wholly owned Parent Subsidiary and a direct wholly owned Subsidiary of Intermediate Sub, was formed solely for the purpose of engaging in the transactions contemplated hereby and has engaged in no business activity other than as contemplated by this Agreement. Except for the liabilities incurred in connection with the transactions contemplated hereby,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Parent Common Stock to be issued as the Per Share Merger Consideration pursuant to the terms hereof, when issued as provided in and pursuant to the terms of this Agreement, will be duly authorized and validly issued, fully paid and nonassessable, and (other than restrictions under applicable securities laws, or restrictions created by any stockholder of the Company) will be free of restrictions on transfer.</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Parent’s obligations to Barclays Capital Inc., no broker, investment banker, financial advisor or other Person is entitled to any brokerage, finders’, advisory or similar fee in connection with the transactions contemplated by this Agreement, including the Merger.</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none of the Parent Parties, any of their respective affiliates or any other Person on behalf of Parent makes any express or implied representation or warranty with respect to Parent, the Parent Subsidiaries or their respective businesses or with respect to any other information provided, or made available, to the Company or the Company Representatives or the Company’s affiliates in connection with the transactions contemplated hereby, including the accuracy or completeness thereof. Without limiting the foregoing, neither Parent, Merger Sub nor any other Person shall have or be subject to any liability or other obligation to the Company or the Company Representatives or the Company’s affiliates or any other Person resulting from the Company’s or the Company’s Representatives’ or the Company’s affiliates’ use of any information, documents, projections, forecasts or other material made available to the Company or the Company’s Representatives or the Company’s affiliates, including any information made available in the electronic data room maintained by Parent for purposes of the transactions contemplated by this Agreement, teaser, marketing material, confidential information memorandum, management presentations, functional “break-out” discussions, responses to questions submitted on behalf of the Company or the Company Representatives or in any other form in connection with the transactions contemplated by this Agreement, in each case, unless and to the extent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CONDUCT OF THE COMPANY</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Conduct of Business by the Company Pending the Closing</w:t>
      </w:r>
      <w:r>
        <w:rPr>
          <w:rFonts w:ascii="Times New Roman" w:cs="Times New Roman" w:eastAsia="Times New Roman" w:hAnsi="Times New Roman"/>
          <w:sz w:val="18"/>
          <w:szCs w:val="18"/>
          <w:color w:val="auto"/>
        </w:rPr>
        <w:t xml:space="preserve">. The Company agrees that, between the date hereof and the earlier of the Effective Time and the valid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except (w)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(x) as required by applicable Law, (y) as expressly required or contemplated by this Agreement or (z) otherwise with the prior written consent of Parent, the Company shall, and shall cause each Company Subsidiary to, (I) use reasonable best efforts to conduct its operations in all material respects in the ordinary course of business consistent with past practice (including, subject to the Company’s obligations set forth in </w:t>
      </w:r>
      <w:r>
        <w:rPr>
          <w:rFonts w:ascii="Times New Roman" w:cs="Times New Roman" w:eastAsia="Times New Roman" w:hAnsi="Times New Roman"/>
          <w:sz w:val="18"/>
          <w:szCs w:val="18"/>
          <w:u w:val="single" w:color="auto"/>
          <w:color w:val="auto"/>
        </w:rPr>
        <w:t>Section 6.15(a)</w:t>
      </w:r>
      <w:r>
        <w:rPr>
          <w:rFonts w:ascii="Times New Roman" w:cs="Times New Roman" w:eastAsia="Times New Roman" w:hAnsi="Times New Roman"/>
          <w:sz w:val="18"/>
          <w:szCs w:val="18"/>
          <w:color w:val="auto"/>
        </w:rPr>
        <w:t xml:space="preserve">, with respect to its customary cash management policies and the maintenance of unrestricted cash and cash equivalents on its balance sheet at levels consistent with those maintained in the ordinary course of business consistent with past practice) and (II) use its reasonable best efforts to preserve substantially intact its business organization and comply with all applicable Laws in all material respects. Without limiting the foregoing, and as an extension thereof, except (1)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(2) as required by applicable Law, (3) as expressly required or contemplated by this Agreement, or (4) otherwise with the prior written consent of Parent (not to be unreasonably withheld, conditioned or delayed), the Company shall not, and shall not permit any Company Subsidiary to, between the date hereof and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directly or indirectly, take any of the following actions:</w:t>
      </w:r>
    </w:p>
    <w:p>
      <w:pPr>
        <w:spacing w:after="0" w:line="190" w:lineRule="exact"/>
        <w:rPr>
          <w:sz w:val="20"/>
          <w:szCs w:val="20"/>
          <w:color w:val="auto"/>
        </w:rPr>
      </w:pPr>
    </w:p>
    <w:p>
      <w:pPr>
        <w:jc w:val="both"/>
        <w:ind w:firstLine="1952"/>
        <w:spacing w:after="0" w:line="282" w:lineRule="auto"/>
        <w:tabs>
          <w:tab w:leader="none" w:pos="22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waive, rescind or otherwise change its articles or certificate of incorporation or bylaws or equivalent organizational documents or the Tax Benefits Preservation Plan or adopt any new stockholder rights plan, “poison pill” antitakeover plan or similar device;</w:t>
      </w:r>
    </w:p>
    <w:p>
      <w:pPr>
        <w:spacing w:after="0" w:line="16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1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sell, pledge, dispose of, grant, transfer or encumber any shares of capital stock of, or other Equity Interests in, the Company or any Company Subsidiary,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other than the issuance of Company Common Stock (and the related Company Rights) or upon the exercise, vesting or settlement, as applicable, of Company Equity Awards and Company Warrants outstanding as of the date hereof in accordance with their terms (or, if a Triggering Event (as defined in the Tax Benefits Preservation Plan) shall occur, the Company Rights) or upon the exercise of purchase rights under the Company ESPP (subject to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0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pledge, dispose of, transfer, lease, license, abandon, allow to lapse, guarantee or encumber any material property or tangible assets of the Company or any Company Subsidiary (other than transactions between the Company and any wholly owned Company Subsidiary or among wholly owned Company Subsidiaries), except (i) pursuant to Contracts in effect prior to the date hereof (as such Contracts may be modified, extended or amended in the ordinary course of business) or (ii) Permitted Liens;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jc w:val="both"/>
        <w:ind w:firstLine="1952"/>
        <w:spacing w:after="0" w:line="261" w:lineRule="auto"/>
        <w:tabs>
          <w:tab w:leader="none" w:pos="219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(whether payable in cash, stock, property or a combination thereof) with respect to any of its capital stock or other Equity Interests (other than dividends paid by a wholly owned Company Subsidiary to the Company or another wholly owned Company Subsidiary), enter into any agreement with respect to the voting or registration of its capital stock or other Equity Interests, or file any registration statement with the SEC with respect to any, of its capital stock or other equity interests or securities;</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8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amend the terms of, or redeem, purchase or otherwise acquire, directly or indirectly, any of its capital stock, or other Equity Interests, except (i) the satisfaction of exercise price and/or Tax withholding obligations in connection with the vesting, exercise and/or settlement of Company Equity Awards in accordance with the terms of such awards as in effect on the date hereof or (ii) upon the forfeiture of outstanding Company Equity Awards pursuant to their terms upon the termination of the employment of the holder thereof or otherwise;</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8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the Company or any Company Subsidiary with any Person, effect a division transaction or statutory conversion, domestication or transfer, or adopt a plan of complete or partial liquidation or resolutions providing for a complete or partial liquidation, dissolution, restructuring, recapitalization or other reorganization of the Company or any Company Subsidiary;</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2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share exchange, division transaction, or acquisition of stock or assets) any interest in any Person or assets or any business division thereof, other than the purchase of goods, equipment and other operating assets in the ordinary course of business consistent with past practice that (x) does not include any “earnout,” deferred or contingent payment obligation or any other future obligation to pay and (y) would not reasonably be expected to materially delay, impede or prevent the consummation of the transactions contemplated by this Agreement on or before the Outside Date;</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incur any indebtedness for borrowed money, or issue any debt securities or assume, guarantee or endorse, or otherwise as an accommodation become responsible for (whether directly, contingently or otherwise), the obligations of any Person for borrowed money, except, in each case, for any indebtedness solely among the Company and its wholly owned Company Subsidiaries or solely among wholly owned Company Subsidiaries or (ii) repay any indebtedness, except (A) in accordance with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or (B) payment of interest due and payable pursuant to the terms of the First Lien Notes;</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7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other Person (other than any wholly owned Company Subsidiary), except for (i) loans solely among the Company and its wholly owned Company Subsidiaries or solely among the Company’s wholly owned Company Subsidiaries or (ii) advances for reimbursable employee expenses in the ordinary course of business consistent with past practice;</w:t>
      </w:r>
    </w:p>
    <w:p>
      <w:pPr>
        <w:spacing w:after="0" w:line="175" w:lineRule="exact"/>
        <w:rPr>
          <w:rFonts w:ascii="Times New Roman" w:cs="Times New Roman" w:eastAsia="Times New Roman" w:hAnsi="Times New Roman"/>
          <w:sz w:val="18"/>
          <w:szCs w:val="18"/>
          <w:color w:val="auto"/>
        </w:rPr>
      </w:pPr>
    </w:p>
    <w:p>
      <w:pPr>
        <w:jc w:val="both"/>
        <w:ind w:firstLine="1952"/>
        <w:spacing w:after="0" w:line="257" w:lineRule="auto"/>
        <w:tabs>
          <w:tab w:leader="none" w:pos="215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enter into any Contract that would, if entered into prior to the date hereof, be a Company Material Contract, other than, solely with respect to Company Material Contracts under </w:t>
      </w:r>
      <w:r>
        <w:rPr>
          <w:rFonts w:ascii="Times New Roman" w:cs="Times New Roman" w:eastAsia="Times New Roman" w:hAnsi="Times New Roman"/>
          <w:sz w:val="18"/>
          <w:szCs w:val="18"/>
          <w:u w:val="single" w:color="auto"/>
          <w:color w:val="auto"/>
        </w:rPr>
        <w:t>Sections 3.11(a)(ii)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3.11(a)(xiii)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3.11(a)(xvii)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3.11(a)(xx)</w:t>
      </w:r>
      <w:r>
        <w:rPr>
          <w:rFonts w:ascii="Times New Roman" w:cs="Times New Roman" w:eastAsia="Times New Roman" w:hAnsi="Times New Roman"/>
          <w:sz w:val="18"/>
          <w:szCs w:val="18"/>
          <w:color w:val="auto"/>
        </w:rPr>
        <w:t xml:space="preserve"> (in each case, so long as any such Contract would not also constitute a contract of the type described in </w:t>
      </w:r>
      <w:r>
        <w:rPr>
          <w:rFonts w:ascii="Times New Roman" w:cs="Times New Roman" w:eastAsia="Times New Roman" w:hAnsi="Times New Roman"/>
          <w:sz w:val="18"/>
          <w:szCs w:val="18"/>
          <w:u w:val="single" w:color="auto"/>
          <w:color w:val="auto"/>
        </w:rPr>
        <w:t>Section 3.11(a)(iv)</w:t>
      </w:r>
      <w:r>
        <w:rPr>
          <w:rFonts w:ascii="Times New Roman" w:cs="Times New Roman" w:eastAsia="Times New Roman" w:hAnsi="Times New Roman"/>
          <w:sz w:val="18"/>
          <w:szCs w:val="18"/>
          <w:color w:val="auto"/>
        </w:rPr>
        <w:t>), in the ordinary course of business consistent with past practice or</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7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materially modify, materially amend, extend (except in the case of a renewal of a Company Material Contract in the ordinary course of business consistent with past practice, provided that the terms other than the expiration date of such Company Material Contract have not changed in a manner adverse to the Company) or affirmatively terminate any Company Material Contract or (B) waive, release or assign any rights or claims thereunder,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other than in the ordinary course of business consistent with past practice;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1952"/>
        <w:spacing w:after="0" w:line="254" w:lineRule="auto"/>
        <w:tabs>
          <w:tab w:leader="none" w:pos="219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applicable Law, the terms of this Agreement or an existing Company Benefit Plan, (i) grant any severance, retention, change in control, or termination pay, (ii) increase the compensation or benefits payable to any employee or individual independent contractor or consultant, (iii) modify, enter into, negotiate, terminate or amend any Collective Bargaining Agreement or recognize or certify any Union as the collective bargaining representative for any employee of the Company or any of the Company Subsidiaries, (iv) hire or terminate (other than for cause) the employment of any employee at the level of Vice President or higher, (v) promote any non-officer employee to an officer position, or promote any employee below the Vice President level into a position at the Vice President level or higher, (vi) adopt, enter into, terminate or materially amend any material Company Benefit Plan (or any other benefit or compensation plan, policy, program, agreement or arrangement that would be a Company Benefit Plan if in effect on the date hereof) or (vii) accelerate the vesting, funding or time of payment of any compensation or other benefit (including a Company Equity Award) with respect to any current or former individual service provider;</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modify (in any manner adverse to the Company and the Company Subsidiaries), or release any material noncompetition, nonsolicitation, nondisclosure, noninterference, nondisparagement or other similar material restrictive covenant obligation of any current or former employee, officer, director or individual independent contractor of the Company or any of the Company Subsidiaries;</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2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announce any “mass layoff” or “plant closing,” in each case as defined in an applicable WARN Act, or take any other action that would reasonably be expected to trigger an applicable WARN Act;</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waive, release, pay, discharge or satisfy any claims, liabilities or obligations (absolute, accrued, contingent or otherwise) with value in excess of $500,000, except in the ordinary course of business consistent with past practice, (ii) forgive any loans to directors, officers, employees or any of their respective affiliates or (iii) enter into any transactions or Contracts with any affiliates or other Person that would be required to be disclosed by the Company under Item 404 of Regulation S-K of the SEC;</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21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accounting policies, practices, principles, methods or procedures or any of its methods of reporting income, deductions or other material items for financial accounting purposes, other than as required by GAAP or applicable Law;</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9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settle or agree to settle any Proceeding other than compromises, settlements or agreements that involve only the payment of monetary damages by the Company or any Company Subsidiary not in excess of $100,000, in any case without the imposition of equitable relief on, or the admission of a violation of Law by, the Company or any Company Subsidiary;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1952"/>
        <w:spacing w:after="0" w:line="255" w:lineRule="auto"/>
        <w:tabs>
          <w:tab w:leader="none" w:pos="219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revoke any material Tax election, (ii) change any annual Tax accounting period, (iii) adopt or change any material method of Tax accounting, (iv) amend any material Tax Return or file any U.S. federal, state or non-U.S. income Tax Return or any other material Tax Return that is materially inconsistent with a previously filed Tax Return of the same type for a prior taxable period (taking into account any amendments prior to the date hereof), (v) settle or compromise any Tax claim, audit, assessment, dispute or other Proceeding relating to a material amount of Taxes, (vi) surrender any right to claim a material refund of Taxes, (vii) agree to an extension or waiver of the statute of limitations with respect to a material amount of Taxes or (viii) enter into any “closing agreement” within the meaning of Section 7121 of the Code (or any corresponding or similar provision of state, local or non-U.S. Tax Law);</w:t>
      </w:r>
    </w:p>
    <w:p>
      <w:pPr>
        <w:spacing w:after="0" w:line="188"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9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assign, pledge or otherwise encumber, transfer, license, abandon, place in the public domain, permit to lapse or otherwise dispose of any Company Owned Intellectual Property, except for non-exclusive licenses granted in the ordinary course of business consistent with past practice and otherwise except the abandonment or lapse of Company Registered Intellectual Property in the Company’s reasonable business judgement or (ii) compromise, settle or agree to settle, or consent to judgment in, any one or more actions (except in the ordinary course of business consistent with past practice) concerning any Company Owned Intellectual Property in a manner that materially and adversely affects the Company’s rights in or to any material Company Owned Intellectual Property; or (iii) license or disclose any source code for the Company Owned Intellectual Property to any Person who is not an employee or consultant acting on behalf of the Company or any of the Company Subsidiaries pursuant to customary confidentiality protections;</w:t>
      </w:r>
    </w:p>
    <w:p>
      <w:pPr>
        <w:spacing w:after="0" w:line="19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0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material refunds, credits, rebates or other allowances by the Company to any end user, customer, reseller or distributor, in each case, other than in the ordinary course of business consistent with past practice or change in any material respect the manner in which the Company or any Company Subsidiary extends discounts, credits or warranties to customers or otherwise deals with customers or suppliers;</w:t>
      </w:r>
    </w:p>
    <w:p>
      <w:pPr>
        <w:spacing w:after="0" w:line="17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materially amend or terminate any transaction with any Company Related Party;</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maintain the Company’s insurance policies in the ordinary course of business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past practice;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1952"/>
        <w:spacing w:after="0" w:line="256" w:lineRule="auto"/>
        <w:tabs>
          <w:tab w:leader="none" w:pos="22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acquire any real property or enter into any lease or sublease of real property (whether as a lessor, sublessor, lessee or sublessee), (ii) materially modify or amend or exercise any right to renew any Company Real Property Lease or other lease or sublease of real property, or waive any term or condition thereof or grant any consents thereunder, (iii) grant or otherwise create or consent to the creation of any easement, covenant, restriction, assessment or charge affecting any real property leased by the Company, or any interest therein or part thereof, (iv) commit any waste or nuisance on any such property or (v) make any material changes in the construction or condition of any such property, in the case of each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other than in the ordinary course of business consistent with past practice;</w:t>
      </w:r>
    </w:p>
    <w:p>
      <w:pPr>
        <w:spacing w:after="0" w:line="187"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any special meeting (or any adjournment or postponement thereof) of the Company’s stockholders;</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modify or waive in any material respect any right under any material Company Permit;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 or expenditures, or enter into any agreement arrangement providing for, or otherwise commit to providing, any capital expenditure or expenditures, except (i) in accordance with the Company’s capital budget provided to Parent prior to the date hereof or (ii) with respect to capital expenditures or expenditures, in each case, in respect of capitalized software equal to or less than $250,000 in the aggregate;</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delay the collection of any accounts receivable or the payment of any accounts payable or the accrual of deferred revenue or otherwise alter the management of working capital or the cash or cash equivalents of the Company, except, in each case, in the ordinary course of business consistent with past practice, including with respect to monthly fluctuations in working capital; or</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(aa) agree, authorize or enter into any Contract to do any of the foregoing or otherwise make any commitment to do any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COVENANTS OF THE PARTIES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Preparation of Proxy Statement/Prospectus and Registration Statement; Company Stockholder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1" w:lineRule="auto"/>
        <w:tabs>
          <w:tab w:leader="none" w:pos="218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date hereof, the Company and Parent shall cooperate in preparing the proxy statement/prospectus relating to the matters to be submitted to the holders of Company Common Stock at the Company stockholders meeting to adopt this Agreement (such stockholders meeting, the “</w:t>
      </w:r>
      <w:r>
        <w:rPr>
          <w:rFonts w:ascii="Times New Roman" w:cs="Times New Roman" w:eastAsia="Times New Roman" w:hAnsi="Times New Roman"/>
          <w:sz w:val="18"/>
          <w:szCs w:val="18"/>
          <w:u w:val="single" w:color="auto"/>
          <w:color w:val="auto"/>
        </w:rPr>
        <w:t>Company Stockholders Meeting</w:t>
      </w:r>
      <w:r>
        <w:rPr>
          <w:rFonts w:ascii="Times New Roman" w:cs="Times New Roman" w:eastAsia="Times New Roman" w:hAnsi="Times New Roman"/>
          <w:sz w:val="18"/>
          <w:szCs w:val="18"/>
          <w:color w:val="auto"/>
        </w:rPr>
        <w:t>”, and such proxy statement/prospectus, and any amendments or supplements thereto,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and the registration statement on Form S-4 (and any amendment or supplement thereto) pursuant to which shares of Parent Common Stock issuable in the Merger shall be registered with the SEC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with the Proxy Statement/Prospectus constituting a part thereof), and shall file the Proxy Statement/Prospectus and the Registration Statement with the SEC. Each of Parent and the Company shall use its reasonable best efforts to cause the Registration Statement to become effective under the Securities Act as soon after such filing as practicable and to ensure that the Proxy Statement/Prospectus and Registration Statement comply in all material respects with the applicable provisions of the Securities Act and the Exchange Act. Parent shall use its reasonable best efforts to keep the Registration Statement effective as long as is necessary to consummate the transactions contemplated hereby. To the extent not prohibited by Law, each of Parent and the Company agrees to furnish to the other party all information concerning itself, its Subsidiaries, officers, directors, managers, stockholders, and other equityholders and information regarding such other matters, including, without limitation, cooperation to prepare pro forma financial statements and obtain auditor consents, in each case, as may be reasonably necessary or advisable or as may be reasonably requested in connection with the Proxy Statement/Prospectus, Registration Statement, a Form 8-K pursuant to the Exchange Act in connection with the transactions contemplated by this Agreement, or any other statement, filing, notice or application made by or on behalf of Parent, the Company or their respective Subsidiaries to the SEC, Nasdaq, or pursuant to any state securities or “blue sky” laws, in connection with the Merger, the Parent Share Issuance and the other transactions contemplated hereby. The Proxy Statement/Prospectus shall include (i) the Company Board Recommendation and (ii) the recommendation of the Company Board to the holders of Company Common Stock to vote in favor of approval of any resolution required by Rule 14a-21(c) under the Exchange Act to approve, on an advisory basis, the compensation required to be disclosed in the Registration Statement pursuant to Item 402(t) of Regulation S-K, except to the extent there has been a Change of Company Board Recommendation permitted by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The Company shall use its reasonable best efforts to cause the Proxy Statement/Prospectus to be filed with the SEC and mailed to its stockholders as promptly as practicable after the Registration Statement becomes effective. Each party shall promptly provide the other parties with copies of any written comments received from the SEC with respect to the Proxy Statement/Prospectus or the Registration Statement and promptly advise one another of any oral comments received from the SEC. Prior to filing the Registration Statement (or any amendment or supplement thereto) or mailing the Proxy Statement/Prospectus (or any amendment or supplement thereto) or responding to any comments of the SEC with respect thereto, each of the Company and Parent shall cooperate and provide the other parties a reasonable opportunity to review and comment on such document or response in advance (including the proposed final version of such document or response). If at any time prior to the Effective Time any information relating to Parent or the Company, or any of their respective affiliates, directors or officers, should be discovered by Parent or the Company which should be set forth in an amendment or supplement to either the Registration Statement or the Proxy Statement/Prospectus, so that either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and an appropriate amendment or supplement describing such information shall be promptly filed with the SEC and, to the extent required by Law, disseminated to the stockholders of the Company.</w:t>
      </w:r>
    </w:p>
    <w:p>
      <w:pPr>
        <w:spacing w:after="0" w:line="200"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9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make all necessary filings with respect to the Merger, the Parent Share Issuance and the other transactions contemplated hereby, in each case, as applicable, under the Securities Act and the Exchange Act and applicable “blue sky” laws and the rules and regulations thereunder. Each party shall advise the other, promptly after it receives notice thereof, of the time when the Registration Statement has become effective or any supplement or amendment has been filed, the issuance of any stop order, the suspension of the qualification of the Parent Common Stock issuable in connection with the Merger for offering or sale in any jurisdiction, or any request by the SEC for amendment of the Proxy Statement/Prospectus or the Registration Statement or comments thereon and responses thereto or requests by the SEC for additional information. No amendment or supplement to the Proxy Statement/Prospectus or the Registration Statement shall be filed without the approval of the parties, which approval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right of approval shall not apply with respect to documents filed by a party which are incorporated by reference in the Proxy Statement/Prospectus or the Registration Statement.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ind w:firstLine="1952"/>
        <w:spacing w:after="0" w:line="252" w:lineRule="auto"/>
        <w:tabs>
          <w:tab w:leader="none" w:pos="218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Reasonably promptly after the execution of this Agreement, the Company will conduct a broker search in anticipation of the Company Stockholders Meeting in compliance with SEC Rule 14a-13, assuming the earliest record date practicable and, from time to time, conduct additional broker searches as reasonably requested by Parent or as reasonably necessary to comply with the following sentence. The Company shall duly take all action necessary in accordance with the DGCL, the Company Charter, and the Company Bylaws to establish a record date for, duly call, give notice of, convene and hold the Company Stockholders Meeting as promptly as reasonably practicable after the Registration Statement has become effective (and in any event within thirty-five (35) calendar days after such declaration) for the purpose of obtaining the Required Company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record date for the Company Stockholders Meeting shall be determined by the Company with prior consultation with Parent. The Company agrees that, unless this Agreement is terminated and the transactions contemplated by this Agreement are abandoned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and, to the extent required by the terms and conditions of this Agreement, the Company has paid or caused to be paid to Parent the Company Termination Fee in accordance with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its obligation to hold the Company Stockholders Meeting pursuant to this </w:t>
      </w:r>
      <w:r>
        <w:rPr>
          <w:rFonts w:ascii="Times New Roman" w:cs="Times New Roman" w:eastAsia="Times New Roman" w:hAnsi="Times New Roman"/>
          <w:sz w:val="18"/>
          <w:szCs w:val="18"/>
          <w:u w:val="single" w:color="auto"/>
          <w:color w:val="auto"/>
        </w:rPr>
        <w:t>Section 6.1(c) </w:t>
      </w:r>
      <w:r>
        <w:rPr>
          <w:rFonts w:ascii="Times New Roman" w:cs="Times New Roman" w:eastAsia="Times New Roman" w:hAnsi="Times New Roman"/>
          <w:sz w:val="18"/>
          <w:szCs w:val="18"/>
          <w:color w:val="auto"/>
        </w:rPr>
        <w:t>shall not be affected by any Change of Company Board Recommendation. In connection with such meeting, the Company (i) shall use its reasonable best efforts to obtain the Required Company Vote and take all other action necessary or advisable to secure the Required Company Vote and otherwise comply with all legal requirements applicable to such meeting and</w:t>
      </w:r>
    </w:p>
    <w:p>
      <w:pPr>
        <w:spacing w:after="0" w:line="2" w:lineRule="exact"/>
        <w:rPr>
          <w:rFonts w:ascii="Times New Roman" w:cs="Times New Roman" w:eastAsia="Times New Roman" w:hAnsi="Times New Roman"/>
          <w:sz w:val="18"/>
          <w:szCs w:val="18"/>
          <w:color w:val="auto"/>
        </w:rPr>
      </w:pPr>
    </w:p>
    <w:p>
      <w:pPr>
        <w:jc w:val="both"/>
        <w:ind w:firstLine="8"/>
        <w:spacing w:after="0" w:line="250" w:lineRule="auto"/>
        <w:tabs>
          <w:tab w:leader="none" w:pos="2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submit any other proposal (other than matters of procedure and matters required by Law to be voted on by the Company’s stockholders in connection with the adoption of this Agreement and the approval of the transactions contemplated hereby and, if the Company Stockholders Meeting is also the Company’s annual stockholders meeting, proposals customarily brought in connection with the Company’s annual stockholders meeting) to Company stockholders in connection with the Company Stockholders Meeting without the prior written consent of Parent. The Company shall not change the record date or adjourn or postpone the Company Stockholders Meeting without Parent’s prior written consent. Notwithstanding the foregoing, the Company may adjourn or postpone the Company Stockholders Meeting without Parent’s prior written consent (A) after good faith consultation with the Company’s outside legal counsel and Parent, to the extent necessary to ensure that any supplement or amendment to the Proxy Statement/Prospectus required by Law is provided to the stockholders of the Company within a reasonable amount of time in advance of the Company Stockholders Meeting or</w:t>
      </w:r>
    </w:p>
    <w:p>
      <w:pPr>
        <w:spacing w:after="0" w:line="3"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if there are not sufficient affirmative votes in person or by proxy at such meeting to constitute quorum at the Company Stockholders Meeting or to obtain the Required Company Vote, to allow reasonable additional time for solicitation of proxies for purposes of obtaining a quorum or the Required Company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agreed to in writing by Parent, (x) any such adjournment or postponement shall be for a period of no more than ten (10) days and (y) the Company shall only be permitted to effect one (1) such adjournment or postponement pursuant to clause (B);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no postponement contemplated by clause (B) shall be permitted if it would require a change to the record date for the Company Stockholders Meeting, and (2) if requested by Parent, the Company shall effect an adjournment or postponement of the Company Stockholders Meeting on one or more occasions under the circumstances contemplated by clause (B). The Company shall, upon the reasonable request of Parent, advise Parent on a daily basis on each of the last seven (7) Business Days prior to the date of the Company Stockholders Meeting as to the aggregate tally of proxies received by the Company with respect to the Required Company Vote and other matters to be considered at the Company Stockholders Meeting.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1952"/>
        <w:spacing w:after="0" w:line="254" w:lineRule="auto"/>
        <w:tabs>
          <w:tab w:leader="none" w:pos="219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following the date hereof, the Company and Parent shall reasonably cooperate to (i) seek to determine whether the transactions set forth herein will require the filing of a prospectus under the Israeli Securities Laws, including by seeking to obtain a no-action letter from the ISA pursuant to which the transactions set forth herein will not require the filing of a prospectus under the Israeli Securities Law, or such other actions as the parties may reasonably determine are appropriate in connection with determining the applicability of any requirements relating to the filing of a prospectus under the Israeli Securities Laws in connection with the transactions contemplated by this Agreement and</w:t>
      </w:r>
    </w:p>
    <w:p>
      <w:pPr>
        <w:spacing w:after="0" w:line="3" w:lineRule="exact"/>
        <w:rPr>
          <w:rFonts w:ascii="Times New Roman" w:cs="Times New Roman" w:eastAsia="Times New Roman" w:hAnsi="Times New Roman"/>
          <w:sz w:val="18"/>
          <w:szCs w:val="18"/>
          <w:color w:val="auto"/>
        </w:rPr>
      </w:pPr>
    </w:p>
    <w:p>
      <w:pPr>
        <w:ind w:right="20" w:firstLine="8"/>
        <w:spacing w:after="0" w:line="260" w:lineRule="auto"/>
        <w:tabs>
          <w:tab w:leader="none" w:pos="31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actions as are reasonably required to comply with the applicable requirements of Israeli Securities Laws to effect the transactions contemplated hereby.</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3" w:lineRule="auto"/>
        <w:tabs>
          <w:tab w:leader="none" w:pos="218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hereof to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Company shall, and shall cause each Company Subsidiary to: (i) provide to the Parent Representatives reasonable access during normal business hours in such a manner as not to interfere unreasonably with the operation of any business conducted by the Company or any Company Subsidiary upon reasonable prior written notice to the Company, to the officers, employees, properties, offices and other facilities of the Company and each Company Subsidiary and to the books and records thereof, (ii) furnish during normal business hours upon prior notice such information concerning the business, properties, Contracts, assets and liabilities of the Company and each Company Subsidiary as Parent or any Parent Representative may reasonably request (other than any of the foregoing that relate to any Company Acquisition Proposal, subject to the disclosure requirements set forth in </w:t>
      </w:r>
      <w:r>
        <w:rPr>
          <w:rFonts w:ascii="Times New Roman" w:cs="Times New Roman" w:eastAsia="Times New Roman" w:hAnsi="Times New Roman"/>
          <w:sz w:val="18"/>
          <w:szCs w:val="18"/>
          <w:u w:val="single" w:color="auto"/>
          <w:color w:val="auto"/>
        </w:rPr>
        <w:t>Sections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(or to cause any Company Subsidiary to) afford such access or furnish such information to the extent that doing so would reasonably be expected to: (A) violate attorney-client or other legal privilege, (B) result in the disclosure of any trade secrets of third parties protected under the provisions of any agreement to which the Company or any Company Subsidiary is a party or (C) violate any applicable Law (including Regulatory Laws); provided that the Company shall use its reasonable best efforts to allow for such access or disclosure in a manner that does not violate any attorney-client privilege, contract or applicable Law.</w:t>
      </w:r>
    </w:p>
    <w:p>
      <w:pPr>
        <w:spacing w:after="0" w:line="18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Confidentiality Agreement, dated December 18, 2025, by and between Parent and the Company (the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the Clean Team Agreement, dated March 19, 2026, by and between Parent and the Company (the “</w:t>
      </w:r>
      <w:r>
        <w:rPr>
          <w:rFonts w:ascii="Times New Roman" w:cs="Times New Roman" w:eastAsia="Times New Roman" w:hAnsi="Times New Roman"/>
          <w:sz w:val="18"/>
          <w:szCs w:val="18"/>
          <w:u w:val="single" w:color="auto"/>
          <w:color w:val="auto"/>
        </w:rPr>
        <w:t>Clean Team Agreement</w:t>
      </w:r>
      <w:r>
        <w:rPr>
          <w:rFonts w:ascii="Times New Roman" w:cs="Times New Roman" w:eastAsia="Times New Roman" w:hAnsi="Times New Roman"/>
          <w:sz w:val="18"/>
          <w:szCs w:val="18"/>
          <w:color w:val="auto"/>
        </w:rPr>
        <w:t xml:space="preserve">”) shall each apply with respect to information furnished under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shall each survive any termination of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left="130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Company Non-Solicitation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1" w:lineRule="auto"/>
        <w:tabs>
          <w:tab w:leader="none" w:pos="220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provided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from and after the date hereof until the Effective Time or, if earlier,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Company shall not, and shall cause the Company Subsidiaries and each of its and their Company Representatives not to, directly or indirectly: (i) initiate, seek, facilitate, solicit or knowingly encourage (including by way of furnishing information or assistance of any kind) the submission of any Company Acquisition Proposal or any proposal, request or offer that could reasonably be expected to result in a Company Acquisition Proposal or induce or take any other action designed or intended to lead to, or that could reasonably be expected to lead to any inquiry with respect to, or the making, submission or announcement of, any Company Acquisition Proposal; (ii) enter into, continue or otherwise participate or engage in any discussions or negotiations with, or furnish (or cause to be furnished) any material nonpublic information to, any Person relating to a Company Acquisition Proposal or any inquiry or request that could reasonably be expected to lead to a Company Acquisition Proposal (other than informing any third party of the existence of the provisions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(iii) adopt, approve, authorize, declare advisable, endorse or recommend, or propose to adopt, approve, authorize, declare advisable, endorse or recommend or submit to the Company stockholders for their approval, any Company Acquisition Proposal; (iv) withdraw, change, amend, modify or qualify, or otherwise propose to withdraw, change, amend, modify or qualify, the Company Board Recommendation; (v) if a Company Acquisition Proposal has been publicly disclosed, fail to publicly recommend against any such Company Acquisition Proposal within ten (10)-Business Days after the public disclosure of such Company Acquisition Proposal (or subsequently withdraw, change, amend, modify or qualify, in a manner adverse to Parent, such rejection of such Company Acquisition Proposal) and reaffirm the Company Board Recommendation within such ten (10) Business Day period (or, if earlier, by the second (2nd) Business Day prior to the Company Stockholders Meeting); (vi) fail to include the Company Board Recommendation in the Proxy Statement/Prospectus; (vii) 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Company Acquisition Proposal, other than a Company Acceptable Confidentiality Agreement entered into in accordance with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(viii) grant a waiver of or terminate any “standstill” or similar obligation of any third party with respect to the Company or any of its Subsidiaries to allow such third party to submit a Company Acquisition Proposal; (ix) call or convene a meeting of the stockholders of the Company to consider a proposal that would reasonably be expected to materially impair, prevent or delay the consummation of the Merger and the other transactions contemplated by this Agreement; or (x) resolve or agree to do any of the foregoing (any action set forth in the foregoing clauses (iii), (iv), (v), (vi), (vii), (ix) or (x) (to the extent related to the foregoing clauses (iii), (iv) or (v)), a “</w:t>
      </w:r>
      <w:r>
        <w:rPr>
          <w:rFonts w:ascii="Times New Roman" w:cs="Times New Roman" w:eastAsia="Times New Roman" w:hAnsi="Times New Roman"/>
          <w:sz w:val="18"/>
          <w:szCs w:val="18"/>
          <w:u w:val="single" w:color="auto"/>
          <w:color w:val="auto"/>
        </w:rPr>
        <w:t>Change of Company Board Recommendation</w:t>
      </w:r>
      <w:r>
        <w:rPr>
          <w:rFonts w:ascii="Times New Roman" w:cs="Times New Roman" w:eastAsia="Times New Roman" w:hAnsi="Times New Roman"/>
          <w:sz w:val="18"/>
          <w:szCs w:val="18"/>
          <w:color w:val="auto"/>
        </w:rPr>
        <w:t>”). The Company shall, and shall cause the Company Subsidiaries and Company Representatives to, immediately cease and cause to be terminated any activities, discussions or negotiations existing as of the date hereof with any Persons conducted heretofore with respect to any Company Acquisition Proposal (or that could reasonably be expected to lead to a Company Acquisition Proposal). The Company shall promptly (and in any event, within forty-eight (48) hours after the execution of this Agreement) demand that each Person that has previously executed a confidentiality agreement promptly return to the Company or destroy (and confirm destruction of) all non-public information previously furnished or made available to such Person or any of its representatives by or on behalf of the Company or the Company Representatives in accordance with the terms of such confidentiality agreement (except with respect to any such confidentiality agreement as to which the Company has made such a demand prior to the date hereof) and shall remove all access to any dataroom or electronic materials from such Person.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1952"/>
        <w:spacing w:after="0" w:line="261" w:lineRule="auto"/>
        <w:tabs>
          <w:tab w:leader="none" w:pos="221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if at any time following the date hereof and prior to obtaining the Required Company Vote (i) the Company has received a bona fide unsolicited written Company Acquisition Proposal from a third party,</w:t>
      </w:r>
    </w:p>
    <w:p>
      <w:pPr>
        <w:jc w:val="both"/>
        <w:ind w:firstLine="8"/>
        <w:spacing w:after="0" w:line="251" w:lineRule="auto"/>
        <w:tabs>
          <w:tab w:leader="none" w:pos="26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not breached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with respect to such Company Acquisition Proposal, and (iii) the Company Board (or a duly authorized committee thereof) reasonably determines in good faith, after consultation with its outside counsel and, with respect to financial matters, its financial advisors, based on information then available, that such Company Acquisition Proposal constitutes or would reasonably be expected to result in a Company Superior Proposal, the Company may, including through one or more of the Company Representatives, (A) furnish information with respect to the Company and the Company Subsidiaries to the third party making such Company Acquisition Proposal, its representatives and potential sources of financing and (B) participate in discussions or negotiations with the third party making such Company Acquisition Proposal regarding such Company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and shall cause the Company Subsidiaries not to, take the actions described in the foregoing clauses (A) and (B) unless the Company Board (or a duly authorized committee thereof) determines in good faith, after consultation with outside counsel, that the failure to take such actions would be inconsistent with its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(x) shall not, and shall cause the Company Subsidiaries and Company Representatives not to, disclose any information to such third party without first entering into a Company Acceptable Confidentiality Agreement with such Person and (y) shall provide to Parent any such information concerning the Company or the Company Subsidiaries provided or made available to such other third party which was not previously provided or made available to Parent prior to or substantially concurrently with furnishing such information to such third party.</w:t>
      </w:r>
    </w:p>
    <w:p>
      <w:pPr>
        <w:spacing w:after="0" w:line="191" w:lineRule="exact"/>
        <w:rPr>
          <w:rFonts w:ascii="Times New Roman" w:cs="Times New Roman" w:eastAsia="Times New Roman" w:hAnsi="Times New Roman"/>
          <w:sz w:val="18"/>
          <w:szCs w:val="18"/>
          <w:color w:val="auto"/>
        </w:rPr>
      </w:pPr>
    </w:p>
    <w:p>
      <w:pPr>
        <w:jc w:val="both"/>
        <w:ind w:firstLine="1952"/>
        <w:spacing w:after="0" w:line="252" w:lineRule="auto"/>
        <w:tabs>
          <w:tab w:leader="none" w:pos="220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following the date hereof, the Company or any Company Subsidiary receives any (i) Company Acquisition Proposal (or inquiry, offer or request for discussions or negotiations that could reasonably be expected to lead to a Company Acquisition Proposal), (ii) any request for non-public information relating to the Company or any Company Subsidiary by any Person who has made or would reasonably be expected to make a Company Acquisition Proposal, or (iii) any inquiry or request for discussions or negotiations regarding any Company Acquisition Proposal, the Company shall promptly (and in any event within twenty-four (24) hours) (i) notify Parent orally or in writing of the receipt of such proposal, inquiry or request and (ii) advise Parent if the Company determines to begin providing information in connection with, or to engage in discussions or negotiations concerning, a Company Acquisition Proposal pursuant to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Such notice provided by the Company to Parent pursuant to this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shall include (I) the identity of the Person making the Company Acquisition Proposal, inquiry, offer or request, (II) if in writing, a copy of such Company Acquisition Proposal, inquiry, offer or request (and, if available, drafts of any Contract to effectuate such Company Acquisition Proposal) and copies of any financing commitments (but excluding any fee letters that are customarily redacted with respect thereto) received by the Company in connection therewith and (III) if made orally, a reasonably detailed summary of the material terms and conditions of such Company Acquisition Proposal. From the date of this Agreement until the earlier to occur of the termination of this Agreement pursuant to and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the Effective Time, the Company shall (i) keep Parent and Merger Sub reasonably informed of the status and any material changes to the material terms and conditions of any such Company Acquisition Proposal (including by providing unredacted copies of all amendments and proposed amendments provided to or by such Person) and (ii) shall notify Parent promptly (and, in any event, within 24 hours) after it first enters into discussions or negotiations concerning such Company Acquisition Proposal or provides non-public information or data to any Person relating thereto.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1952"/>
        <w:spacing w:after="0" w:line="253" w:lineRule="auto"/>
        <w:tabs>
          <w:tab w:leader="none" w:pos="219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if following the date hereof and prior to obtaining the Required Company Vote (i) (A) the Company has received a bona fide unsolicited written Company Acquisition Proposal (which is not withdrawn) that the Company Board (or any duly authorized committee thereof) determines in good faith, after consultation with its outside counsel and, with respect to financial matters, its financial advisors, constitutes a Company Superior Proposal or (B) the Company Board (or any duly authorized committee thereof) determines that a Company Intervening Event has occurred and is continuing and (ii) the Company Board (or any duly authorized committee thereof) reasonably determines in good faith, after consultation with outside counsel, that the failure to effect a Change of Company Board Recommendation in response to such Company Superior Proposal or Company Intervening Event would be inconsistent with its fiduciary duties under applicable Law, then the Company Board may, at any time prior to obtaining the Required Company Vote, effect a Change of Company Board Recommendation with respect to such Company Superior Proposal or Company Intervening Event (as applicable) or fail to include the Company Board Recommendation in the Proxy Statement/Prospectus, subject to the requirements of this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entitled to effect a Change of Company Board Recommendation pursuant to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unless,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w:t>
      </w:r>
    </w:p>
    <w:p>
      <w:pPr>
        <w:spacing w:after="0" w:line="206" w:lineRule="exact"/>
        <w:rPr>
          <w:rFonts w:ascii="Times New Roman" w:cs="Times New Roman" w:eastAsia="Times New Roman" w:hAnsi="Times New Roman"/>
          <w:sz w:val="18"/>
          <w:szCs w:val="18"/>
          <w:color w:val="auto"/>
        </w:rPr>
      </w:pPr>
    </w:p>
    <w:p>
      <w:pPr>
        <w:jc w:val="both"/>
        <w:ind w:firstLine="2600"/>
        <w:spacing w:after="0" w:line="258" w:lineRule="auto"/>
        <w:tabs>
          <w:tab w:leader="none" w:pos="28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to Parent at least five (5) Business Days’ prior written notice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of the Company’s intention to take such action, which notice shall include, (A) with respect to a Company Acquisition Proposal, the material terms and conditions of such Company Acquisition Proposal, and a copy of the available proposed transaction agreement to be entered into in respect of such Company Acquisition Proposal, or (B) with respect to a Company Intervening Event, a reasonably detailed summary of the Company Intervening Event that is the basis of such action;</w:t>
      </w:r>
    </w:p>
    <w:p>
      <w:pPr>
        <w:spacing w:after="0" w:line="183" w:lineRule="exact"/>
        <w:rPr>
          <w:rFonts w:ascii="Times New Roman" w:cs="Times New Roman" w:eastAsia="Times New Roman" w:hAnsi="Times New Roman"/>
          <w:sz w:val="18"/>
          <w:szCs w:val="18"/>
          <w:color w:val="auto"/>
        </w:rPr>
      </w:pPr>
    </w:p>
    <w:p>
      <w:pPr>
        <w:jc w:val="both"/>
        <w:ind w:firstLine="2600"/>
        <w:spacing w:after="0" w:line="258" w:lineRule="auto"/>
        <w:tabs>
          <w:tab w:leader="none" w:pos="285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Company Notice Period, if requested by Parent, the Company shall have, and shall have caused its legal and financial advisors to have, engaged in good faith negotiations with Parent regarding any amendment to this Agreement or any other agreement proposed by Parent intended to (A) with respect to a Company Acquisition Proposal, cause the relevant proposal to no longer constitute a Company Superior Proposal or, (B) with respect to a Company Intervening Event, permit the Company Board (consistent with its fiduciary duties under applicable Law) to not make a Change of Company Board Recommendation; and</w:t>
      </w:r>
    </w:p>
    <w:p>
      <w:pPr>
        <w:spacing w:after="0" w:line="183" w:lineRule="exact"/>
        <w:rPr>
          <w:rFonts w:ascii="Times New Roman" w:cs="Times New Roman" w:eastAsia="Times New Roman" w:hAnsi="Times New Roman"/>
          <w:sz w:val="18"/>
          <w:szCs w:val="18"/>
          <w:color w:val="auto"/>
        </w:rPr>
      </w:pPr>
    </w:p>
    <w:p>
      <w:pPr>
        <w:jc w:val="both"/>
        <w:ind w:firstLine="2600"/>
        <w:spacing w:after="0" w:line="258" w:lineRule="auto"/>
        <w:tabs>
          <w:tab w:leader="none" w:pos="296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Board (or any duly authorized committee thereof) shall have considered in good faith any adjustments and/or proposed amendments to this Agreement (including a change to the price terms hereof) and other agreements that may be offered in writing by Parent no later than 11:59 a.m., New York City time, on the last day of the Company Notice Period and shall have reasonably determined again in good faith, after consultation with outside legal counsel and, with respect to financial matters, its financial advisors, that the failure to effect a Change of Company Board Recommendation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would be inconsistent with its fiduciary duties under applicable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In the event of any material revisions to such Company Superior Proposal offered in writing by the party making such Company Superior Proposal or any material change to the facts and circumstances relating to a Company Intervening Event, as applicable, the Company shall be required to deliver a new written notice to Parent and to again comply with the requirements of this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xml:space="preserve"> with respect to such new written notice, except that the Company Notice Period shall be three (3) Business Days with respect to any such revised Company Superior Proposal, but no such new written notice shall shorten the original Company Notice Period.</w:t>
      </w:r>
    </w:p>
    <w:p>
      <w:pPr>
        <w:spacing w:after="0" w:line="183" w:lineRule="exact"/>
        <w:rPr>
          <w:sz w:val="20"/>
          <w:szCs w:val="20"/>
          <w:color w:val="auto"/>
        </w:rPr>
      </w:pPr>
    </w:p>
    <w:p>
      <w:pPr>
        <w:jc w:val="both"/>
        <w:ind w:right="20" w:firstLine="1952"/>
        <w:spacing w:after="0" w:line="261" w:lineRule="auto"/>
        <w:tabs>
          <w:tab w:leader="none" w:pos="218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 Change of Company Board Recommendation or any other provision of this Agreement to the contrary, unless this Agreement has been validly terminated pursuant to and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the Company shall cause the transactions contemplated by this Agreement, including the Merger, to be submitted to a vote of the stockholders of the Company at the Company Stockholders Meeting in order to obtain the Required Company Vote.</w:t>
      </w:r>
    </w:p>
    <w:p>
      <w:pPr>
        <w:spacing w:after="0" w:line="179"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prohibit the Company Board (or any duly authorized committee thereof) from</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to the stockholders of the Company a position contemplated by Rule 14e-2(a) or Rule 14d-9 promulgated under the Exchange Act; or</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7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disclosure to the stockholders of the Company to comply with applicable Law with regard to a Company Acquisition Proposal (it being agreed that the issuance by the Company or the Company Board of a “stop, look and listen” communication to the stockholders of the Company pursuant to Rule 14d-9(f) promulgated under the Exchange Act, shall not constitute a Change of Company Board Recommendation).</w:t>
      </w:r>
    </w:p>
    <w:p>
      <w:pPr>
        <w:spacing w:after="0" w:line="185" w:lineRule="exact"/>
        <w:rPr>
          <w:rFonts w:ascii="Times New Roman" w:cs="Times New Roman" w:eastAsia="Times New Roman" w:hAnsi="Times New Roman"/>
          <w:sz w:val="18"/>
          <w:szCs w:val="18"/>
          <w:color w:val="auto"/>
        </w:rPr>
      </w:pPr>
    </w:p>
    <w:p>
      <w:pPr>
        <w:ind w:right="20" w:firstLine="1952"/>
        <w:spacing w:after="0" w:line="282" w:lineRule="auto"/>
        <w:tabs>
          <w:tab w:leader="none" w:pos="221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violation of the restrictions provided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by any Company Subsidiary or Company Representative, as applicable, shall be deemed to be a breach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by the Company.</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5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it shall promptly inform the Company Representatives of the obligations undertaken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(x) permit the Company to terminate this Agreement or (y) affect any other obligation of the Company under this Agreement. Unless this Agreement shall have been earlier terminated, the Company shall not submit to the vote of its stockholders any Company Acquisition Proposal.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left="130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Appropriate Action; Consents;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2" w:lineRule="auto"/>
        <w:tabs>
          <w:tab w:leader="none" w:pos="2202"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Parent shall use their respective reasonable best efforts to (i) take, or cause to be taken, all appropriate action and do, or cause to be done, and to assist and cooperate with the parties in doing, all things necessary, proper or advisable under applicable Law or otherwise to consummate and make effective the Merger and the other transactions contemplated by this Agreement as promptly as practicable after the date hereof, (ii) take such actions as may be required to cause the expiration of the notice periods under Regulatory Laws with respect to such transactions as promptly as practicable after the date hereof, (iii) obtain from any Governmental Entities any consents, licenses, permits, waivers, approvals, authorizations or orders required to be obtained by Parent or the Company, or any of their respective Subsidiaries, in order to effect the Closing by not later than two Business Days prior to the Outside Date, and to avoid any Proceeding by any Governmental Entity (including those in connection with Regulatory Laws), in connection with the authorization, execution and delivery of this Agreement and the consummation of the transactions contemplated hereby, including the Merger, (iv) cause the satisfaction of all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and (v) as promptly as practicable, make or cause to be made all necessary applications and filings, and thereafter make any other required submissions, and pay any fees due in connection therewith (all such fees to be borne by Parent to the extent related to applications, filings or submissions with respect to this Agreement and the Merger required under any Regulatory Laws), with respect to this Agreement and the Merger required under any Regulatory Laws and any other applicable Law. The Company and Parent shall cooperate with each other in connection with (x) preparing and filing the Proxy Statement/Prospectus and Registration Statement and any Other Filings,</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6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determining whether any action by or in respect of, or filing with, any Governmental Entity is required, in connection with the consummation of the Merger and the transactions contemplated by this Agreement and (z) seeking any such actions, consents, approvals or waivers or making any such filings. The Company and Parent shall furnish to each other all information required for any application or other filing under the rules and regulations of any applicable Law in connection with the transactions contemplated by this Agreement, and the Company shall promptly and diligently (and, in any event, within five (5) calendar days following the date hereof) use reasonable best efforts to provide to Parent all information available to the Company or in the Company’s possession as requested by Parent and required to determine a final list of jurisdictions for the purposes of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of the Company Disclosure Schedule. The Company shall not consent to any voluntary extension of the Outside Date or otherwise delay the Closing at the behest of any Governmental Entity without the consent Parent. Notwithstanding anything to the contrary in this Agreement, Parent, and its affiliates, in connection with efforts to avoid or eliminate impediments under any antitrust, merger control, competition, or trade regulation Law that may be asserted by any Governmental Entity with respect to the Merger, are not obligated to, and, without the prior written consent of Parent, the Company, its Subsidiaries and their respective affiliates shall not, (A) propose, negotiate, commit to, or effect, by consent decree, hold separate order, or otherwise, the sale, divestiture, licensing or disposition of any assets, properties or businesses of Parent or the Company or any of their respective affiliates, (B) terminate, amend or assign existing relationships and contractual rights and obligations, (C) grant any right or commercial or other accommodation to, or enter into any material commercial contractual or other commercial relationship with, any third party, or (D) accept any operational restrictions or otherwise take or commit to take actions that limit Parent’s, Merger Sub’s, the Surviving Corporation’s or any of their respective affiliate’s freedom of action with respect to, or its or their ability to retain, any of the assets, properties, licenses, rights, product lines, operations or businesses of Parent, the Company or any of their respective affiliates. In addition, Parent, at Parent’s sole discretion, and the Company shall use their respective reasonable best efforts to defend through litigation and through appeal on the merits any claim asserted in court by any party in order to avoid entry of, or to have vacated or terminated, any Order (whether temporary, preliminary or permanent) that would prevent the Closing from occurring as promptly as practicable (and in any event, no later than the Outside Date), including seeking to lift or rescind any injunction or restraining order which may adversely affect the ability of the parties to consummate the transactions contemplated hereby, in each case, until the issuance of a final, non-appealable Order. The parties shall jointly develop, consult and cooperate with one another regarding the strategy for obtaining any necessary approval of, or responding to any request from, inquiry by, or investigation by (including directing the timing, nature and substance of all such responses), any Governmental Entity in connection with this Agreement and the transactions contemplated hereby, including determining the timing and content of any registrations, filings, agreements, forms, notices, petitions, statements, submissions of information, applications and other documents, communications and correspondence contemplated by, made in accordance with, or subject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Notwithstanding anything in this Agreement to the contrary, Parent shall, on behalf of the parties, control and direct all communications and strategy in dealing with any Governmental Entity under any Regulatory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consider in good faith the views and comments of the Company and its outside counsel with respect to such communications and strategies.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1952"/>
        <w:spacing w:after="0" w:line="254" w:lineRule="auto"/>
        <w:tabs>
          <w:tab w:leader="none" w:pos="219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give (or shall cause the Company Subsidiaries to give) any notices to third parties, and use, and cause the Company Subsidiaries to use, reasonable best efforts to obtain the third party consents, approvals or waivers identified on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of the Company Disclosure Schedule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make or agree to make any payment or accept any material conditions or obligations with respect thereto), and the Company and Parent shall coordinate and cooperate in seeking any such consents, approvals or waivers. In the event that the Company shall fail to obtain any third party consent described in the first sentence of this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the Company shall take any such actions reasonably requested by Parent (at Parent’s sole cost and expense), to minimize any adverse effect upon Parent and its Subsidiaries (including the Surviving Corporation and its Subsidiaries), and their respective businesses resulting after, or which would reasonably be expected to result after, the Effective Time from the failure to obtain such consent.</w:t>
      </w:r>
    </w:p>
    <w:p>
      <w:pPr>
        <w:spacing w:after="0" w:line="19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8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anything contained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each party shall: (i) give the other parties prompt notice of the making or commencement of any request, inquiry, investigation or Proceeding by or before any Governmental Entity with respect to the Merger or any of the other transactions contemplated by this Agreement; (ii) keep the other parties informed as to the status of any such request, inquiry, investigation or Proceeding; and (iii) promptly inform the other parties of any communication to or from any Governmental Entity regarding the Merger or any of the other transactions contemplated by this Agreement. Each party shall consult and cooperate with the other parties, and shall consider in good faith the views of the other parties in connection with any filing, analysis, appearance, presentation, memorandum, brief, argument, opinion or proposal made or submitted in connection with the Merger or any of the other transactions contemplated by this Agreement. In addition, except as may be prohibited by any Governmental Entity or by any Law, in connection with any such request, inquiry, investigation or Proceeding, each party shall permit authorized representatives of the other parties to be present at each meeting or conference relating to such request, inquiry, investigation or Proceeding and to have access to and be consulted in connection with any document, opinion or proposal made or submitted to any Governmental Entity in connection with such request, inquiry, investigation or Proceeding.</w:t>
      </w:r>
    </w:p>
    <w:p>
      <w:pPr>
        <w:spacing w:after="0" w:line="19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and shall cause its affiliates not to, acquire or agree to acquire a substantial portion of the equity or assets of, or other interests in, or merge or consolidate with (or agree to merge or consolidate with), any corporation, partnership, association or other business organization, or any business unit, division, subsidiary thereof, if such action would reasonably be expected to (i) result in any Governmental Entity seeking or entering an Order prohibiting the consummation of the Merger or any of the other transactions contemplated by this Agreement or (ii) otherwise prevent or materially delay the consummation of the Merger or any of the other transactions contemplated by this Agreement.</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8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give any party, directly or indirectly, the right to control or direct the operations of any other party prior to the consummation of the Merger. Prior to the Effective Time, the Company and Parent shall exercise, consistent with the terms and conditions of this Agreement, complete unilateral control and supervision over their respective business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Certain Notices</w:t>
      </w:r>
      <w:r>
        <w:rPr>
          <w:rFonts w:ascii="Times New Roman" w:cs="Times New Roman" w:eastAsia="Times New Roman" w:hAnsi="Times New Roman"/>
          <w:sz w:val="18"/>
          <w:szCs w:val="18"/>
          <w:color w:val="auto"/>
        </w:rPr>
        <w:t xml:space="preserve">. From and after the date hereof until the earlier of the Effective Time or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unless prohibited by applicable Law, each party shall promptly notify the other party of any material Effect that would reasonably be expected to cause any condition to the obligations of any party to effect the Merger or any other transactions contemplated by this Agreement not to be satisfied, including of the breach by a party of, or any other failure of a party to comply with or satisfy any, representation, warranty, covenant, condition or agreement made, or to be complied with or satisfied, by it pursuant to this Agreement which would reasonably be expected, individually or in the aggregate, to result in any condition to the obligations of any party to effect the Merger not to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cure any breach of any representation, warranty, covenant or agreement contained in this Agreement or otherwise limit or affect the remedies available hereunder to the party receiving such notice). Any such notice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affect any representation, warranty, covenant or agreement contained in this Agreement and any failure to make such notice (in and of itself) shall not be taken into account in determining whether the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have been satisfied or give rise to any right of termination set forth in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The Company shall promptly advise Parent, and give Parent the opportunity to participate in the defense, of any claim, demand, other correspondence related to stockholder litigation against the Company and/or its directors and officers, or any of them, in connection with or relating to the transactions contemplated by this Agreement (collectively, “</w:t>
      </w:r>
      <w:r>
        <w:rPr>
          <w:rFonts w:ascii="Times New Roman" w:cs="Times New Roman" w:eastAsia="Times New Roman" w:hAnsi="Times New Roman"/>
          <w:sz w:val="18"/>
          <w:szCs w:val="18"/>
          <w:u w:val="single" w:color="auto"/>
          <w:color w:val="auto"/>
        </w:rPr>
        <w:t>Company Transaction Litigation</w:t>
      </w:r>
      <w:r>
        <w:rPr>
          <w:rFonts w:ascii="Times New Roman" w:cs="Times New Roman" w:eastAsia="Times New Roman" w:hAnsi="Times New Roman"/>
          <w:sz w:val="18"/>
          <w:szCs w:val="18"/>
          <w:color w:val="auto"/>
        </w:rPr>
        <w:t xml:space="preserve">”), including the Merger, and shall keep Parent reasonably informed regarding any such Company Transaction Litigation. The Company shall give Parent the opportunity to consult with the Company regarding the defense or settlement of any such Company Transaction Litigation, and shall consider in good faith Parent’s views with respect to such Company Transaction Litigation. The Company shall not issue any supplemental disclosure, make any commitments with respect to, or otherwise settle or agree to settle any such Company Transaction Litigation without Parent’s prior written consent (which shall not be unreasonably withheld, conditioned or delayed). For purposes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“participate” means that Parent will be kept apprised of proposed strategy and other significant decisions with respect to any such Company Transaction Litigation by the Company (to the extent that the attorney-client privilege between the Company and its counsel is not undermined), and Parent may offer comments or suggestions with respect to such Company Transaction Litigation, which the Company shall consider in good faith, but will not be afforded any decision-making power or other authority over such Company Transaction Litigation except for the settlement consent set forth above.</w:t>
      </w:r>
    </w:p>
    <w:p>
      <w:pPr>
        <w:spacing w:after="0" w:line="19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So long as this Agreement is in effect, Parent and the Parent Subsidiaries, on the one hand, and the Company and the Company Subsidiaries, on the other, shall not issue any press release or make any public statement with respect to this Agreement or the transactions contemplated hereby without the prior written consent of the other party (which consent shall not be unreasonably withheld, conditioned or delayed), except (a) as may be required by applicable Law, or the rules or regulations of any applicable United States securities exchange or regulatory or governmental body to which the relevant party is subject, in which case the party required to make the release or announcement shall use its commercially reasonable efforts to allow each other party reasonable time to comment on such release or announcement in advance of such issuance, or (b) is consistent with prior communications previously consented to by the other parties. The press release announcing the execution and delivery of this Agreement shall be a joint release of, and shall not be issued prior to the approval of each of, the Company and Parent.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left="130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Employee Benefit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commencing on the Closing Date and ending on the last day of the year in which the Closing occurs, Parent shall, or shall cause one of its affiliates (including the Surviving Corporation and its Subsidiaries) to provide each Continuing Employee with (i) a total target cash opportunity (i.e., inclusive of an annual base salary or base wage rate and a target annual cash bonus opportunity, and excluding an equity or equity-linked compensation opportunity) and (ii) employee health and welfare benefits, in each case, that is or are, in Parent’s reasonable discretion, either (A) no less favorable in the aggregate than such target cash opportunity or benefits in effect for the Continuing Employee immediately prior to the Closing, or (B) no less favorable in the aggregate than such target cash opportunity or benefits provided to similarly situated employees of Parent or Parent’s affiliates. With respect to each Continuing Employee, if such employee experiences a “qualifying termination” (as defined on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of the Company Disclosure Schedule) during the period commencing on the Closing Date and ending on the last day of the year in which the Closing occurs, Parent shall, or shall cause one of its affiliates (including the Surviving Corporation and its Subsidiaries), to provide severance payments to such employee in accordance with the terms and conditions set forth on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of the Company Disclosure Schedule (taking into account such employee’s years of service as required pursuant to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(including purposes of vesting, eligibility to participate and level of benefits) under the employee benefit plans of Parent and its Subsidiaries providing benefits to any Continuing Employees after the Effective Time (the “</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xml:space="preserve">”), each Continuing Employee shall, subject to applicable law and applicable tax qualification requirements, be credited with his or her years of service with the Company and its Subsidiaries and their respective predecessors before the Effective Time, to the same extent as such Continuing Employee was entitled, before the Effective Time, to credit for such service under any similar Company Benefit Plan in which such Continuing Employee participated or was eligible to participate immediately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(i) to the extent that its application would result in a duplication of benefits, (ii) for purposes of any equity-based incentive plan, long-term incentive plan, pension plan, retiree welfare plan, or (iii) to any benefit plan that is a frozen plan or provides grandfathered benefits. In addition, and without limiting the generality of the foregoing, (i) each Continuing Employee shall be immediately eligible to participate, without any waiting time (other than any administrative delays in connection with any transition to Parent’s tax qualified defined contribution plan), in any New Plans to the extent coverage under such New Plan is of the same type as the Company Benefit Plan in which such Continuing Employee participated immediately before the Effective Time (such plans, collectively, the “</w:t>
      </w:r>
      <w:r>
        <w:rPr>
          <w:rFonts w:ascii="Times New Roman" w:cs="Times New Roman" w:eastAsia="Times New Roman" w:hAnsi="Times New Roman"/>
          <w:sz w:val="18"/>
          <w:szCs w:val="18"/>
          <w:u w:val="single" w:color="auto"/>
          <w:color w:val="auto"/>
        </w:rPr>
        <w:t>Old Plans</w:t>
      </w:r>
      <w:r>
        <w:rPr>
          <w:rFonts w:ascii="Times New Roman" w:cs="Times New Roman" w:eastAsia="Times New Roman" w:hAnsi="Times New Roman"/>
          <w:sz w:val="18"/>
          <w:szCs w:val="18"/>
          <w:color w:val="auto"/>
        </w:rPr>
        <w:t>”), and (ii)(A) for purposes of each New Plan providing medical, dental, pharmaceutical or vision benefits to any Continuing Employee, Parent or its applicable Subsidiary shall cause all preexisting condition exclusions and actively-at-work requirements of such New Plan to be waived for such Continuing Employee and his or her covered dependents, unless such conditions would not have been waived under the Old Plan in which such Continuing Employee participated immediately prior to the Effective Time and (B) Parent and its applicable Subsidiary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out-of-pocket requirements applicable to such employee and his or her covered dependents for the applicable plan year as if such amounts had been paid in accordance with such New Plan.</w:t>
      </w:r>
    </w:p>
    <w:p>
      <w:pPr>
        <w:spacing w:after="0" w:line="190"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directed by Parent in writing delivered to the Company not less than five Business Days prior to the Closing Date, the Company and each of the Company Subsidiaries shall adopt resolutions and take all such corporate action as is necessary to terminate each (i) 401(k) plan maintained, sponsored or contributed to by the Company or any of the Company Subsidiaries (collectively, the “</w:t>
      </w:r>
      <w:r>
        <w:rPr>
          <w:rFonts w:ascii="Times New Roman" w:cs="Times New Roman" w:eastAsia="Times New Roman" w:hAnsi="Times New Roman"/>
          <w:sz w:val="18"/>
          <w:szCs w:val="18"/>
          <w:u w:val="single" w:color="auto"/>
          <w:color w:val="auto"/>
        </w:rPr>
        <w:t>Company 401(k) Plans</w:t>
      </w:r>
      <w:r>
        <w:rPr>
          <w:rFonts w:ascii="Times New Roman" w:cs="Times New Roman" w:eastAsia="Times New Roman" w:hAnsi="Times New Roman"/>
          <w:sz w:val="18"/>
          <w:szCs w:val="18"/>
          <w:color w:val="auto"/>
        </w:rPr>
        <w:t xml:space="preserve">”), in each case, effective as of the day immediately prior to the Closing Date, and (ii) each Company Benefit Plan that is a “nonqualified deferred compensation plan” within the meaning of Section 409A of the Code. The Company shall provide Parent with evidence that such Company 401(k) Plans and nonqualified deferred compensation plans have been properly terminated, and the form of such termination documents shall be subject to the reasonable approval of Parent. In the event of the termination of any Company 401(k) Plan pursuant to this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(each such terminated Company 401(k) Plan, a “</w:t>
      </w:r>
      <w:r>
        <w:rPr>
          <w:rFonts w:ascii="Times New Roman" w:cs="Times New Roman" w:eastAsia="Times New Roman" w:hAnsi="Times New Roman"/>
          <w:sz w:val="18"/>
          <w:szCs w:val="18"/>
          <w:u w:val="single" w:color="auto"/>
          <w:color w:val="auto"/>
        </w:rPr>
        <w:t>Terminated Company 401(k) Plan</w:t>
      </w:r>
      <w:r>
        <w:rPr>
          <w:rFonts w:ascii="Times New Roman" w:cs="Times New Roman" w:eastAsia="Times New Roman" w:hAnsi="Times New Roman"/>
          <w:sz w:val="18"/>
          <w:szCs w:val="18"/>
          <w:color w:val="auto"/>
        </w:rPr>
        <w:t>”), Parent or the applicable Parent Subsidiary shall use commercially reasonable efforts to cause a defined contribution plan that is qualified under Section 401(a) of the Code, that includes a cash or deferred arrangement within the meaning of Section 401(k) of the Code and that is established or maintained by Parent or the applicable Parent Subsidiary to accept eligible rollover distributions (as defined in Section 402(c)(4) of the Code) from current and former employees of the Company and the Company Subsidiaries with respect to such individuals’ account balances (excluding loans) under such Terminated Company 401(k) Plan, if elected by any such individuals.</w:t>
      </w:r>
    </w:p>
    <w:p>
      <w:pPr>
        <w:spacing w:after="0" w:line="18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no provision of this Agreement shall be deemed to (i) guarantee employment for any period of time for, or preclude the ability of Parent or the Surviving Corporation to terminate the employment of, any Continuing Employee for any reason; (ii) require the Company, Parent or the Surviving Corporation to continue any Company Benefit Plan, Parent Benefit Plan or prevent the amendment, modification or termination thereof; or (iii) amend, terminate, establish or create any Company Benefit Plan or Parent Benefit Plan or other employee benefit plans or arrangements. The provisions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are solely for the benefit of the parties, and no Continuing Employee (including any beneficiary or dependent thereof) shall be regarded for any purpose as a third party beneficiary of this Agreement, and no provision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create such rights in any such persons.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left="1300"/>
        <w:spacing w:after="0"/>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7" w:lineRule="auto"/>
        <w:tabs>
          <w:tab w:leader="none" w:pos="2233"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period beginning at the Effective Time and ending six years after the Effective Time, the Surviving Corporation shall, and Parent shall cause the Surviving Corporation to, indemnify and hold harmless all past and present directors and officers of the Company or any Company Subsidiary (the “</w:t>
      </w:r>
      <w:r>
        <w:rPr>
          <w:rFonts w:ascii="Times New Roman" w:cs="Times New Roman" w:eastAsia="Times New Roman" w:hAnsi="Times New Roman"/>
          <w:sz w:val="17"/>
          <w:szCs w:val="17"/>
          <w:u w:val="single" w:color="auto"/>
          <w:color w:val="auto"/>
        </w:rPr>
        <w:t>Covered Persons</w:t>
      </w:r>
      <w:r>
        <w:rPr>
          <w:rFonts w:ascii="Times New Roman" w:cs="Times New Roman" w:eastAsia="Times New Roman" w:hAnsi="Times New Roman"/>
          <w:sz w:val="17"/>
          <w:szCs w:val="17"/>
          <w:color w:val="auto"/>
        </w:rPr>
        <w:t xml:space="preserve">”), subject to applicable Law, to the same extent such Covered Persons are indemnified as of the date hereof by the Company or any Company Subsidiary pursuant to applicable Law, the Company Charter, the Company Bylaws, the certificate of incorporation and bylaws (or equivalent organizational or governing documents) of any Company Subsidiary or indemnification agreements (that have been made available to Parent prior to the date hereof), if any, in existence on the date hereof with any directors or officers of the Company or any Company Subsidiary for any Proceedings arising out of acts or omissions in their capacity as directors or officers of the Company or any Company Subsidiary, as applicable, occurring at or prior to the Effective Time. The Surviving Corporation shall, and Parent shall cause the Surviving Corporation to, indemnify and hold harmless the Covered Persons to the fullest extent permitted by Law, for acts or omissions occurring in connection with the adoption and approval of this Agreement and the consummation of the transactions contemplated hereby. The Surviving Corporation shall, and Parent shall cause the Surviving Corporation to, advance expenses (including reasonable legal fees and expenses) incurred in the defense of any Proceeding or investigation with respect to the matters subject to indemnification pursuant to this </w:t>
      </w:r>
      <w:r>
        <w:rPr>
          <w:rFonts w:ascii="Times New Roman" w:cs="Times New Roman" w:eastAsia="Times New Roman" w:hAnsi="Times New Roman"/>
          <w:sz w:val="17"/>
          <w:szCs w:val="17"/>
          <w:u w:val="single" w:color="auto"/>
          <w:color w:val="auto"/>
        </w:rPr>
        <w:t>Section 6.9(a)</w:t>
      </w:r>
      <w:r>
        <w:rPr>
          <w:rFonts w:ascii="Times New Roman" w:cs="Times New Roman" w:eastAsia="Times New Roman" w:hAnsi="Times New Roman"/>
          <w:sz w:val="17"/>
          <w:szCs w:val="17"/>
          <w:color w:val="auto"/>
        </w:rPr>
        <w:t xml:space="preserve"> in accordance with the procedures set forth with respect to any Covered Person in the Company Charter, the Company Bylaws, the certificate of incorporation and bylaws (or equivalent organizational documents) of any Company Subsidiary, or indemnification agreements (that have been made available to Parent prior to the date hereof), if any, in existence on the date hereof with any directors and officers of the Company or any Company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Covered Person to whom expenses are advanced shall undertake to repay such advanced expenses by the Surviving Corporation, if it is ultimately determined by a final non-appealable judgment of a court of competent jurisdiction that such Covered Person is not entitled to indemnification pursuant to this </w:t>
      </w:r>
      <w:r>
        <w:rPr>
          <w:rFonts w:ascii="Times New Roman" w:cs="Times New Roman" w:eastAsia="Times New Roman" w:hAnsi="Times New Roman"/>
          <w:sz w:val="17"/>
          <w:szCs w:val="17"/>
          <w:u w:val="single" w:color="auto"/>
          <w:color w:val="auto"/>
        </w:rPr>
        <w:t>Section 6.9(a)</w:t>
      </w:r>
      <w:r>
        <w:rPr>
          <w:rFonts w:ascii="Times New Roman" w:cs="Times New Roman" w:eastAsia="Times New Roman" w:hAnsi="Times New Roman"/>
          <w:sz w:val="17"/>
          <w:szCs w:val="17"/>
          <w:color w:val="auto"/>
        </w:rPr>
        <w:t xml:space="preserve">. Notwithstanding anything herein to the contrary, if any Proceeding (whether arising before, at or after the Effective Time) is made against such persons with respect to matters subject to indemnification hereunder on or prior to the sixth anniversary of the Effective Time, the provisions of this </w:t>
      </w:r>
      <w:r>
        <w:rPr>
          <w:rFonts w:ascii="Times New Roman" w:cs="Times New Roman" w:eastAsia="Times New Roman" w:hAnsi="Times New Roman"/>
          <w:sz w:val="17"/>
          <w:szCs w:val="17"/>
          <w:u w:val="single" w:color="auto"/>
          <w:color w:val="auto"/>
        </w:rPr>
        <w:t>Section 6.9(a)</w:t>
      </w:r>
      <w:r>
        <w:rPr>
          <w:rFonts w:ascii="Times New Roman" w:cs="Times New Roman" w:eastAsia="Times New Roman" w:hAnsi="Times New Roman"/>
          <w:sz w:val="17"/>
          <w:szCs w:val="17"/>
          <w:color w:val="auto"/>
        </w:rPr>
        <w:t xml:space="preserve"> shall continue in effect until the final disposition of such Proceeding.</w:t>
      </w:r>
    </w:p>
    <w:p>
      <w:pPr>
        <w:spacing w:after="0" w:line="200" w:lineRule="exact"/>
        <w:rPr>
          <w:rFonts w:ascii="Times New Roman" w:cs="Times New Roman" w:eastAsia="Times New Roman" w:hAnsi="Times New Roman"/>
          <w:sz w:val="17"/>
          <w:szCs w:val="17"/>
          <w:color w:val="auto"/>
        </w:rPr>
      </w:pPr>
    </w:p>
    <w:p>
      <w:pPr>
        <w:spacing w:after="0" w:line="205" w:lineRule="exact"/>
        <w:rPr>
          <w:rFonts w:ascii="Times New Roman" w:cs="Times New Roman" w:eastAsia="Times New Roman" w:hAnsi="Times New Roman"/>
          <w:sz w:val="17"/>
          <w:szCs w:val="17"/>
          <w:color w:val="auto"/>
        </w:rPr>
      </w:pPr>
    </w:p>
    <w:p>
      <w:pPr>
        <w:jc w:val="both"/>
        <w:ind w:firstLine="1952"/>
        <w:spacing w:after="0" w:line="253" w:lineRule="auto"/>
        <w:tabs>
          <w:tab w:leader="none" w:pos="227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not less than six years from and after the Effective Time, the organizational documents of the Surviving Corporation shall contain provisions no less favorable with respect to exculpation, indemnification of and advancement of expenses to Covered Persons for periods at or prior to the Effective Time than are currently set forth with respect to any Covered Person, in the Company Charter, the Company Bylaws, the certificate of incorporation and bylaws, or equivalent organizational documents, of any Company Subsidiary in existence on the date hereof. For not less than six years from the Effective Time, the Surviving Corporation shall not amend, repeal or otherwise modify the exculpation, indemnification and advancement of expenses provisions of its or any of its Subsidiaries’ certificates of incorporation or by-laws or similar organizational documents as in effect immediately prior to the Effective Time in any manner that would adversely affect the rights thereunder of any Covered Person. In the event that Parent or the Surviving Corporation (i) consolidates with or merges into any other Person and is not the continuing or Surviving Corporation or entity of such consolidation or merger or (ii) transfers or conveys all or substantially all of its properties and assets to any Person, then, and in each such case, Parent or the Surviving Corporation (as applicable) shall cause proper provision to be made so that the successors and assigns of Parent or the Surviving Corporation (as applicable) assume the obligations set forth in this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unless such assumption occurs by operation of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1952"/>
        <w:spacing w:after="0" w:line="253" w:lineRule="auto"/>
        <w:tabs>
          <w:tab w:leader="none" w:pos="227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not less than six years from and after the Effective Time, Parent shall cause the Surviving Corporation to, and the Surviving Corporation shall, maintain in effect, the Company’s current directors’ and officers’ liability insurance policies covering acts or omissions occurring (or alleged to occur) prior to or at the Effective Time with respect to Covered Persons;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the Surviving Corporation be required to expend pursuant to this </w:t>
      </w:r>
      <w:r>
        <w:rPr>
          <w:rFonts w:ascii="Times New Roman" w:cs="Times New Roman" w:eastAsia="Times New Roman" w:hAnsi="Times New Roman"/>
          <w:sz w:val="18"/>
          <w:szCs w:val="18"/>
          <w:u w:val="single" w:color="auto"/>
          <w:color w:val="auto"/>
        </w:rPr>
        <w:t>Section 6.9(c)</w:t>
      </w:r>
      <w:r>
        <w:rPr>
          <w:rFonts w:ascii="Times New Roman" w:cs="Times New Roman" w:eastAsia="Times New Roman" w:hAnsi="Times New Roman"/>
          <w:sz w:val="18"/>
          <w:szCs w:val="18"/>
          <w:color w:val="auto"/>
        </w:rPr>
        <w:t xml:space="preserve"> more than an amount per year equal to 300% of current annual premiums paid by the Company for such insurance. In the event that, but for the proviso to the immediately preceding sentence, the Surviving Corporation would be required to expend more than 300% of current annual premiums, the Surviving Corporation shall obtain the maximum amount of such insurance obtainable by payment of annual premiums equal to 300% of current annual premiums. In lieu of the foregoing, the Company, in consultation with Parent, may (and at the request of Parent, the Company shall use its reasonable best efforts to) purchase at or prior to the Effective Time, and/or the Surviving Corporation may purchase following the Effective Time, a six-year “tail” prepaid officers’ and directors’ liability insurance policy in respect of acts or omissions occurring prior to the Effective Time covering each such Covered Person for an amount not to exceed 300% of current annual premiums. If such “tail” policy has been established by Parent or the Company, the Surviving Corporation shall not terminate such policy and shall cause all obligations of Parent or the Company thereunder to be honored by the Surviving Corporation.</w:t>
      </w:r>
    </w:p>
    <w:p>
      <w:pPr>
        <w:spacing w:after="0" w:line="18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5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Effective Time, the obligations under this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shall not be terminated or modified in any manner that is adverse to the Covered Persons (and their respective successors and assigns) without the consent of such affected Covered Person (or their respective successors and assigns) (it being expressly agreed that the Covered Persons (including successors and assigns) shall be third party beneficiaries of this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Effective Time, the Company shall take all such steps as may be reasonable necessary or appropriate to cause any dispositions of Company Common Stock (including derivative securities with respect to Company Common Stock) or acquisitions of Parent Common Stock (including derivative securities with respect to Parent Common Stock) resulting from the transactions contemplated hereby by each individual who is subject to the reporting requirements of Section 16(a) of the Exchange Act with respect to the Company to be exempt under Rule 16b-3 promulgated under the Exchange Act.</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Listing Matters</w:t>
      </w:r>
      <w:r>
        <w:rPr>
          <w:rFonts w:ascii="Times New Roman" w:cs="Times New Roman" w:eastAsia="Times New Roman" w:hAnsi="Times New Roman"/>
          <w:sz w:val="18"/>
          <w:szCs w:val="18"/>
          <w:color w:val="auto"/>
        </w:rPr>
        <w:t xml:space="preserve">. The Company and Parent shall cause the Company’s securities to be de-listed from the Nasdaq and the TASE and de-registered under the Exchange Act as promptly as practicable following the Effective Time;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delisting and termination shall not be effective until immediately after the Effective Time. Parent shall, and the Company shall cooperate with Parent to, use its reasonable best efforts to cause the shares of Parent Common Stock to be issued in connection with the Merger (including shares of Parent Common Stock to be reserved for issuance upon exercise of Assumed Options) to be approved for listing on the Nasdaq, subject to official notice of issuance, prior to the Effective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If any Takeover Statute becomes or is deemed to be applicable to the Company, the Merger or any other transaction contemplated by this Agreement, then the Company and the Company Board shall take all action reasonably available to it to render such Law inapplicable to the foregoing.</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Tax Benefits Preservation Plan</w:t>
      </w:r>
      <w:r>
        <w:rPr>
          <w:rFonts w:ascii="Times New Roman" w:cs="Times New Roman" w:eastAsia="Times New Roman" w:hAnsi="Times New Roman"/>
          <w:sz w:val="18"/>
          <w:szCs w:val="18"/>
          <w:color w:val="auto"/>
        </w:rPr>
        <w:t>. The Company acknowledges and agrees that it shall not (a) redeem the Company Rights, (b) amend the Tax Benefits Preservation Plan or (c) take any action that would allow any Person (as defined in the Tax Benefits Preservation Plan) other than the Parent Parties to “Beneficially Own” or become the “Beneficial Owner” or acquire “Beneficial Ownership” (as such terms are defined in the Tax Benefits Preservation Plan) of 4.9% or more of the outstanding shares of Company Common Stock without causing a “Distribution Date”, “Flip-In Trigger Date” or “Triggering Event” (as such terms are defined in the Tax Benefits Preservation Plan) to occur. The Company Board shall not (i) make a determination that the Parent Parties or any of their respective affiliates or associates is an “Acquiring Person” (as defined in the Tax Benefits Preservation Plan) for purposes of the Tax Benefits Preservation Plan or (ii) make a determination contrary to, or in any way revoke, rescind or modify the Tax Benefits Preservation Plan Waiver. Prior to the Closing, the Company shall take all such actions as may be necessary, including, for avoidance of doubt, amending the Tax Benefits Preservation Plan, to cause the Tax Benefits Preservation Plan to terminate, and all outstanding Company Rights to expire without value, immediately prior to the Effective Time. Prior to the Closing, the Company shall provide Parent with evidence, reasonably satisfactory to Parent, demonstrating the Company’s compliance with the covenant set forth in the preceding sentence.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Cooperation as to Integration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4" w:lineRule="auto"/>
        <w:tabs>
          <w:tab w:leader="none" w:pos="224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hereof until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Company shall, and shall cause each applicable Company Subsidiary, and cause (or cause the applicable Company Subsidiary to cause) each director, officer or employee of the Company or any Company Subsidiary, and direct (or cause the applicable Company Subsidiary to direct) any other applicable Company Representative to, use its reasonable best efforts to reasonably cooperate with Parent and the Parent Representatives as may be reasonably requested by Parent and the Parent Representatives from time to time, including by complying with the provisions of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(subject to the limitations contained therein), in connection with planning for the integration of the business operations, systems, processes and personnel of Parent and the Company (collectively, “</w:t>
      </w:r>
      <w:r>
        <w:rPr>
          <w:rFonts w:ascii="Times New Roman" w:cs="Times New Roman" w:eastAsia="Times New Roman" w:hAnsi="Times New Roman"/>
          <w:sz w:val="18"/>
          <w:szCs w:val="18"/>
          <w:u w:val="single" w:color="auto"/>
          <w:color w:val="auto"/>
        </w:rPr>
        <w:t>Integration Planning Activities</w:t>
      </w:r>
      <w:r>
        <w:rPr>
          <w:rFonts w:ascii="Times New Roman" w:cs="Times New Roman" w:eastAsia="Times New Roman" w:hAnsi="Times New Roman"/>
          <w:sz w:val="18"/>
          <w:szCs w:val="18"/>
          <w:color w:val="auto"/>
        </w:rPr>
        <w:t xml:space="preserve">”), in each case, subject to the proviso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applicable Law (including Regulatory Laws and Privacy and Security Laws).</w:t>
      </w:r>
    </w:p>
    <w:p>
      <w:pPr>
        <w:spacing w:after="0" w:line="19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5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of the Integration Planning Activities contemplated by </w:t>
      </w:r>
      <w:r>
        <w:rPr>
          <w:rFonts w:ascii="Times New Roman" w:cs="Times New Roman" w:eastAsia="Times New Roman" w:hAnsi="Times New Roman"/>
          <w:sz w:val="18"/>
          <w:szCs w:val="18"/>
          <w:u w:val="single" w:color="auto"/>
          <w:color w:val="auto"/>
        </w:rPr>
        <w:t>Section 6.14(a)</w:t>
      </w:r>
      <w:r>
        <w:rPr>
          <w:rFonts w:ascii="Times New Roman" w:cs="Times New Roman" w:eastAsia="Times New Roman" w:hAnsi="Times New Roman"/>
          <w:sz w:val="18"/>
          <w:szCs w:val="18"/>
          <w:color w:val="auto"/>
        </w:rPr>
        <w:t xml:space="preserve">, and subject to the proviso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6.2(a)</w:t>
      </w:r>
      <w:r>
        <w:rPr>
          <w:rFonts w:ascii="Times New Roman" w:cs="Times New Roman" w:eastAsia="Times New Roman" w:hAnsi="Times New Roman"/>
          <w:sz w:val="18"/>
          <w:szCs w:val="18"/>
          <w:color w:val="auto"/>
        </w:rPr>
        <w:t xml:space="preserve"> and applicable Law (including Regulatory Laws and Privacy and Security Laws), the Company shall, and shall cause each applicable Company Subsidiary, and cause (or cause the applicable Company Subsidiary to cause) each director, officer or employee of the Company or any Company Subsidiary, and direct (or cause the applicable Company Subsidiary to direct) any other applicable Company Representative to, reasonably cooperate with Parent (during normal business hours and in such a manner as not to interfere unreasonably with the operation of any business conducted by the Company or any Company Subsidiary), as may be reasonably requested by Parent or the Parent Representatives from time to time in connection with the preparation, development and implementation of a comprehensive integration plan covering all material functional areas of the Company and the Company Subsidiaries’ respective businesses and the identification of any operational efficiencies and revenue enhancement opportunities arising therefrom.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1952"/>
        <w:spacing w:after="0" w:line="255" w:lineRule="auto"/>
        <w:tabs>
          <w:tab w:leader="none" w:pos="22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Company’s written request to Parent, Parent will promptly reimburse the Company or any applicable Company Subsidiary on an as-incurred basis for any reasonable and documented out-of-pocket costs or expenses incurred or otherwise payable by the Company or any Company Subsidiary in connection with their cooperation or efforts pursuant to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costs or expenses incurred or otherwise payable by the Company or any Company Subsidiary in respect of services provided by a third party service provider to the Company or any Company Subsidiary in connection with any Integration Planning Activities shall be reimbursed by Parent pursuant to this Section 6.14(c) unless the Company or such Company Subsidiary shall have received Parent’s prior written consent to engage such third party service provider prior to the commencement of any such services.</w:t>
      </w:r>
    </w:p>
    <w:p>
      <w:pPr>
        <w:spacing w:after="0" w:line="188" w:lineRule="exact"/>
        <w:rPr>
          <w:rFonts w:ascii="Times New Roman" w:cs="Times New Roman" w:eastAsia="Times New Roman" w:hAnsi="Times New Roman"/>
          <w:sz w:val="18"/>
          <w:szCs w:val="18"/>
          <w:color w:val="auto"/>
        </w:rPr>
      </w:pPr>
    </w:p>
    <w:p>
      <w:pPr>
        <w:jc w:val="both"/>
        <w:ind w:right="20" w:firstLine="1952"/>
        <w:spacing w:after="0" w:line="261" w:lineRule="auto"/>
        <w:tabs>
          <w:tab w:leader="none" w:pos="228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that any Integration Planning Activities are intended solely for the purpose of facilitating the orderly integration of the businesses of Parent and the Company following the Closing, and shall not involve the implementation of any integration steps or operational changes prior the Effective Time (other than planning activities in anticipation thereof). Nothing in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shall be construed to permit Parent to, directly or indirectly, control or direct the operations of the Company or any Company Subsidiary prior to the Effective Time.</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Repayment of 2026 Notes; Note Restructuring Transactions</w:t>
      </w:r>
      <w:r>
        <w:rPr>
          <w:rFonts w:ascii="Times New Roman" w:cs="Times New Roman" w:eastAsia="Times New Roman" w:hAnsi="Times New Roman"/>
          <w:sz w:val="18"/>
          <w:szCs w:val="18"/>
          <w:color w:val="auto"/>
        </w:rPr>
        <w:t xml:space="preserve">. Prior to the Closing, (a) the Company shall use its reasonable best efforts to repurchase (effective as of or prior to the Closing) in full all of the 2026 Notes in accordance with that certain Indenture, dated as of December 4, 2020, by and between the Company, as issuer, and U.S. Bank National Association, as trustee and any other agreements governing the 2026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reasonable best efforts shall not require the Company to (i) repurchase any 2026 Notes at a price that exceeds the face amount thereof or (ii) utilize cash and cash equivalents of the Company and the Company Subsidiaries that the Company, acting reasonably and in good faith, determines is reasonably necessary and appropriate for the Company and the Company Subsidiaries to utilize for the payment of expenses in the ordinary course consistent with past practices; and (b) each of Parent and the Company shall, and shall each use their respective reasonable best efforts to cause each holder of Secured Notes to, cause the Notes Restructuring Transactions to be consummated in all material respects in accordance with the terms and subject to the conditions of the Notes Restructuring Agreement contemporaneously with, and contingent upon, the Closing.</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Director Resignations</w:t>
      </w:r>
      <w:r>
        <w:rPr>
          <w:rFonts w:ascii="Times New Roman" w:cs="Times New Roman" w:eastAsia="Times New Roman" w:hAnsi="Times New Roman"/>
          <w:sz w:val="18"/>
          <w:szCs w:val="18"/>
          <w:color w:val="auto"/>
        </w:rPr>
        <w:t>. The Company shall use its reasonable best efforts to cause to be delivered to Parent resignations, in form and substance reasonably acceptable to Parent, executed by each director of the Company in office as of immediately prior to the Effective Time and effective upon the Effective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CONSUMMATION OF THE MERGER</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Conditions to Obligations of Each Party Under This Agreement</w:t>
      </w:r>
      <w:r>
        <w:rPr>
          <w:rFonts w:ascii="Times New Roman" w:cs="Times New Roman" w:eastAsia="Times New Roman" w:hAnsi="Times New Roman"/>
          <w:sz w:val="18"/>
          <w:szCs w:val="18"/>
          <w:color w:val="auto"/>
        </w:rPr>
        <w:t>. The respective obligations of each party to consummate the Merger shall be subject to the satisfaction (or waiver, if permissible under Law) at or prior to the Effective Time of each of the following conditions:</w:t>
      </w:r>
    </w:p>
    <w:p>
      <w:pPr>
        <w:spacing w:after="0" w:line="162" w:lineRule="exact"/>
        <w:rPr>
          <w:sz w:val="20"/>
          <w:szCs w:val="20"/>
          <w:color w:val="auto"/>
        </w:rPr>
      </w:pPr>
    </w:p>
    <w:p>
      <w:pPr>
        <w:ind w:right="20" w:firstLine="1952"/>
        <w:spacing w:after="0" w:line="282" w:lineRule="auto"/>
        <w:tabs>
          <w:tab w:leader="none" w:pos="232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shall have obtained the Required Company Vote at the Company Stockholders Meeting (as such meeting may have been adjourned or postponed in accordance with this Agreement);</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7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w:t>
      </w:r>
      <w:r>
        <w:rPr>
          <w:rFonts w:ascii="Times New Roman" w:cs="Times New Roman" w:eastAsia="Times New Roman" w:hAnsi="Times New Roman"/>
          <w:sz w:val="18"/>
          <w:szCs w:val="18"/>
          <w:color w:val="auto"/>
        </w:rPr>
        <w:t>: No (i) Law or Order shall have been issued, entered, promulgated or enacted that restrains, enjoins, or otherwise prohibits or makes illegal the consummation of the Merger or (ii) injunction, Order or award restraining or enjoining, or otherwise prohibiting, the consummation of the Merger shall have been issued by any Governmental Entity having jurisdiction over any party and remain in force (each, a “</w:t>
      </w:r>
      <w:r>
        <w:rPr>
          <w:rFonts w:ascii="Times New Roman" w:cs="Times New Roman" w:eastAsia="Times New Roman" w:hAnsi="Times New Roman"/>
          <w:sz w:val="18"/>
          <w:szCs w:val="18"/>
          <w:u w:val="single" w:color="auto"/>
          <w:color w:val="auto"/>
        </w:rPr>
        <w:t>Legal Impediment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4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Law</w:t>
      </w:r>
      <w:r>
        <w:rPr>
          <w:rFonts w:ascii="Times New Roman" w:cs="Times New Roman" w:eastAsia="Times New Roman" w:hAnsi="Times New Roman"/>
          <w:sz w:val="18"/>
          <w:szCs w:val="18"/>
          <w:color w:val="auto"/>
        </w:rPr>
        <w:t xml:space="preserve">: Any required consents, authorizations, approvals, orders, filings and declarations required to be obtained prior to the consummation of the Merger pursuant to a Regulatory Law in any jurisdiction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of the Company Disclosure Schedule shall have been filed, occurred or been obtained (or any applicable waiting period thereunder shall have expired or been terminated), as applicable;</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24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Listing</w:t>
      </w:r>
      <w:r>
        <w:rPr>
          <w:rFonts w:ascii="Times New Roman" w:cs="Times New Roman" w:eastAsia="Times New Roman" w:hAnsi="Times New Roman"/>
          <w:sz w:val="18"/>
          <w:szCs w:val="18"/>
          <w:color w:val="auto"/>
        </w:rPr>
        <w:t>: The shares of Parent Common Stock to be issued in the Merger shall have been authorized and approved for listing on the Nasdaq, subject to official notice of issuance; and</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4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shall have been declared effective by the SEC under the Securities Act and shall not be the subject of any stop order.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Additional Conditions to Obligations of Parent and Merger Sub</w:t>
      </w:r>
      <w:r>
        <w:rPr>
          <w:rFonts w:ascii="Times New Roman" w:cs="Times New Roman" w:eastAsia="Times New Roman" w:hAnsi="Times New Roman"/>
          <w:sz w:val="18"/>
          <w:szCs w:val="18"/>
          <w:color w:val="auto"/>
        </w:rPr>
        <w:t>. The respective obligations of each Parent Party to consummate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shall be subject to the satisfaction (or waiver, if permissible under Law) at or prior to the Effective Time of each of the following conditions:</w:t>
      </w:r>
    </w:p>
    <w:p>
      <w:pPr>
        <w:spacing w:after="0" w:line="207" w:lineRule="exact"/>
        <w:rPr>
          <w:sz w:val="20"/>
          <w:szCs w:val="20"/>
          <w:color w:val="auto"/>
        </w:rPr>
      </w:pPr>
    </w:p>
    <w:p>
      <w:pPr>
        <w:jc w:val="both"/>
        <w:ind w:firstLine="1952"/>
        <w:spacing w:after="0" w:line="252" w:lineRule="auto"/>
        <w:tabs>
          <w:tab w:leader="none" w:pos="228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xml:space="preserve">: (i) The representations and warranties of the Company contained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be true and correct in all respects as of the date of this Agreement and as of the Closing Date with the same force and effect as if made on and as of such date (or, in the case of such representations and warranties that address matters only as of a particular date or time, as of such date or time),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(ii) the representations and warranties of the Company contained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shall be true and correct in all material respects (without giving effect to any qualifications as to materiality or Company Material Adverse Effect or other similar qualifications contained therein) as of the date of this Agreement and as of the Closing Date with the same force and effect as if made on and as of such date (or, in the case of such representations and warranties that address matters only as of a particular date or time, as of such date or time), (iii) the representations and warranties of the Company contained in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 xml:space="preserve"> shall be true and correct in all respects as of the date of this Agreement and as of the Closing Date with the same force and effect as if made on and as of such date, and (iv) all other representations and warranties of the Company contained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(except for those representations and warranties set forth in the foregoing clauses (i) through (iii)) shall be true and correct in all respects (without giving effect to any qualifications as to materiality or Company Material Adverse Effect or other similar qualifications contained therein) as of the date of this Agreement and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Company Material Adverse Effect;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ind w:right="20" w:firstLine="1952"/>
        <w:spacing w:after="0" w:line="282" w:lineRule="auto"/>
        <w:tabs>
          <w:tab w:leader="none" w:pos="225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the Company</w:t>
      </w:r>
      <w:r>
        <w:rPr>
          <w:rFonts w:ascii="Times New Roman" w:cs="Times New Roman" w:eastAsia="Times New Roman" w:hAnsi="Times New Roman"/>
          <w:sz w:val="18"/>
          <w:szCs w:val="18"/>
          <w:color w:val="auto"/>
        </w:rPr>
        <w:t>: The Company shall have performed or complied in all material respects with all covenants and agreements to be performed or complied with by it under this Agreement at or prior to the Closing;</w:t>
      </w:r>
    </w:p>
    <w:p>
      <w:pPr>
        <w:spacing w:after="0" w:line="161"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the date of this Agreement, no Company Material Adverse Effect shall have occurred;</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29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The Company shall have delivered to Parent a certificate, dated as of the Closing Date and signed by an executive officer of the Company, certifying that the conditions provided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have been satisfied;</w:t>
      </w:r>
    </w:p>
    <w:p>
      <w:pPr>
        <w:spacing w:after="0" w:line="161"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2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FIRPTA Certificate</w:t>
      </w:r>
      <w:r>
        <w:rPr>
          <w:rFonts w:ascii="Times New Roman" w:cs="Times New Roman" w:eastAsia="Times New Roman" w:hAnsi="Times New Roman"/>
          <w:sz w:val="18"/>
          <w:szCs w:val="18"/>
          <w:color w:val="auto"/>
        </w:rPr>
        <w:t>: The Company shall have delivered to Parent an affidavit, dated as of the Closing Date, sworn under penalty of perjury and in form and substance reasonably satisfactory to Parent in compliance with the Code and Treasury Regulations certifying that the transactions contemplated by this Agreement are exempt from withholding pursuant to Section 1445 of the Code; and</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22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 Restructuring Transactions</w:t>
      </w:r>
      <w:r>
        <w:rPr>
          <w:rFonts w:ascii="Times New Roman" w:cs="Times New Roman" w:eastAsia="Times New Roman" w:hAnsi="Times New Roman"/>
          <w:sz w:val="18"/>
          <w:szCs w:val="18"/>
          <w:color w:val="auto"/>
        </w:rPr>
        <w:t>: The Notes Restructuring Transactions shall have been consummated in accordance with the Notes Restructuring Agreement.</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Additional Conditions to Obligations of the Company</w:t>
      </w:r>
      <w:r>
        <w:rPr>
          <w:rFonts w:ascii="Times New Roman" w:cs="Times New Roman" w:eastAsia="Times New Roman" w:hAnsi="Times New Roman"/>
          <w:sz w:val="18"/>
          <w:szCs w:val="18"/>
          <w:color w:val="auto"/>
        </w:rPr>
        <w:t>. The obligations of the Company to consummate the Merger shall be subject to the satisfaction (or waiver, if permissible under Law) at or prior to the Effective Time of each of the following conditions:</w:t>
      </w:r>
    </w:p>
    <w:p>
      <w:pPr>
        <w:spacing w:after="0" w:line="162" w:lineRule="exact"/>
        <w:rPr>
          <w:sz w:val="20"/>
          <w:szCs w:val="20"/>
          <w:color w:val="auto"/>
        </w:rPr>
      </w:pPr>
    </w:p>
    <w:p>
      <w:pPr>
        <w:jc w:val="both"/>
        <w:ind w:firstLine="1952"/>
        <w:spacing w:after="0" w:line="253" w:lineRule="auto"/>
        <w:tabs>
          <w:tab w:leader="none" w:pos="224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Parent Parties</w:t>
      </w:r>
      <w:r>
        <w:rPr>
          <w:rFonts w:ascii="Times New Roman" w:cs="Times New Roman" w:eastAsia="Times New Roman" w:hAnsi="Times New Roman"/>
          <w:sz w:val="18"/>
          <w:szCs w:val="18"/>
          <w:color w:val="auto"/>
        </w:rPr>
        <w:t xml:space="preserve">: (i) Any representation or warranty of the Parent Parties contained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shall be true and correct in all material respects (without giving effect to any qualifications as to materiality or Parent Material Adverse Effect or other similar qualifications contained therein) as of the date of this Agreement and as of the Closing Date with the same force and effect as if made on and as of such date (or, in the case of such representations and warranties that address matters only as of a particular date or time, as of such date or time) and (ii) any other representation and warranty of the Parent Parties contained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(except for those representations and warranties set forth in the foregoing clause (i)) shall be true and correct in all respects (without giving effect to any qualifications as to materiality or Parent Material Adverse Effect or other similar qualifications contained therein) as of the date of this Agreement and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Parent Material Adverse Effect;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firstLine="1952"/>
        <w:spacing w:after="0" w:line="282" w:lineRule="auto"/>
        <w:tabs>
          <w:tab w:leader="none" w:pos="229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the Parent Parties</w:t>
      </w:r>
      <w:r>
        <w:rPr>
          <w:rFonts w:ascii="Times New Roman" w:cs="Times New Roman" w:eastAsia="Times New Roman" w:hAnsi="Times New Roman"/>
          <w:sz w:val="18"/>
          <w:szCs w:val="18"/>
          <w:color w:val="auto"/>
        </w:rPr>
        <w:t>: The Parent Parties shall have performed or complied in all material respects with all covenants and agreements to be performed or complied with by them under this Agreement at or prior to the Closing; and</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The Parent shall have delivered to the Company a certificate, dated as of the Closing Date and signed by an executive officer of Parent, certifying that the conditions provided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have been satisfied.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prior to the Effective Time, and the Merger and the other transactions contemplated hereby may be abandoned:</w:t>
      </w:r>
    </w:p>
    <w:p>
      <w:pPr>
        <w:spacing w:after="0" w:line="162" w:lineRule="exact"/>
        <w:rPr>
          <w:sz w:val="20"/>
          <w:szCs w:val="20"/>
          <w:color w:val="auto"/>
        </w:rPr>
      </w:pPr>
    </w:p>
    <w:p>
      <w:pPr>
        <w:ind w:left="2240" w:hanging="288"/>
        <w:spacing w:after="0"/>
        <w:tabs>
          <w:tab w:leader="none" w:pos="22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Consent</w:t>
      </w:r>
      <w:r>
        <w:rPr>
          <w:rFonts w:ascii="Times New Roman" w:cs="Times New Roman" w:eastAsia="Times New Roman" w:hAnsi="Times New Roman"/>
          <w:sz w:val="18"/>
          <w:szCs w:val="18"/>
          <w:color w:val="auto"/>
        </w:rPr>
        <w:t>: By mutual written consent of Parent and the Company;</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4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By either the Company or Parent if the Effective Time shall not have occurred on or before October 21, 2026 (the “</w:t>
      </w:r>
      <w:r>
        <w:rPr>
          <w:rFonts w:ascii="Times New Roman" w:cs="Times New Roman" w:eastAsia="Times New Roman" w:hAnsi="Times New Roman"/>
          <w:sz w:val="18"/>
          <w:szCs w:val="18"/>
          <w:u w:val="single" w:color="auto"/>
          <w:color w:val="auto"/>
        </w:rPr>
        <w:t>Initial 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the Initial Outside Date the conditions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(to the extent related to the Regulatory Laws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shall not be satisfied, but all other conditions to the Closing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either have been satisfied (other than conditions that by their nature can only be satisfied on the Closing Date) or waived by Parent, Merger Sub or the Company, as applicable, then the Outside Date shall automatically be extended to December 5, 2026 (the “</w:t>
      </w:r>
      <w:r>
        <w:rPr>
          <w:rFonts w:ascii="Times New Roman" w:cs="Times New Roman" w:eastAsia="Times New Roman" w:hAnsi="Times New Roman"/>
          <w:sz w:val="18"/>
          <w:szCs w:val="18"/>
          <w:u w:val="single" w:color="auto"/>
          <w:color w:val="auto"/>
        </w:rPr>
        <w:t>Extended Outside Date</w:t>
      </w:r>
      <w:r>
        <w:rPr>
          <w:rFonts w:ascii="Times New Roman" w:cs="Times New Roman" w:eastAsia="Times New Roman" w:hAnsi="Times New Roman"/>
          <w:sz w:val="18"/>
          <w:szCs w:val="18"/>
          <w:color w:val="auto"/>
        </w:rPr>
        <w:t>” and together with the Initial Outside Date,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unless Parent and the Company mutually agree in writing to an earlier Extended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shall not be available to any party whose material breach of any of its obligation under this Agreement is the primary cause of, or resulted in, the failure of the Effective Time to occur on or before the Initial Outside Date or the Extended Outside Date, as the case may be;</w:t>
      </w:r>
    </w:p>
    <w:p>
      <w:pPr>
        <w:spacing w:after="0" w:line="188" w:lineRule="exact"/>
        <w:rPr>
          <w:rFonts w:ascii="Times New Roman" w:cs="Times New Roman" w:eastAsia="Times New Roman" w:hAnsi="Times New Roman"/>
          <w:sz w:val="18"/>
          <w:szCs w:val="18"/>
          <w:color w:val="auto"/>
        </w:rPr>
      </w:pPr>
    </w:p>
    <w:p>
      <w:pPr>
        <w:jc w:val="both"/>
        <w:ind w:firstLine="1952"/>
        <w:spacing w:after="0" w:line="258" w:lineRule="auto"/>
        <w:tabs>
          <w:tab w:leader="none" w:pos="230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Impediment</w:t>
      </w:r>
      <w:r>
        <w:rPr>
          <w:rFonts w:ascii="Times New Roman" w:cs="Times New Roman" w:eastAsia="Times New Roman" w:hAnsi="Times New Roman"/>
          <w:sz w:val="18"/>
          <w:szCs w:val="18"/>
          <w:color w:val="auto"/>
        </w:rPr>
        <w:t xml:space="preserve">: By either the Company or Parent, if any Legal Impediment permanently restraining, enjoining or otherwise prohibiting or making illegal the Merger (or otherwise prohibiting the consummation of the Merger) shall have become final and non-appealable such that the condition specified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would not be satisfied at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shall not be available to any party whose material breach of any of its obligations under this Agreement is the primary cause of, or resulted in, the issuance of such Legal Impediment;</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7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Company Vote</w:t>
      </w:r>
      <w:r>
        <w:rPr>
          <w:rFonts w:ascii="Times New Roman" w:cs="Times New Roman" w:eastAsia="Times New Roman" w:hAnsi="Times New Roman"/>
          <w:sz w:val="18"/>
          <w:szCs w:val="18"/>
          <w:color w:val="auto"/>
        </w:rPr>
        <w:t>: By either the Company or Parent, if the Required Company Vote shall not have been obtained upon a vote taken thereon at the Company Stockholders Meeting (as such meeting may have been adjourned or postponed in accordance with this Agreement);</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30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Company Board Recommendation</w:t>
      </w:r>
      <w:r>
        <w:rPr>
          <w:rFonts w:ascii="Times New Roman" w:cs="Times New Roman" w:eastAsia="Times New Roman" w:hAnsi="Times New Roman"/>
          <w:sz w:val="18"/>
          <w:szCs w:val="18"/>
          <w:color w:val="auto"/>
        </w:rPr>
        <w:t xml:space="preserve">: By Parent, if (i) the Company Board shall have effected a Change of Company Board Recommendation or (ii) the Company shall have materially breached its obligations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1952"/>
        <w:spacing w:after="0" w:line="261" w:lineRule="auto"/>
        <w:tabs>
          <w:tab w:leader="none" w:pos="222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xml:space="preserve">: By the Company, prior to obtaining the Required Company Vote, if the Company Board (or a committee thereof) shall have determined to terminate this Agreement in order to substantially concurrently with such termination enter into a definitive agreement providing for a Company Superior Proposal; provided that (i) the Company has complied with its obligations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(ii) substantially concurrently with or prior to (and as a condition to) the termination of this Agreement, the Company pays to Parent the Company Termination Fee;</w:t>
      </w:r>
    </w:p>
    <w:p>
      <w:pPr>
        <w:spacing w:after="0" w:line="17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5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Breach</w:t>
      </w:r>
      <w:r>
        <w:rPr>
          <w:rFonts w:ascii="Times New Roman" w:cs="Times New Roman" w:eastAsia="Times New Roman" w:hAnsi="Times New Roman"/>
          <w:sz w:val="18"/>
          <w:szCs w:val="18"/>
          <w:color w:val="auto"/>
        </w:rPr>
        <w:t xml:space="preserve">: By Parent, if: (i) there has been a breach by the Company of its representations, warranties or covenants contained in this Agreement such that any condition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is not reasonably capable of being satisfied while such breach is continuing, (ii) Parent shall have delivered to the Company written notice of such breach and (iii) such breach is not capable of cure in a manner sufficient to allow satisfaction of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prior to the Outside Date or otherwise is not cured in a manner sufficient to allow satisfaction of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by the earlier of (x) the Business Day prior to the applicable Outside Date or (y) thirty (30) days following the date of delivery of such written notice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not terminate this Agreement pursuant to this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if Parent is then in material breach of any representation, warranty, covenant or agreement set forth in this Agreement that would result in the failure of any condition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or</w:t>
      </w:r>
    </w:p>
    <w:p>
      <w:pPr>
        <w:spacing w:after="0" w:line="19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31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Breach</w:t>
      </w:r>
      <w:r>
        <w:rPr>
          <w:rFonts w:ascii="Times New Roman" w:cs="Times New Roman" w:eastAsia="Times New Roman" w:hAnsi="Times New Roman"/>
          <w:sz w:val="18"/>
          <w:szCs w:val="18"/>
          <w:color w:val="auto"/>
        </w:rPr>
        <w:t xml:space="preserve">: By the Company, if: (i) there has been a breach by any Parent Party of any of their representations, warranties or covenants contained in this Agreement such that any condition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is not reasonably capable of being satisfied while such breach is continuing, (ii) the Company shall have delivered to Parent written notice of such breach and (iii) either such breach is not capable of cure in a manner sufficient to allow satisfaction of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prior to the Outside Date or otherwise is not cured in a manner sufficient to allow satisfaction of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by the earlier of (x) the Business Day prior to the applicable Outside Date or (y) or at least thirty (30) days following the date of delivery of such written notice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not terminate this Agreement pursuant to this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xml:space="preserve"> if the Company is then in material breach of any representation, warranty, covenant or agreement set forth in this Agreement that would result in the failure of any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to be satisfied.</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 Restructuring Agreement</w:t>
      </w:r>
      <w:r>
        <w:rPr>
          <w:rFonts w:ascii="Times New Roman" w:cs="Times New Roman" w:eastAsia="Times New Roman" w:hAnsi="Times New Roman"/>
          <w:sz w:val="18"/>
          <w:szCs w:val="18"/>
          <w:color w:val="auto"/>
        </w:rPr>
        <w:t xml:space="preserve">: By Parent, if the Notes Restructuring Agreement is terminated for any reason;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not terminate this Agreement pursuant to this </w:t>
      </w:r>
      <w:r>
        <w:rPr>
          <w:rFonts w:ascii="Times New Roman" w:cs="Times New Roman" w:eastAsia="Times New Roman" w:hAnsi="Times New Roman"/>
          <w:sz w:val="18"/>
          <w:szCs w:val="18"/>
          <w:u w:val="single" w:color="auto"/>
          <w:color w:val="auto"/>
        </w:rPr>
        <w:t>Section 8.1(i)</w:t>
      </w:r>
      <w:r>
        <w:rPr>
          <w:rFonts w:ascii="Times New Roman" w:cs="Times New Roman" w:eastAsia="Times New Roman" w:hAnsi="Times New Roman"/>
          <w:sz w:val="18"/>
          <w:szCs w:val="18"/>
          <w:color w:val="auto"/>
        </w:rPr>
        <w:t xml:space="preserve"> if such termination of the Notes Restructuring Agreement primarily results from Parent’s material breach of the provisions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valid termination of this Agreement by either the Company or Parent as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written notice thereof shall be given by the terminating party to the other parties specifying the provisions hereof pursuant to which such termination is made and the basis therefor described in reasonable detail, and this Agreement shall become void and there shall be no liability or obligation on the part of any party or their respective Subsidiaries, officers, directors, Parent Representatives or Company Representatives, as applicable, except with respect to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Notwithstanding anything herein to the contrary, nothing herein shall relieve any party for liabilities or damages incurred or suffered (including the loss to the stockholders of Parent or Company, as applicable, of the benefits of the transactions contemplated by this Agreement) as a result of a Willful and Material Breach or Fraud by the Company, on the one hand, or a Parent Party, on the other hand. No termination of this Agreement shall affect the obligations of the parties contained in the Confidentiality Agreement or the Clean Team Agreement, all of which obligations shall survive the termination of this Agreement in accordance with their terms.</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1" w:lineRule="auto"/>
        <w:tabs>
          <w:tab w:leader="none" w:pos="223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Parent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or by either the Company or Parent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8.1(d)</w:t>
      </w:r>
      <w:r>
        <w:rPr>
          <w:rFonts w:ascii="Times New Roman" w:cs="Times New Roman" w:eastAsia="Times New Roman" w:hAnsi="Times New Roman"/>
          <w:sz w:val="18"/>
          <w:szCs w:val="18"/>
          <w:color w:val="auto"/>
        </w:rPr>
        <w:t xml:space="preserve"> at a time when Parent would have been entitled to terminate this Agreement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then the Company shall pay, or cause to be paid, to Parent on the second (2nd) Business Day following such termination a termination fee equal to (i) $5,000,000,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an amount equal to Parent’s documented Expenses incurred prior to (and including) the date of the termination of this Agreement (the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0" w:firstLine="1952"/>
        <w:spacing w:after="0" w:line="282" w:lineRule="auto"/>
        <w:tabs>
          <w:tab w:leader="none" w:pos="224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the Company pursuant to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then the Company shall pay, or cause to be paid, to Parent the Company Termination Fee substantially concurrently with or prior to (and as a condition to) such termination.</w:t>
      </w:r>
    </w:p>
    <w:p>
      <w:pPr>
        <w:spacing w:after="0" w:line="16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3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(x) by the Company or Parent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and, at the time of such termination, all of the conditions to Closing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have been satisfied (other than conditions that by their nature can only be satisfied on the Closing Date) or waived by Parent, Merger Sub or the Company, as applicable, other than the condition set forth in </w:t>
      </w:r>
      <w:r>
        <w:rPr>
          <w:rFonts w:ascii="Times New Roman" w:cs="Times New Roman" w:eastAsia="Times New Roman" w:hAnsi="Times New Roman"/>
          <w:sz w:val="18"/>
          <w:szCs w:val="18"/>
          <w:u w:val="single" w:color="auto"/>
          <w:color w:val="auto"/>
        </w:rPr>
        <w:t>Section 7.2(f)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such condition to be satisfied did not primarily result from Parent’s material breach of the provisions of the Notes Restructuring Agreement, or (y) by Parent pursuant to </w:t>
      </w:r>
      <w:r>
        <w:rPr>
          <w:rFonts w:ascii="Times New Roman" w:cs="Times New Roman" w:eastAsia="Times New Roman" w:hAnsi="Times New Roman"/>
          <w:sz w:val="18"/>
          <w:szCs w:val="18"/>
          <w:u w:val="single" w:color="auto"/>
          <w:color w:val="auto"/>
        </w:rPr>
        <w:t>Section 8.1(i)</w:t>
      </w:r>
      <w:r>
        <w:rPr>
          <w:rFonts w:ascii="Times New Roman" w:cs="Times New Roman" w:eastAsia="Times New Roman" w:hAnsi="Times New Roman"/>
          <w:sz w:val="18"/>
          <w:szCs w:val="18"/>
          <w:color w:val="auto"/>
        </w:rPr>
        <w:t xml:space="preserve">, then the Company shall pay, or cause to be paid, to Parent the Company Termination Fee, no later than the second (2nd) Business Day following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in this Agreement to the contrary, solely for purposes of the Company’s obligation to pay or cause to be paid to Parent the Company Termination Fee pursuant to this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Parent’s documented Expenses shall be deemed to equal the lesser of (A) Parent’s documented Expenses actually incurred and (B) the Parent Expense Cap.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1952"/>
        <w:spacing w:after="0" w:line="252" w:lineRule="auto"/>
        <w:tabs>
          <w:tab w:leader="none" w:pos="228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and, in any such case, (i) a Company Acquisition Proposal shall have been publicly disclosed or announced or shall have become publicly known or made known to the Company Board or senior management of the Company, and shall not have been publicly withdrawn, in each case, after the date hereof and prior to the time of the Company Stockholders Meeting (in the case of a termination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or the date of such termination (in the case of a termination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and (ii) within twelve (12) months following such termination, the Company or any Company Subsidiary enters into a definitive agreement with respect to, or consummates, a Company Acquisition Proposal, then the Company shall pay, or caused to be paid, to Parent the Company Termination Fee no later than two Business Days following the consummation of such transaction. Notwithstanding the foregoing, in the event this Agreement is terminated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and the holders of the Secured Notes or any of their respective Related Funds (as defined in the Notes Restructuring Agreement), in each case, were not a Person or a part of a group of Persons (as defined in Section 13(d)(3) of the Exchange Act) that submitted the Company Acquisition Proposal described in </w:t>
      </w:r>
      <w:r>
        <w:rPr>
          <w:rFonts w:ascii="Times New Roman" w:cs="Times New Roman" w:eastAsia="Times New Roman" w:hAnsi="Times New Roman"/>
          <w:sz w:val="18"/>
          <w:szCs w:val="18"/>
          <w:u w:val="single" w:color="auto"/>
          <w:color w:val="auto"/>
        </w:rPr>
        <w:t>Section 8.3(d)(i)</w:t>
      </w:r>
      <w:r>
        <w:rPr>
          <w:rFonts w:ascii="Times New Roman" w:cs="Times New Roman" w:eastAsia="Times New Roman" w:hAnsi="Times New Roman"/>
          <w:sz w:val="18"/>
          <w:szCs w:val="18"/>
          <w:color w:val="auto"/>
        </w:rPr>
        <w:t xml:space="preserve"> and have otherwise complied in all material respects with their obligations under the Notes Restructuring Agreement prior to the date of such termination, the holders of the Secured Notes shall be entitled to propose to the Company a bona fide restructuring transaction and/or that the Company become subject to a voluntary or involuntary reorganization or restructuring under applicable Laws relating to bankruptcy, insolvency or the protection of creditors generally with respect to the Company and the Secured Notes or otherwise enter into a definitive agreement to effect such reorganization or restructuring process during the twelve (12) month period following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consummation of such restructuring transaction, (1) the Company shall pay, or cause to be paid, to Parent an amount equal to the lesser of (I) Parent’s documented Expenses incurred prior to (and including) the date of such termination and (II) the Parent Expense Cap and (2) without limiting the Company’s obligation pursuant to the foregoing clause (1), the Company shall not otherwise be required to pay or cause to be paid to Parent the Company Termination Fee. For purposes of this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the term “Company Acquisition Proposal” shall have the meaning assigned to such term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except that the references to “15%” and “85%” therein shall be deemed to be references to “50%”.</w:t>
      </w:r>
    </w:p>
    <w:p>
      <w:pPr>
        <w:spacing w:after="0" w:line="189" w:lineRule="exact"/>
        <w:rPr>
          <w:rFonts w:ascii="Times New Roman" w:cs="Times New Roman" w:eastAsia="Times New Roman" w:hAnsi="Times New Roman"/>
          <w:sz w:val="18"/>
          <w:szCs w:val="18"/>
          <w:color w:val="auto"/>
        </w:rPr>
      </w:pPr>
    </w:p>
    <w:p>
      <w:pPr>
        <w:ind w:right="20" w:firstLine="1952"/>
        <w:spacing w:after="0" w:line="282" w:lineRule="auto"/>
        <w:tabs>
          <w:tab w:leader="none" w:pos="223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under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made by wire transfer of immediately available funds to an account designated in writing by Parent, or in the absence of such designation, an account established for the sole benefit of Parent.</w:t>
      </w:r>
    </w:p>
    <w:p>
      <w:pPr>
        <w:spacing w:after="0" w:line="16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2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acknowledges and agrees (i) that the agreements contained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an integral part of the transactions contemplated by this Agreement, (ii) that without these agreements the parties would not enter into this Agreement, and (iii) that the Company Termination Fee is not a penalty, but rather is liquidated damages in a reasonable amount that will compensate Parent and Merger Sub in the circumstances in which such Company Termination Fee is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payment of the Company Termination Fee shall be considered in lieu of, or a replacement or substitution for, damages incurred in the event of Willful and Material Breach or Fraud. For the avoidance of doubt, in no event shall the Company be required to pay the Company Termination Fee on more than one occasion.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1952"/>
        <w:spacing w:after="0" w:line="254" w:lineRule="auto"/>
        <w:tabs>
          <w:tab w:leader="none" w:pos="224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fails to pay (or cause to be paid) the Company Termination Fee or, in the case of the penultimate sentence of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Parent’s Expenses up to the Parent Expense Cap, in each case when due, the Company shall pay to Parent, together with the Company Termination Fee (or, in the case of the penultimate sentence of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Parent’s Expenses up to the Parent Expense Cap), (A) interest on the Company Termination Fee (or, in the case of the penultimate sentence of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Parent’s Expenses up to the Parent Expense Cap), from the date of termination of this Agreement at a rate per annum equal to the Prime Rate in effect on the date that such payment was required to be made through the date that such payment was actually received and (B) Parent’s out-of-pocket costs and expenses (including reasonable attorneys’ fees) incurred in the collection of such overdue amounts, including in connection with any related Proceedings commenced. Notwithstanding anything herein to the contrary, the Company’s obligation to pay or cause to be paid Parent’s Expenses pursuant to and in accordance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subject to the Company’s receipt of written notice from Parent setting forth, in reasonable detail, the amount of Parent’s Expenses to be so paid.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xml:space="preserve">. None of the representations, warranties or covenants in this Agreement or in any instrument delivered pursuant to this Agreement shall survive the Effective Time except that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not limit any covenant or agreement of the parties which by its terms contemplates performance after the Effective Time, which shall survive to the extent expressly provided for herein.</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Except for (a) the expenses in connection with printing and mailing the Proxy Statement/Prospectus and Registration Statement and any Other Filings required in connection with the actions specified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(b) all SEC filing fees relating to the Merger and the transactions contemplated by this Agreement and (c) the fees in connection with the approvals required under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related to the Merger and the transactions contemplated by this Agreement (of which fees and expenses (A) set forth in clauses (a) and (b)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be borne, in each case, equally by Parent and the Company and (B) set forth in clause (c) shall be borne by Parent), all fees and expenses incurred in connection with the preparation, negotiation and performance of this Agreement and the consummation of the transactions contemplated by this Agreement shall be paid by the party incurring such expenses, whether or not the Merger are consummated.</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(a). Any notices or other communications required or permitted under, or otherwise given in connection with, this Agreement shall be in writing and shall be deemed to have been duly given (a) when delivered or sent if delivered in Person or sent by facsimile transmission (provided confirmation of facsimile transmission is obtained), (b) on the next Business Day if transmitted by national overnight courier or (c) on the date delivered if sent by email (to the extent no “bounce back” or similar message indicating non-delivery is received with respect thereto and delivery is followed within one Business Day pursuant to either clause (a) or (b)), in each case, as follows (or to such other Persons or addressees as may be designated in writing by the party to receive such notice):</w:t>
      </w:r>
    </w:p>
    <w:p>
      <w:pPr>
        <w:spacing w:after="0" w:line="187"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8"/>
          <w:szCs w:val="18"/>
          <w:color w:val="auto"/>
        </w:rPr>
        <w:t>If to any Parent Party, addressed to it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Keyvan Mohajer</w:t>
      </w:r>
    </w:p>
    <w:p>
      <w:pPr>
        <w:spacing w:after="0" w:line="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Warren Heit</w:t>
      </w:r>
    </w:p>
    <w:p>
      <w:pPr>
        <w:spacing w:after="0" w:line="9" w:lineRule="exact"/>
        <w:rPr>
          <w:sz w:val="20"/>
          <w:szCs w:val="20"/>
          <w:color w:val="auto"/>
        </w:rPr>
      </w:pPr>
    </w:p>
    <w:p>
      <w:pPr>
        <w:jc w:val="both"/>
        <w:ind w:left="1960"/>
        <w:spacing w:after="0"/>
        <w:tabs>
          <w:tab w:leader="none" w:pos="27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ind w:left="1300"/>
        <w:spacing w:after="0"/>
        <w:rPr>
          <w:sz w:val="20"/>
          <w:szCs w:val="20"/>
          <w:color w:val="auto"/>
        </w:rPr>
      </w:pPr>
      <w:r>
        <w:rPr>
          <w:rFonts w:ascii="Times New Roman" w:cs="Times New Roman" w:eastAsia="Times New Roman" w:hAnsi="Times New Roman"/>
          <w:sz w:val="18"/>
          <w:szCs w:val="18"/>
          <w:color w:val="auto"/>
        </w:rPr>
        <w:t>with a copy to (for information purposes only):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505 Montgomery Street, Suite 2000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Luke Bergstrom</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Max Schleusener</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Lauren Lefcoe</w:t>
      </w:r>
    </w:p>
    <w:p>
      <w:pPr>
        <w:spacing w:after="0" w:line="9" w:lineRule="exact"/>
        <w:rPr>
          <w:sz w:val="20"/>
          <w:szCs w:val="20"/>
          <w:color w:val="auto"/>
        </w:rPr>
      </w:pPr>
    </w:p>
    <w:p>
      <w:pPr>
        <w:ind w:left="1960"/>
        <w:spacing w:after="0"/>
        <w:tabs>
          <w:tab w:leader="none" w:pos="27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luke.bergstrom@lw.com</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max.schleusener@lw.com</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lauren.lefcoe@lw.com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 addressed to it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LivePerson, Inc.</w:t>
      </w:r>
    </w:p>
    <w:p>
      <w:pPr>
        <w:ind w:left="1960"/>
        <w:spacing w:after="0" w:line="205" w:lineRule="auto"/>
        <w:rPr>
          <w:sz w:val="20"/>
          <w:szCs w:val="20"/>
          <w:color w:val="auto"/>
        </w:rPr>
      </w:pPr>
      <w:r>
        <w:rPr>
          <w:rFonts w:ascii="Times New Roman" w:cs="Times New Roman" w:eastAsia="Times New Roman" w:hAnsi="Times New Roman"/>
          <w:sz w:val="18"/>
          <w:szCs w:val="18"/>
          <w:color w:val="auto"/>
        </w:rPr>
        <w:t>530 7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Floor M1</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John Collins</w:t>
      </w:r>
    </w:p>
    <w:p>
      <w:pPr>
        <w:spacing w:after="0" w:line="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Monica Greenberg</w:t>
      </w:r>
    </w:p>
    <w:p>
      <w:pPr>
        <w:spacing w:after="0" w:line="9" w:lineRule="exact"/>
        <w:rPr>
          <w:sz w:val="20"/>
          <w:szCs w:val="20"/>
          <w:color w:val="auto"/>
        </w:rPr>
      </w:pPr>
    </w:p>
    <w:p>
      <w:pPr>
        <w:ind w:left="1960"/>
        <w:spacing w:after="0"/>
        <w:tabs>
          <w:tab w:leader="none" w:pos="27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(for information purposes only):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Fried, Frank, Harris, Shriver &amp; Jacobson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One New York Plaza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Philip Richter</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Mark Hayek</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Adam Cohen</w:t>
      </w:r>
    </w:p>
    <w:p>
      <w:pPr>
        <w:spacing w:after="0" w:line="9" w:lineRule="exact"/>
        <w:rPr>
          <w:sz w:val="20"/>
          <w:szCs w:val="20"/>
          <w:color w:val="auto"/>
        </w:rPr>
      </w:pPr>
    </w:p>
    <w:p>
      <w:pPr>
        <w:ind w:left="1960"/>
        <w:spacing w:after="0"/>
        <w:tabs>
          <w:tab w:leader="none" w:pos="2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Philip.Richter@friedfrank.com</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Mark.Hayek@friedfrank.com</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Adam.Cohen@friedfrank.com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the term: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2026 Notes</w:t>
      </w:r>
      <w:r>
        <w:rPr>
          <w:rFonts w:ascii="Times New Roman" w:cs="Times New Roman" w:eastAsia="Times New Roman" w:hAnsi="Times New Roman"/>
          <w:sz w:val="18"/>
          <w:szCs w:val="18"/>
          <w:color w:val="auto"/>
        </w:rPr>
        <w:t>” means the Company’s 0% Convertible Senior Notes due 2026.</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 Person that directly or indirectly, through one or more intermediaries, controls, is controlled by, or is under common control with, the first-mentioned Person.</w:t>
      </w:r>
    </w:p>
    <w:p>
      <w:pPr>
        <w:spacing w:after="0" w:line="160"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Consideration Amount</w:t>
      </w:r>
      <w:r>
        <w:rPr>
          <w:rFonts w:ascii="Times New Roman" w:cs="Times New Roman" w:eastAsia="Times New Roman" w:hAnsi="Times New Roman"/>
          <w:sz w:val="18"/>
          <w:szCs w:val="18"/>
          <w:color w:val="auto"/>
        </w:rPr>
        <w:t xml:space="preserve">” means the sum of (a) the difference of (i) $ $42,784,532.64,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Company Shortfall Cash,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(b) the Aggregate Exercise Price.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Exercise Price</w:t>
      </w:r>
      <w:r>
        <w:rPr>
          <w:rFonts w:ascii="Times New Roman" w:cs="Times New Roman" w:eastAsia="Times New Roman" w:hAnsi="Times New Roman"/>
          <w:sz w:val="18"/>
          <w:szCs w:val="18"/>
          <w:color w:val="auto"/>
        </w:rPr>
        <w:t>” means the aggregate dollar amount of the exercise prices of all In-the-Money Company Options (other than Assumed Options).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“AI Inputs</w:t>
      </w:r>
      <w:r>
        <w:rPr>
          <w:rFonts w:ascii="Times New Roman" w:cs="Times New Roman" w:eastAsia="Times New Roman" w:hAnsi="Times New Roman"/>
          <w:sz w:val="18"/>
          <w:szCs w:val="18"/>
          <w:color w:val="auto"/>
        </w:rPr>
        <w:t>” shall mean data, work of authorship, text or other content used or relied upon by any aspect of AI Technologies to generate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AI Output.‎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Output</w:t>
      </w:r>
      <w:r>
        <w:rPr>
          <w:rFonts w:ascii="Times New Roman" w:cs="Times New Roman" w:eastAsia="Times New Roman" w:hAnsi="Times New Roman"/>
          <w:sz w:val="18"/>
          <w:szCs w:val="18"/>
          <w:color w:val="auto"/>
        </w:rPr>
        <w:t>” shall mean any data, work of authorship, text or other content that is generated by any AI Technologies.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Technologies</w:t>
      </w:r>
      <w:r>
        <w:rPr>
          <w:rFonts w:ascii="Times New Roman" w:cs="Times New Roman" w:eastAsia="Times New Roman" w:hAnsi="Times New Roman"/>
          <w:sz w:val="18"/>
          <w:szCs w:val="18"/>
          <w:color w:val="auto"/>
        </w:rPr>
        <w:t>” shall mean any Software or other technology related to deep learning, machine learning, self-improving, generative</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artificial intelligence or other artificial intelligence fields including, but not limited to, those that use of or employ‎ neural networks,‎ statistical learning algorithms (like linear and logistic regression, support vector ‎machines, ‎random forests, k-means clustering), or reinforcement learning.</w:t>
      </w:r>
    </w:p>
    <w:p>
      <w:pPr>
        <w:spacing w:after="0" w:line="181"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U.S. and non-U.S. Laws relating to the prevention of corruption and bribery, including, without limitation, the U.S. Foreign Corrupt Practices Act of 1977, as amended, and the UK Bribery Act 2010, as amended.</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(and related terms such as “beneficially owned” or “beneficial owner”) has the meaning set forth in Rule 13d-3 under the Exchange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has the meaning set forth in Rule 14d-1(g)(3) under the Exchange Act.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Merger Consideration</w:t>
      </w:r>
      <w:r>
        <w:rPr>
          <w:rFonts w:ascii="Times New Roman" w:cs="Times New Roman" w:eastAsia="Times New Roman" w:hAnsi="Times New Roman"/>
          <w:sz w:val="18"/>
          <w:szCs w:val="18"/>
          <w:color w:val="auto"/>
        </w:rPr>
        <w:t xml:space="preserve">” means the number of shares of Parent Common Stock derived from dividing (a) the Aggregate Consideration Amount, </w:t>
      </w:r>
      <w:r>
        <w:rPr>
          <w:rFonts w:ascii="Times New Roman" w:cs="Times New Roman" w:eastAsia="Times New Roman" w:hAnsi="Times New Roman"/>
          <w:sz w:val="18"/>
          <w:szCs w:val="18"/>
          <w:i w:val="1"/>
          <w:iCs w:val="1"/>
          <w:u w:val="single" w:color="auto"/>
          <w:color w:val="auto"/>
        </w:rPr>
        <w:t>by</w:t>
      </w:r>
      <w:r>
        <w:rPr>
          <w:rFonts w:ascii="Times New Roman" w:cs="Times New Roman" w:eastAsia="Times New Roman" w:hAnsi="Times New Roman"/>
          <w:sz w:val="18"/>
          <w:szCs w:val="18"/>
          <w:color w:val="auto"/>
        </w:rPr>
        <w:t xml:space="preserve"> (b) the Parent Closing Stock Price.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means any collective bargaining agreement, works council agreement, or other agreement, understanding or Contract (including any addenda, side letter, memorandum of understanding, letter of assent, neutrality agreement or ancillary agreement thereto) with any Union.</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Acceptable Confidentiality Agreement</w:t>
      </w:r>
      <w:r>
        <w:rPr>
          <w:rFonts w:ascii="Times New Roman" w:cs="Times New Roman" w:eastAsia="Times New Roman" w:hAnsi="Times New Roman"/>
          <w:sz w:val="18"/>
          <w:szCs w:val="18"/>
          <w:color w:val="auto"/>
        </w:rPr>
        <w:t xml:space="preserve">” means a confidentiality agreement entered into by the Company after the date hereof, in either case, that contains confidentiality provisions that are no less favorable in the aggregate to the Company than those contained in the Confidentiality Agreement and do not in any way restrict the Company or its representatives from complying with its disclosure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confidentiality agreement need not contain any standstill provision and shall not include any provision conflicting with or otherwise impairing the Company’s ability to comply with its obligations under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Acquisition Proposal</w:t>
      </w:r>
      <w:r>
        <w:rPr>
          <w:rFonts w:ascii="Times New Roman" w:cs="Times New Roman" w:eastAsia="Times New Roman" w:hAnsi="Times New Roman"/>
          <w:sz w:val="18"/>
          <w:szCs w:val="18"/>
          <w:color w:val="auto"/>
        </w:rPr>
        <w:t>” means any offer, proposal or indication of interest from any Person or group of Persons as defined in Section 13(d)(3) of the Exchange Act (other than Parent and the Parent Subsidiaries) at any time relating to any transaction or series of related transactions (other than the Merger) involving: (a) any acquisition or purchase by any person, directly or indirectly, of more than fifteen percent (15%) of any class of outstanding voting or equity securities of the Company (whether by voting power or number of shares), or any tender offer (including a self-tender offer) or exchange offer that, if consummated, would result in any person beneficially owning more than fifteen percent (15%) of any class of outstanding voting or equity securities of the Company (whether by voting power or number of shares); (b) any merger, consolidation, share exchange, business combination, joint venture, recapitalization, reorganization or other similar transaction involving the Company and a person pursuant to which the stockholders of the Company immediately preceding such transaction hold less than eighty five percent (85%) of the equity interests in the surviving, resulting or ultimate parent entity of such transaction (whether by voting power or number of shares); or (c) any sale, lease, exchange, transfer or other disposition to a person of more than fifteen percent (15%) of the consolidated assets of the Company and the Company Subsidiaries (measured by the fair market value thereof).</w:t>
      </w:r>
    </w:p>
    <w:p>
      <w:pPr>
        <w:spacing w:after="0" w:line="19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means each Employee Benefit Plan that is sponsored, maintained, contributed to, or required to be contributed to, by the Company or any of the Company Subsidiaries.</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Cash Balance</w:t>
      </w:r>
      <w:r>
        <w:rPr>
          <w:rFonts w:ascii="Times New Roman" w:cs="Times New Roman" w:eastAsia="Times New Roman" w:hAnsi="Times New Roman"/>
          <w:sz w:val="18"/>
          <w:szCs w:val="18"/>
          <w:color w:val="auto"/>
        </w:rPr>
        <w:t xml:space="preserve">” means the amount of cash and cash equivalents in the final Estimated Closing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Company Cash Balance will give pro forma effect (i.e., as a deduction) for all amounts payable by the Company that remain unpaid in connection with the transactions contemplated by this Agreement, the Notes Restructuring Agreement, and any similar or alternative transactions involving the Company, its stockholders and/or the Secured Notes (including transactions with other potential acquirers or investors and including any debt restructuring transactions), if any, in connection with the transactions preceding and/or related to the transactions contemplated hereby (which may be as little as zero dollars ($0)), including (i) all unpaid Company Transaction Expenses, (ii) unpaid amounts used or to be used to repurchase and retire or extinguish 2026 Notes between April 1, 2026, and the Closing Date, if any, and (iii) the amount to be remitted to the holders of First Lien Notes by the Company under ‎Section 2.01(b)(i) of the Notes Restructuring Agreement and to the holders of Second Lien Notes under Section 2.01(c)(i) under the Notes Restructuring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fees and expenses payable by the Company pursuant to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shall be excluded from “Company Cash Balance” hereunder.</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w:t>
      </w:r>
      <w:r>
        <w:rPr>
          <w:rFonts w:ascii="Times New Roman" w:cs="Times New Roman" w:eastAsia="Times New Roman" w:hAnsi="Times New Roman"/>
          <w:sz w:val="18"/>
          <w:szCs w:val="18"/>
          <w:color w:val="auto"/>
        </w:rPr>
        <w:t>” means each Company Option and Company RSU Award.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 means (a) the Company’s Amended and Restated 2019 Stock Incentive Plan and (b) the Company’s Amended and Restated 2018 Inducement Plan.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means the Company’s 2019 Employee Stock Purchase Plan,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Intervening Event</w:t>
      </w:r>
      <w:r>
        <w:rPr>
          <w:rFonts w:ascii="Times New Roman" w:cs="Times New Roman" w:eastAsia="Times New Roman" w:hAnsi="Times New Roman"/>
          <w:sz w:val="18"/>
          <w:szCs w:val="18"/>
          <w:color w:val="auto"/>
        </w:rPr>
        <w:t xml:space="preserve">” means any Effect occurring or arising after the date of this Agreement that is material to the Company and the Company Subsidiaries (taken as a whole) that (a) was not known or reasonably foreseeable to the Company or the Company Board as of or prior to the date hereof and becomes known to the Company Board following the date of this Agreement and (b) does not involve or relate to a Company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of the following Effects constitute a Company Intervening Event: (i) changes in the price or trading volume of the Company Common Stock or Parent Common Stock (it being understood that the facts or occurrences giving rise to or contributing to such changes may be taken into account in determining whether there has been a Company Intervening Event) or changes in the credit rating of the Company or Parent,</w:t>
      </w:r>
    </w:p>
    <w:p>
      <w:pPr>
        <w:spacing w:after="0" w:line="5" w:lineRule="exact"/>
        <w:rPr>
          <w:sz w:val="20"/>
          <w:szCs w:val="20"/>
          <w:color w:val="auto"/>
        </w:rPr>
      </w:pPr>
    </w:p>
    <w:p>
      <w:pPr>
        <w:jc w:val="both"/>
        <w:ind w:firstLine="8"/>
        <w:spacing w:after="0" w:line="252" w:lineRule="auto"/>
        <w:tabs>
          <w:tab w:leader="none" w:pos="28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Parent meeting, failing to meet, or exceeding any internal or published projections, forecasts, estimates or predictions in respect of revenues, earnings or other financial or operating metrics for any period (it being understood that the facts or occurrences giving rise to or contributing to such circumstances may be taken into account in determining whether there has been a Company Intervening Event), (iii) changes in general economic, political, regulatory, legislative or financial conditions or markets (including changes in interest rates, exchange rates, stock, bond or debt prices), (iv) changes in GAAP, other applicable accounting rules or applicable Law or, in any such case, changes in the interpretation thereof, or (v) natural disasters, epidemics or pandemics.</w:t>
      </w:r>
    </w:p>
    <w:p>
      <w:pPr>
        <w:spacing w:after="0" w:line="19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change, event, occurrence, condition or development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individually or in the aggregate, has or would reasonably be expected to have a material adverse effect on the business, condition (financial or otherwise), assets, liabilities, operations or results of operations of the Company and the Company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Effects arising out of, or resulting from the following shall not constitute a Company Material Adverse Effect, and shall not otherwise be taken into account in determining whether a Company Material Adverse Effect has occurred or would reasonably be expected to occur, except that Effects with respect to clauses (a), (b) or (c) of the below shall be considered to the extent such Effect disproportionately and adversely impacts the Company or the Company Subsidiaries, taken as a whole, relative to the other companies operating in the same industries: (a) changes in applicable Law (or the interpretation or enforcement thereof) or changes in GAAP (or the interpretation or enforcement thereof), (b) (i) changes in general economic or regulatory conditions, or changes in securities, credit or other financial markets, including interests rates or exchange rates in the United States or globally or (ii) changes in conditions in the industries (including seasonal fluctuations) in which the Company or the Company Subsidiaries operate, (c) 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hereof, (d) actions or omissions expressly required of the Company by the terms of this Agreement or taken or not taken with the prior written consent of Parent (other than its obligations to operate its business in the ordinary course), (e) the execution, announcement, pendency or consummation of this Agreement and the transactions contemplated hereby, including any litigation arising out of or relating to this Agreement or the Merger, the identity of Parent, departures of officers or employees, changes in relationships with suppliers or customers or other business relations, in each case solely to the extent resulting from the execution, announcement, pendency or consummation of this Agreement and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exceptions set forth in this clause (e) shall not apply in connection with any breach or inaccuracy of a representation or warranty set forth in this Agreement expressly addressing the consequences of the execution, announcement, existence, pendency or consummation of this Agreement and the transactions contemplated hereby or to address the consequences of litigation of, compliance with or performance under, this Agreement, compliance with or performance under, this Agreement,</w:t>
      </w:r>
    </w:p>
    <w:p>
      <w:pPr>
        <w:spacing w:after="0" w:line="8" w:lineRule="exact"/>
        <w:rPr>
          <w:sz w:val="20"/>
          <w:szCs w:val="20"/>
          <w:color w:val="auto"/>
        </w:rPr>
      </w:pPr>
    </w:p>
    <w:p>
      <w:pPr>
        <w:jc w:val="both"/>
        <w:ind w:firstLine="8"/>
        <w:spacing w:after="0" w:line="253" w:lineRule="auto"/>
        <w:tabs>
          <w:tab w:leader="none" w:pos="2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the trading price or trading volume of Company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 of such change in trading price or trading volume may be taken into account in determining whether a Company Material Adverse Effect has occurred, or (g) any failure by the Company or any of the Company Subsidiaries to meet any internal or published revenue, earnings or other financial projections, estimates, expectations or forecasts for any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underlying cause of such failure may be taken into account in determining whether a Company Material Adverse Effect has occurred.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Minimum Cash</w:t>
      </w:r>
      <w:r>
        <w:rPr>
          <w:rFonts w:ascii="Times New Roman" w:cs="Times New Roman" w:eastAsia="Times New Roman" w:hAnsi="Times New Roman"/>
          <w:sz w:val="18"/>
          <w:szCs w:val="18"/>
          <w:color w:val="auto"/>
        </w:rPr>
        <w:t xml:space="preserve">” means an amount in cash equal to (a) $74,000,000,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the Closing Date occurs in the calendar month of July, the amount for purposes of this clause (a) shall be $71,000,000,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amount of cash, if any, paid by the Company to repurchase and retire the 2026 Notes between April 1, 2026, and the Closing Date,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(c) the 2026 Notes Discount Capture (as defined in the Notes Restructuring Agreement).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an option to acquire shares of Company Common Stock granted under a Company Equity Plan or granted to a Company employee or other service provider outside of the Company Equity Plans.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all Intellectual Property that is owned or purported to be owned by the Company or any of the Company Subsidiaries.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Products</w:t>
      </w:r>
      <w:r>
        <w:rPr>
          <w:rFonts w:ascii="Times New Roman" w:cs="Times New Roman" w:eastAsia="Times New Roman" w:hAnsi="Times New Roman"/>
          <w:sz w:val="18"/>
          <w:szCs w:val="18"/>
          <w:color w:val="auto"/>
        </w:rPr>
        <w:t>” shall mean each and all current and past services (including cloud-based service offered via the Internet) and products (including any and all Data products, applications, algorithms and other Software), in each case, including those that that incorporate or employ any AI Technologies (“</w:t>
      </w:r>
      <w:r>
        <w:rPr>
          <w:rFonts w:ascii="Times New Roman" w:cs="Times New Roman" w:eastAsia="Times New Roman" w:hAnsi="Times New Roman"/>
          <w:sz w:val="18"/>
          <w:szCs w:val="18"/>
          <w:u w:val="single" w:color="auto"/>
          <w:color w:val="auto"/>
        </w:rPr>
        <w:t>Company AI Products</w:t>
      </w:r>
      <w:r>
        <w:rPr>
          <w:rFonts w:ascii="Times New Roman" w:cs="Times New Roman" w:eastAsia="Times New Roman" w:hAnsi="Times New Roman"/>
          <w:sz w:val="18"/>
          <w:szCs w:val="18"/>
          <w:color w:val="auto"/>
        </w:rPr>
        <w:t>”), made commercially available, marketed, distributed, developed, supported, sold, imported for resale, licensed out, or otherwise provided by or on behalf of the Company or any Company Subsidiary, including products and services under development.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Representatives</w:t>
      </w:r>
      <w:r>
        <w:rPr>
          <w:rFonts w:ascii="Times New Roman" w:cs="Times New Roman" w:eastAsia="Times New Roman" w:hAnsi="Times New Roman"/>
          <w:sz w:val="18"/>
          <w:szCs w:val="18"/>
          <w:color w:val="auto"/>
        </w:rPr>
        <w:t>” means the Company’s and the Company Subsidiaries’ respective directors, officers, employees, accountants, consultants, legal counsel, investment bankers, advisors, agents, brokers and other representatives acting for or on behalf of the Company or any Company Subsidiary.</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means an award of restricted stock units with respect to shares of Company Common Stock granted under a Company Equity Plan.</w:t>
      </w:r>
    </w:p>
    <w:p>
      <w:pPr>
        <w:spacing w:after="0" w:line="16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Shortfall Cash</w:t>
      </w:r>
      <w:r>
        <w:rPr>
          <w:rFonts w:ascii="Times New Roman" w:cs="Times New Roman" w:eastAsia="Times New Roman" w:hAnsi="Times New Roman"/>
          <w:sz w:val="18"/>
          <w:szCs w:val="18"/>
          <w:color w:val="auto"/>
        </w:rPr>
        <w:t xml:space="preserve">” means an amount in cash equal to (a) the Company Minimum Cash,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Company Cash Balance;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negative number results from such calculation, “Company Shortfall Cash” shall be zero (0).</w:t>
      </w:r>
    </w:p>
    <w:p>
      <w:pPr>
        <w:spacing w:after="0" w:line="16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xml:space="preserve">” means a bona fide written Company Acquisition Proposal (except the references therein to “15%” shall be replaced by “80%” and the references to “85%” shall be replaced by “25%”) made by a third party which the Company Board determines in good faith (after consultation with its outside counsel and, with respect to financial matters, financial advisors), taking into account all relevant factors (including all the terms and conditions of such proposal or offer (including the transaction consideration, conditionality, timing, certainty of financing or regulatory approvals and likelihood of consummation)) and this Agreement (and, if applicable, any changes to the terms of this Agreement proposed by Parent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 if accepted, is reasonably likely to be consummated on the terms proposed, taking into account any required redemption, exchange, repayment or restructuring of the 2026 Notes and/or the Secured Notes required in connection with such Company Acquisition Proposal in accordance with the indentures and other agreements governing the 2026 Notes and the Secured Notes, as applicable (and whether the holders of the 2026 Notes and/or the Secured Notes would be reasonably expected to consent to such Company Acquisition Proposal in accordance with the indentures and other agreements governing the 2026 Notes and the Secured Notes, as applicable) and (b) is more favorable to the Company’s stockholders from a financial point of view than the Merger.</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Transaction Expenses</w:t>
      </w:r>
      <w:r>
        <w:rPr>
          <w:rFonts w:ascii="Times New Roman" w:cs="Times New Roman" w:eastAsia="Times New Roman" w:hAnsi="Times New Roman"/>
          <w:sz w:val="18"/>
          <w:szCs w:val="18"/>
          <w:color w:val="auto"/>
        </w:rPr>
        <w:t>” means all fees and expenses incurred by or on behalf of the Company or by any other Person for which the Company is responsible in connection with or related to the negotiation, preparation, execution and performance of this Agreement, the Notes Restructuring Agreement and the transactions contemplated hereby and thereby and any similar or alternative transaction involving the Company, its stockholders and/or the Secured Notes (including transactions with other potential acquirors or investors and including any debt restructuring transactions), if any, in connection with the transactions leading hereto (which may be as little as zero dollars ($0)), including, for the avoidance of doubt, all fees and expenses payable to brokers, financial advisors, investment banks, legal advisors, accountants and other professional advisors in connection with the transactions contemplated hereby and by the Notes Restructuring Agreement and by such other similar or alternative transactions, as applicable.</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warrants to subscribe for and purchase shares of Company Common Stock, including those warrants to subscribe for and purchase shares of Company Common Stock pursuant to that certain (a) Warrant to Purchase Common Stock, Certificate Number 0001, and (b) Warrant, Certificate Number 0002, in each case, issued June 3, 2024, by and between the Company and Lynrock Lake Master Fund LP.</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means each employee of the Company or any of the Company Subsidiaries who is employed by the Company or any of the Company Subsidiaries as of immediately prior to the Effective Time and who continues to be actively employed by the Surviving Corporation (or any of its affiliates) on or following the Effective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of the agreements, arrangements, contracts, leases (whether for real or personal property), powers of attorney, notes, bonds, mortgages, indentures, deeds of trust, loans, evidences of indebtedness, letters of credit, settlement agreements, franchise agreements, undertakings, covenants not to compete, employment agreements, licenses, purchase and sale orders and other legally binding commitments to which in each case a Person is a party or by which any of the properties or assets of such Person or its Subsidiaries are bound.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“controlled by” and “under common control with”) means the possession, directly or indirectly, of the power to direct or cause the direction of the management or policies of a Person, whether through the ownership of capital stock or other Equity Interests, as trustee or executor, by Contract or credit arrangement or otherwise.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shall mean any information, inputs, figures, facts, numbers, statistics, geographic and location information, AI Inputs, validation data, and test data, data collections, and databases, in any form, whether structured or unstructured.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any (a) “employee benefit plan” as defined in Section 3(3) of ERISA (whether or not subject to ERISA),</w:t>
      </w:r>
    </w:p>
    <w:p>
      <w:pPr>
        <w:spacing w:after="0" w:line="27" w:lineRule="exact"/>
        <w:rPr>
          <w:sz w:val="20"/>
          <w:szCs w:val="20"/>
          <w:color w:val="auto"/>
        </w:rPr>
      </w:pPr>
    </w:p>
    <w:p>
      <w:pPr>
        <w:jc w:val="both"/>
        <w:ind w:firstLine="8"/>
        <w:spacing w:after="0" w:line="252" w:lineRule="auto"/>
        <w:tabs>
          <w:tab w:leader="none" w:pos="25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incentive or deferred compensation or equity or equity-based compensation plan, program, policy or arrangement, including employer stock and incentive plans, (c) severance, change in control, employment, individual consulting, pension, retirement, profit sharing, retention or termination plan, program, agreement, policy or arrangement or (d) other compensation or benefit plan, program, agreement, policy, practice, contract or arrangement and whether or not subject to ERISA, including all bonus, cash or equity-based incentive, commission, sales, deferred compensation, stock purchase, health, medical, dental, vision, or other health plans, disability, accident, life insurance, holiday, vacation, paid time off, perquisite, fringe benefit, severance, termination, change of control, transaction, retention, employment, separation, retirement, pension, or savings, plans, programs, policies, agreements or arrangements, other than any statutory plan, program, or arrangement that is required under applicable Laws and maintained by any Governmental Entity.</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which regulate or relate to pollution or the protection of the environment or human health and safety (solely to the extent related to exposure to Hazardous Substances), including Laws related to the use, treatment, storage, transportation, handling or Release of Hazardous Substances.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any permit, certificate, registration, notice, approval, identification number, waiver, variance, exemption, license, clearance, or other authorization required under any applicable Environmental Law.</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any share, capital stock, partnership, limited liability company, member or similar equity interest in any Person, and any option, warrant, right or security (including debt securities) convertible, exchangeable or exercisable into or for any such share, capital stock, partnership, limited liability company, member or similar equity interest.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and the rules and regulations promulgated thereunder.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includes all out-of-pocket fees, costs and other expenses (including all fees and expenses of counsel, accountants, investment bankers, financing sources, experts and consultants to a party and its affiliates) incurred by a party or on its behalf in connection with or related to the authorization, preparation, negotiation, execution and performance of this Agreement and the transactions contemplated hereby, including the preparation, printing, filing and mailing of the Proxy Statement/Prospectus or Registration Statement and all other matters related to the transactions contemplated by this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Notes</w:t>
      </w:r>
      <w:r>
        <w:rPr>
          <w:rFonts w:ascii="Times New Roman" w:cs="Times New Roman" w:eastAsia="Times New Roman" w:hAnsi="Times New Roman"/>
          <w:sz w:val="18"/>
          <w:szCs w:val="18"/>
          <w:color w:val="auto"/>
        </w:rPr>
        <w:t>” means the Company’s First Lien Convertible Senior Notes due 2029.</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actual fraud under Delaware law.</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Common Number</w:t>
      </w:r>
      <w:r>
        <w:rPr>
          <w:rFonts w:ascii="Times New Roman" w:cs="Times New Roman" w:eastAsia="Times New Roman" w:hAnsi="Times New Roman"/>
          <w:sz w:val="18"/>
          <w:szCs w:val="18"/>
          <w:color w:val="auto"/>
        </w:rPr>
        <w:t xml:space="preserve">” means, without duplication, the sum of (a) the total number of shares of Company Common Stock that are issued and outstanding immediately prior to the Effective Time (excluding Company Cancelled Shares),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the total number of shares of Company Common Stock that are issuable upon the conversion, exercise or settlement in full of all In-the-Money Company Options, Company RSU Awards, convertible securities, or other rights to acquire Company Common Stock that are outstanding as of immediately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“Fully Diluted Common Number” shall not include (a) the Company Rights or any securities of the Company issuable upon the exercise thereof pursuant to the Tax Benefits Preservation Plan or (b) any shares of Company Common Stock that are issuable upon the exercise or conversion of the Company Warrants or the 2026 Notes and the First Lien Notes except to the extent such Company Warrants or notes are exercised or converted into shares of Company Common Stock prior to the Effective Time.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applied in the United States.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 any officer or employee of a Governmental Entity or any department, agency or instrumentality thereof, including state-owned entities, or of a public organization; (b) any political party, political party official or candidate for political office or political campaign; or (c) any person acting in an official capacity for or on behalf of any such government, department, agency, or instrumentality or on behalf of any such public organization.</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 any supranational, national, federal, state, regional, provincial, county, municipal, local or foreign government and any entity exercising or entitled to exercise executive, legislative, judicial, regulatory, taxing, administrative, prosecutorial or arbitral functions of or pertaining to government, (b) any agency, division, bureau, department, commission, board, tribunal, or other subdivision or instrumentality of any government, entity or organization described in the foregoing clause (a), and any court, judicial authority, arbitrator, or arbitral tribunal, and (c) any public international organization (such as the World Bank, United Nations).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means any material, chemical or waste that is listed, defined or regulated as “hazardous,” “toxic,” a “pollutant,” or a “contaminant”, or words of similar regulatory meaning or effect, under any Environmental Law, including asbestos or asbestos-containing materials, petroleum or petroleum by-products, radioactive materials, per- and polyfluoroalkyl substances or polychlorinated biphenyls.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In-the-Money Company Option</w:t>
      </w:r>
      <w:r>
        <w:rPr>
          <w:rFonts w:ascii="Times New Roman" w:cs="Times New Roman" w:eastAsia="Times New Roman" w:hAnsi="Times New Roman"/>
          <w:sz w:val="18"/>
          <w:szCs w:val="18"/>
          <w:color w:val="auto"/>
        </w:rPr>
        <w:t>” means each Company Option that is not an Out-of-the-Money Company Option.</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rights now known or hereafter recognized in any jurisdiction throughout the world, including all: (a) patents, patent disclosures and patent applications, together with all provisionals, reissues, continuations, continuations-in-part, divisions, revisions, extensions, and reexaminations thereof; (b) trademarks, service marks, trade dress, logos, slogans, brand names, trade names, Internet domain names, social media accounts and handles, corporate names, and other indicia of source or origin, together with all translations, adaptations, derivations, and combinations thereof, and all applications and registrations in connection therewith; (c) rights associated with works of authorship (whether or not published) and all copyrights, mask works and designs and all applications, renewals and registrations in connection therewith; (d) intellectual property rights in Software and all website content (including text, graphics, images, audio, video, and data), intellectual and proprietary rights in databases, data compilations and data collection methods; and (e) trade secret rights and rights in know-how and confidential and proprietary information, information, designs, formulae, compositions, algorithms, procedures, methods, techniques, ideas, research and development, data, specifications, processes, inventions (whether patentable or not and whether reduced to practice or not) and improvements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(f) other proprietary rights arising from or related to AI Technologies, and (g) all applications and registrations for the foregoing.</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ISA</w:t>
      </w:r>
      <w:r>
        <w:rPr>
          <w:rFonts w:ascii="Times New Roman" w:cs="Times New Roman" w:eastAsia="Times New Roman" w:hAnsi="Times New Roman"/>
          <w:sz w:val="18"/>
          <w:szCs w:val="18"/>
          <w:color w:val="auto"/>
        </w:rPr>
        <w:t>” means the Israel Securities Authority.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Israeli Securities Laws</w:t>
      </w:r>
      <w:r>
        <w:rPr>
          <w:rFonts w:ascii="Times New Roman" w:cs="Times New Roman" w:eastAsia="Times New Roman" w:hAnsi="Times New Roman"/>
          <w:sz w:val="18"/>
          <w:szCs w:val="18"/>
          <w:color w:val="auto"/>
        </w:rPr>
        <w:t>” means (a) the Israeli Securities Law of 1968 and the rules, regulations and guidance provided thereunder and</w:t>
      </w:r>
    </w:p>
    <w:p>
      <w:pPr>
        <w:spacing w:after="0" w:line="27" w:lineRule="exact"/>
        <w:rPr>
          <w:sz w:val="20"/>
          <w:szCs w:val="20"/>
          <w:color w:val="auto"/>
        </w:rPr>
      </w:pPr>
    </w:p>
    <w:p>
      <w:pPr>
        <w:ind w:right="20" w:firstLine="8"/>
        <w:spacing w:after="0" w:line="260" w:lineRule="auto"/>
        <w:tabs>
          <w:tab w:leader="none" w:pos="25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TASE and the regulations promulgated thereunder, including the relevant provisions of the bylaws of the TASECH, each as amended from time to time.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means the Israel Tax Authority.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the actual knowledge (after inquiry of direct reports) of the individuals listed in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 xml:space="preserve"> of the Company Disclosure Schedule.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international, national, federal, regional, provincial, state, municipal, foreign, and local laws, common laws, statutes, constitutions, treaties, ordinances, bylaws, rules, regulations, or other requirements, legally binding guidance, consent permits, policies, restrictions or licenses enacted, adopted, promulgated, issued, enforced, applied, or entered by any Governmental Entity and any Orders.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mortgage, pledge, conditional or installment sale (or lease in the nature thereof) agreement, encumbrance, defect in title, covenant, condition, restriction, charge, option, right of first refusal, right of first offer, lease, sublease, easement, security interest, deed of trust, right-of-way, encroachment, community property interest or other claim or restriction of any nature, whether voluntarily incurred or arising by operation of Law (including any restriction on the voting of any security, any restriction on the transfer of any security or other asset, and any restriction on the possession, exercise or transfer of any other attribute of ownership of any asset).</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or within the meaning of Section 3(37) of ERISA) or any plan that has two or more contributing sponsors at least two of whom are not under common control within the meaning of Section 4063 of ERISA.</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Share</w:t>
      </w:r>
      <w:r>
        <w:rPr>
          <w:rFonts w:ascii="Times New Roman" w:cs="Times New Roman" w:eastAsia="Times New Roman" w:hAnsi="Times New Roman"/>
          <w:sz w:val="18"/>
          <w:szCs w:val="18"/>
          <w:color w:val="auto"/>
        </w:rPr>
        <w:t xml:space="preserve">” means, with respect to a Company Option, the quotient obtained by dividing (a) the product of (i) the excess of the Per Share Cash Equivalent Consideration over the per share exercise price of such Company Option,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number of shares of Company Common Stock subject to such Company Option immediately prior to the Effective Time,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Per Share Cash Equivalent Consideration.</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Material</w:t>
      </w:r>
      <w:r>
        <w:rPr>
          <w:rFonts w:ascii="Times New Roman" w:cs="Times New Roman" w:eastAsia="Times New Roman" w:hAnsi="Times New Roman"/>
          <w:sz w:val="18"/>
          <w:szCs w:val="18"/>
          <w:color w:val="auto"/>
        </w:rPr>
        <w:t>” shall mean any Software that is distributed as “free software” or “open source software” (as such terms are commonly understood in the software industry), including software code or other materials that are licensed under a Creative Commons License, open database license, the Mozilla Public License, the GNU General Public License, GNU Lesser General Public License, Affero General Public License, Common Public License, Apache License, BSD License, or MIT License and all other licenses identified by the Open Source Initiative as “open source licenses.”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judgment, order, executive order, stay, consent decree, determination, ruling, assessment, stipulation, decision, writ, injunction, decree or arbitration award in each case, enacted, adopted, promulgated, imposed, applied, or entered by or with any Governmental Entity.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Ordinance</w:t>
      </w:r>
      <w:r>
        <w:rPr>
          <w:rFonts w:ascii="Times New Roman" w:cs="Times New Roman" w:eastAsia="Times New Roman" w:hAnsi="Times New Roman"/>
          <w:sz w:val="18"/>
          <w:szCs w:val="18"/>
          <w:color w:val="auto"/>
        </w:rPr>
        <w:t>” means the Israeli Income Tax Ordinance (New Version), 1961, as amended, and all rules and regulations promulgated thereunder, as may be amended from time to time, including, any publications and clarifications issued by the ITA.</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Filings</w:t>
      </w:r>
      <w:r>
        <w:rPr>
          <w:rFonts w:ascii="Times New Roman" w:cs="Times New Roman" w:eastAsia="Times New Roman" w:hAnsi="Times New Roman"/>
          <w:sz w:val="18"/>
          <w:szCs w:val="18"/>
          <w:color w:val="auto"/>
        </w:rPr>
        <w:t>” means all filings made by, or required to be made by, the Company or Parent with the SEC in connection with the transactions contemplated by this Agreement, other than the Proxy Statement/Prospectus and Registration Statement.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Out-of-the-Money Company Option</w:t>
      </w:r>
      <w:r>
        <w:rPr>
          <w:rFonts w:ascii="Times New Roman" w:cs="Times New Roman" w:eastAsia="Times New Roman" w:hAnsi="Times New Roman"/>
          <w:sz w:val="18"/>
          <w:szCs w:val="18"/>
          <w:color w:val="auto"/>
        </w:rPr>
        <w:t>” means any Company Option having a per-share exercise price equal to or in excess of the Per Share Cash Equivalent Consideration (calculated for this purpose as if all Company Options were included in the definition of Fully Diluted Common Number).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Benefit Plan</w:t>
      </w:r>
      <w:r>
        <w:rPr>
          <w:rFonts w:ascii="Times New Roman" w:cs="Times New Roman" w:eastAsia="Times New Roman" w:hAnsi="Times New Roman"/>
          <w:sz w:val="18"/>
          <w:szCs w:val="18"/>
          <w:color w:val="auto"/>
        </w:rPr>
        <w:t>” means each Employee Benefit Plan that is sponsored, maintained, contributed to, or required to be contributed to, by Parent or any of the Parent Subsidiaries.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Closing Stock Price</w:t>
      </w:r>
      <w:r>
        <w:rPr>
          <w:rFonts w:ascii="Times New Roman" w:cs="Times New Roman" w:eastAsia="Times New Roman" w:hAnsi="Times New Roman"/>
          <w:sz w:val="18"/>
          <w:szCs w:val="18"/>
          <w:color w:val="auto"/>
        </w:rPr>
        <w:t xml:space="preserve">” means the price per share of a share of Parent Common Stock derived from the average of the daily volume weighted average prices of a share of Parent Common Stock on the Nasdaq on each of the ten (10) consecutive Trading Days ending on (and including) the Trading Day that is three (3) Trading Days prior to the Closing Date, rounded down to the nearest penny, as reported by Bloomberg;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such price per share (a) exceeds $12 per share, “Parent Closing Stock Price” means $12 per share or (b) falls below $7 per share, “Parent Closing Stock Price” means $7 per share.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means the Class A Common Stock of Parent, par value $0.0001 per share.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Expense Cap</w:t>
      </w:r>
      <w:r>
        <w:rPr>
          <w:rFonts w:ascii="Times New Roman" w:cs="Times New Roman" w:eastAsia="Times New Roman" w:hAnsi="Times New Roman"/>
          <w:sz w:val="18"/>
          <w:szCs w:val="18"/>
          <w:color w:val="auto"/>
        </w:rPr>
        <w:t>” means an amount equal to $3,750,000.</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xml:space="preserve">” means any Effect that, individually or in the aggregate, has or would reasonably be expected to have a material adverse effect on the business, condition (financial or otherwise), assets, liabilities, operations or results of operations of Parent and the Parent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Effects arising out of, or resulting from the following shall not constitute to a Parent Material Adverse Effect, and shall not otherwise be taken into account in determining whether a Parent Material Adverse Effect has occurred or would reasonably be expected to occur, except that Effects with respect to clauses (a), (b) or (c) of the below shall be considered to the extent such Effect disproportionately and adversely impacts Parent or the Parent Subsidiaries, taken as a whole, relative to the other companies operating in the same industries: (a) changes in applicable Law (or the interpretation or enforcement thereof) or changes in GAAP (or the interpretation or enforcement thereof), (b) (i) changes in general economic or regulatory conditions or (ii) changes in securities, credit or other financial markets, including interests rates or exchange rates in the United States or globally, or changes in conditions in the industries (including seasonal fluctuations) in which Parent or Parent Subsidiaries operate, (c) 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hereof, (d) actions or omissions expressly required of Parent by the terms of this Agreement or taken or not taken with the prior written consent of, Parent (other than its obligations to operate its business in the ordinary course), (e) the execution, announcement, pendency or consummation of this Agreement and the transactions contemplated hereby, including any litigation arising out of or relating to this Agreement or the Merger, the identity of the Company, departures of officers or employees, changes in relationships with suppliers or customers or other business relations, in each case solely to the extent resulting from the execution, announcement, pendency or consummation of this Agreement and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exceptions set forth in this clause (e) shall not apply in connection with any breach or inaccuracy of a representation or warranty set forth in this Agreement expressly addressing the consequences of the execution, announcement, existence, pendency or consummation of this Agreement and the transactions contemplated hereby or to address the consequences of litigation of, compliance with or performance under, this Agreement, of, compliance with or performance under, this Agreement, (f) changes in the trading price or trading volume of Parent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 of such change in trading price or trading volume may be taken into account in determining whether a Parent Material Adverse Effect has occurred, or (g) any failure by Parent or any of the Parent Subsidiaries to meet any internal or published revenue, earnings or other financial projections, estimates, expectations or forecasts for any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underlying cause of such failure may be taken into account in determining whether a Parent Material Adverse Effect has occurred.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Representatives</w:t>
      </w:r>
      <w:r>
        <w:rPr>
          <w:rFonts w:ascii="Times New Roman" w:cs="Times New Roman" w:eastAsia="Times New Roman" w:hAnsi="Times New Roman"/>
          <w:sz w:val="18"/>
          <w:szCs w:val="18"/>
          <w:color w:val="auto"/>
        </w:rPr>
        <w:t>” means Parent’s and the Parent Subsidiaries’ respective directors, officers, employees, accountants, consultants, legal counsel, investment bankers, advisors, agents and other representatives acting for or on behalf of Parent or any Parent Subsidiary.</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 Issuance</w:t>
      </w:r>
      <w:r>
        <w:rPr>
          <w:rFonts w:ascii="Times New Roman" w:cs="Times New Roman" w:eastAsia="Times New Roman" w:hAnsi="Times New Roman"/>
          <w:sz w:val="18"/>
          <w:szCs w:val="18"/>
          <w:color w:val="auto"/>
        </w:rPr>
        <w:t>” means the issuance of shares of Parent Common Stock to the stockholders of the Company pursuant to and in accordance with the terms of this Agreement.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Cash Equivalent Consideration</w:t>
      </w:r>
      <w:r>
        <w:rPr>
          <w:rFonts w:ascii="Times New Roman" w:cs="Times New Roman" w:eastAsia="Times New Roman" w:hAnsi="Times New Roman"/>
          <w:sz w:val="18"/>
          <w:szCs w:val="18"/>
          <w:color w:val="auto"/>
        </w:rPr>
        <w:t>” means the product (rounded to the nearest cent) obtained by multiplying (a) the Per Share Merger Consideration by (b) the Parent Closing Stock Price.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number of fully paid and nonassessable shares of Parent Common Stock equal to (a) the Closing Merger Consideration, </w:t>
      </w:r>
      <w:r>
        <w:rPr>
          <w:rFonts w:ascii="Times New Roman" w:cs="Times New Roman" w:eastAsia="Times New Roman" w:hAnsi="Times New Roman"/>
          <w:sz w:val="18"/>
          <w:szCs w:val="18"/>
          <w:i w:val="1"/>
          <w:iCs w:val="1"/>
          <w:u w:val="single" w:color="auto"/>
          <w:color w:val="auto"/>
        </w:rPr>
        <w:t>divided by</w:t>
      </w:r>
      <w:r>
        <w:rPr>
          <w:rFonts w:ascii="Times New Roman" w:cs="Times New Roman" w:eastAsia="Times New Roman" w:hAnsi="Times New Roman"/>
          <w:sz w:val="18"/>
          <w:szCs w:val="18"/>
          <w:color w:val="auto"/>
        </w:rPr>
        <w:t xml:space="preserve"> (b) the Fully Diluted Common Number.</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Liens for Taxes not yet due and payable or the amount or validity of which is being contested in good faith by appropriate Proceedings and for which adequate reserves have been established in accordance with GAAP on the financial statements of the applicable Person, (b) Liens in favor of vendors, carriers, warehousemen, repairmen, mechanics, workmen, materialmen, construction or similar liens or encumbrances arising by operation of Law in the ordinary course of business for amounts not yet due and payable, (c) Liens arising from transfer restrictions under securities Laws or related Laws of any jurisdiction, (d) nonexclusive licenses of Intellectual Property, and (e) (i) matters of record, (ii) Liens that would be disclosed by a current, accurate survey or physical inspection of applicable real property, (iii) applicable building, zoning and land use regulations, (iv) Liens encumbering the fee interest in the property constituting Company Leased Real Property and Liens of landlords and sublandlords pursuant to the leases and subleases of the Company Leased Real Property and (v) other imperfections or irregularities in title, charges, restrictions and other encumbrances that do not materially detract from the current use of the Company Leased Real Property to which they relate.</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company, partnership, association, trust, unincorporated organization, other entity or group (as defined in Section 13(d) of the Exchange Act).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information in any form that is capable, directly or indirectly, of being associated with, related or linked to, or could reasonably be used to identify, describe, contact or locate, an individual, device, or household (including name, address, telephone number, email address, billing information, online identifier, device identifier, IP address, browsing history, search history or other website, application or online activity or usage data, location data, or biometric data) or is otherwise considered “personally identifiable information,” “personal information,” “personal data,” or any similar term by any applicable Laws and/or Privacy Requirements.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means the rate per annum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from time to time as the prime lending rate prevailing during any relevant period.</w:t>
      </w:r>
    </w:p>
    <w:p>
      <w:pPr>
        <w:spacing w:after="0" w:line="16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and Security Laws</w:t>
      </w:r>
      <w:r>
        <w:rPr>
          <w:rFonts w:ascii="Times New Roman" w:cs="Times New Roman" w:eastAsia="Times New Roman" w:hAnsi="Times New Roman"/>
          <w:sz w:val="18"/>
          <w:szCs w:val="18"/>
          <w:color w:val="auto"/>
        </w:rPr>
        <w:t>” means all applicable Laws, guidance, and standards relating to the privacy, data security, data breach notification, Processing of Personal Information, website and mobile application privacy policies and practices, consumer protection, online safety, online platform and digital services regulation, the processing and security of payment card information (including the Payment Card Industry Data Security Standard and other applicable card association rules), the processing of biometric information or biometric identifiers, artificial intelligence, chatbots, wiretapping, the interception of electronic communications, the tracking or monitoring of online activity, data- or web-scraping, advertising or marketing, and email, text message, or telephone communications.</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action, suit, lawsuit, claim, charge, complaint, hearing, arbitration, litigation, mediation, grievance, audit, examination, investigation or other proceeding (including any civil, criminal, administrative, investigative or appellate proceeding), in each case, by or before any Governmental Entity.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means any operation or set of operations which is performed on information, including Personal Information, such as the use, collection, processing, storage, disclosure, dissemination, combination or disposal of such information, and/or is considered “processing” by any applicable Privacy Requirements.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Laws</w:t>
      </w:r>
      <w:r>
        <w:rPr>
          <w:rFonts w:ascii="Times New Roman" w:cs="Times New Roman" w:eastAsia="Times New Roman" w:hAnsi="Times New Roman"/>
          <w:sz w:val="18"/>
          <w:szCs w:val="18"/>
          <w:color w:val="auto"/>
        </w:rPr>
        <w:t>” means applicable supranational, national, federal, state, provincial or local Law designed or intended to (a) prohibit, restrict or regulate actions having the purpose or effect of monopolizing or restraining trade or lessening competition in any other country or jurisdiction, including the HSR Act, the Sherman Act, the Clayton Act, and the Federal Trade Commission Act, in each case, as amended and other similar competition or antitrust laws of any jurisdiction other than the United States; or (b) regulate foreign investment, foreign ownership or control, or the acquisition of assets or securities by foreign persons for purposes of national security, protection of critical infrastructure, or other national interests.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pumping, pouring, injection, escaping, deposit, disposal, discharge, dispersal, dumping, or leaching of any Hazardous Substance into the environment.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or territory that is, or has been since April 24, 2019, the subject of comprehensive country-wide or region-wide Sanctions (currently, Cuba, Iran, North Korea, Syria, and the Crimea, so-called Donetsk People’s Republic, and so-called Luhansk People’s Republic regions of Ukraine).</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 any Person listed on any sanctions-related list of designated Persons, maintained by the Office of Foreign Assets Control of the U.S. Department of the Treasury’s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the U.S. Department of State, the United Nations, the United Kingdom, the European Union, or any European Union member state; (b) any Person operating, organized or resident in a Sanctioned Country; or (c) the government of a Sanctioned Country or the Government of Venezuela; or (d) any Person that is, in the aggregate, directly or indirectly owned, 50 percent or more, or controlled by, or acting or purporting to act on behalf of, a Person or Persons described in clauses (a), (b) or (c).</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3" w:name="page94"/>
    <w:bookmarkEnd w:id="9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Laws relating to economic or financial sanctions or trade embargoes imposed, administered or enforced by the United States (including by OFAC or the U.S. Department of State), the United Nations Security Council, the United Kingdom, the European Union, or any European Union member state.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Scraped Dataset</w:t>
      </w:r>
      <w:r>
        <w:rPr>
          <w:rFonts w:ascii="Times New Roman" w:cs="Times New Roman" w:eastAsia="Times New Roman" w:hAnsi="Times New Roman"/>
          <w:sz w:val="18"/>
          <w:szCs w:val="18"/>
          <w:color w:val="auto"/>
        </w:rPr>
        <w:t>” shall mean any Data that was collected or generated by Company or a third-party using web scraping, web ‎crawling, or ‎web harvesting Software or any technology or service that turns the ‎unstructured data ‎found on the web into machine readable, structured data that is ready for analysis.‎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Notes</w:t>
      </w:r>
      <w:r>
        <w:rPr>
          <w:rFonts w:ascii="Times New Roman" w:cs="Times New Roman" w:eastAsia="Times New Roman" w:hAnsi="Times New Roman"/>
          <w:sz w:val="18"/>
          <w:szCs w:val="18"/>
          <w:color w:val="auto"/>
        </w:rPr>
        <w:t>” means the Company’s Second Lien Senior Subordinated Secured Notes due 2029.</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means Section 102 of the Ordinance and the regulations and rules promulgated thereunder.</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 Trustee</w:t>
      </w:r>
      <w:r>
        <w:rPr>
          <w:rFonts w:ascii="Times New Roman" w:cs="Times New Roman" w:eastAsia="Times New Roman" w:hAnsi="Times New Roman"/>
          <w:sz w:val="18"/>
          <w:szCs w:val="18"/>
          <w:color w:val="auto"/>
        </w:rPr>
        <w:t>” means, ESOP Management and Trust Services Ltd., the trustee appointed by the Company in accordance with the provisions of Section 102(b) of the Ordinance and the rules and regulations promulgated in connection therewith, as amended.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Notes</w:t>
      </w:r>
      <w:r>
        <w:rPr>
          <w:rFonts w:ascii="Times New Roman" w:cs="Times New Roman" w:eastAsia="Times New Roman" w:hAnsi="Times New Roman"/>
          <w:sz w:val="18"/>
          <w:szCs w:val="18"/>
          <w:color w:val="auto"/>
        </w:rPr>
        <w:t>” means, collectively, the First Lien Notes and the Second Lien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means any (a) accidental, unlawful or unauthorized access, use, loss, exfiltration, disclosure, alteration, destruction, encryption, compromise, or other Processing of Personal Information and/or confidential information; (b) accidental, unlawful or unauthorized occurrence or series of related occurrences on or conducted through the Company IT Assets that jeopardizes or impacts the confidentiality, integrity, or availability of the Company IT Assets or any Personal Information or confidential information stored or otherwise Processed therein; or (c) occurrence that constitutes a “data breach,” “security breach,” “personal data breach,” “security incident,” “cybersecurity incident,” or any similar term under any applicable Law.</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shall mean any computer program, operating system, database, applications system, application programming interface (API), firmware or software code of any nature, whether operational, under development or inactive, including all object code, source code, data files, rules, definitions or methodology derived from the foregoing and any derivations, updates, enhancements and customization of any of the foregoing, processes, know-how, operating procedures, methods and all other technology embodied with the foregoing, tools, developers’ kits, utilities, developers’ notes, technical manuals, user manuals and other documentation thereof, including comments and annotations related thereto, whether in machine-readable form, programming language or any other language or symbols and whether stored, encoded, recorded or written on disk, tape, film, memory device, paper or other media of any nature.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firstLine="1296"/>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of Parent, the Company or any other Person means any corporation, limited liability company, partnership, joint venture or other legal entity of which Parent, the Company or such other Person, as the case may be (either alone or through or together with any other Subsidiary), owns, directly or indirectly, a majority of the capital stock or other Equity Interests the holders of which are generally entitled to vote for the election of the board of directors or other governing body of such corporation, limited liability company, partnership, joint venture or other legal entity, or otherwise owns, directly or indirectly, such capital stock or other Equity Interests that would confer control of any such corporation, limited liability company, partnership, joint venture or other legal entity, or any Person that would otherwise be deemed a “subsidiary” under Rule 12b-2 promulgated under the Exchange Act.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TASE</w:t>
      </w:r>
      <w:r>
        <w:rPr>
          <w:rFonts w:ascii="Times New Roman" w:cs="Times New Roman" w:eastAsia="Times New Roman" w:hAnsi="Times New Roman"/>
          <w:sz w:val="18"/>
          <w:szCs w:val="18"/>
          <w:color w:val="auto"/>
        </w:rPr>
        <w:t>” means the Tel-Aviv Stock Exchange Ltd.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Benefits Preservation Plan</w:t>
      </w:r>
      <w:r>
        <w:rPr>
          <w:rFonts w:ascii="Times New Roman" w:cs="Times New Roman" w:eastAsia="Times New Roman" w:hAnsi="Times New Roman"/>
          <w:sz w:val="18"/>
          <w:szCs w:val="18"/>
          <w:color w:val="auto"/>
        </w:rPr>
        <w:t>” means that certain Tax Benefits Preservation Plan, dated as of January 22, 2024, by and between the Company and Equiniti Trust Company, LLC, as Rights Agent, as amended by that certain Amendment No. 1 to the Tax Benefits Preservation Plan, dated as of February 16, 2024.</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return (including information return), certificate, claim for refund, election, estimated tax filing or declaration required to be filed or actually filed with a Governmental Entity with respect to Taxes, including any schedule or attachment thereto, and including any amendments thereof.</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U.S. federal, state, local and non-U.S. (a) taxes, assessments, fees, levies, duties, tariffs, imposts and other charges in the nature of a tax, including income, franchise, windfall or other profits, gross receipts, personal property, real property, sales, use, net worth, capital stock, alternative or add-on minimum, environmental, use, payroll, employment, social security, workers’ compensation, unemployment compensation, excise, withholding, ad valorem, stamp, transfer, value-added, occupation, disability, registration, gains tax and estimated taxes, and (b) any interest, penalty, or additional amounts imposed with respect to any of the foregoing, whether disputed or not.</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Compliance Laws</w:t>
      </w:r>
      <w:r>
        <w:rPr>
          <w:rFonts w:ascii="Times New Roman" w:cs="Times New Roman" w:eastAsia="Times New Roman" w:hAnsi="Times New Roman"/>
          <w:sz w:val="18"/>
          <w:szCs w:val="18"/>
          <w:color w:val="auto"/>
        </w:rPr>
        <w:t>” means (a) any Laws enforced by the U.S. Government relating to the regulation of imports, exports, re-exports, transfers, releases, shipments, transmissions or any other provision of goods, technology, software or services, including the International Traffic in Arms Regulations (ITAR), 22 C.F.R. Parts 120 et seq., the Export Administration Regulations (EAR), 15 C.F.R. Parts 730 et seq., the Arms Export Control Act (22 U.S.C. § 1778), the International Emergency Economic Powers Act (50 U.S.C. §§ 1701–1706), Section 999 of the Internal Revenue Code, the Export Control Reform Act of 2018 (50 U.S.C. §§ 4801-4861) Foreign Trade Regulations (15 C.F.R. Part 30) all applicable customs and import Laws, including the customs regulations set forth in Title 19 of the Code of Federal Regulations and 19 C.F.R. Chapter 1, the Tariff Act of 1930 and the Laws, regulations and programs administered or enforced by the U.S. Department of Commerce, U.S. International Trade Commission, U.S. Customs and Border Protection, U.S. Immigration and Customs Enforcement and their respective predecessor agencies, the antiboycott Laws administered by the U.S. Department of Commerce and U.S. Department of the Treasury’s Internal Revenue Service, and (b) all applicable trade, export control, import, and antiboycott Laws imposed, administered or enforced in jurisdictions in which the Company operates or has operated, except to the extent inconsistent with U.S.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shall mean a day on which shares of Parent Common Stock are traded on the Nasdaq.</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Training Data</w:t>
      </w:r>
      <w:r>
        <w:rPr>
          <w:rFonts w:ascii="Times New Roman" w:cs="Times New Roman" w:eastAsia="Times New Roman" w:hAnsi="Times New Roman"/>
          <w:sz w:val="18"/>
          <w:szCs w:val="18"/>
          <w:color w:val="auto"/>
        </w:rPr>
        <w:t>” shall mean any data used to develop, train, refine, fine tune, test or improve‎ the‎ Company’s AI Technologies, including Data contained in or obtained from Scraped Datasets.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United States Treasury Regulations promulgated under the Code.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Union</w:t>
      </w:r>
      <w:r>
        <w:rPr>
          <w:rFonts w:ascii="Times New Roman" w:cs="Times New Roman" w:eastAsia="Times New Roman" w:hAnsi="Times New Roman"/>
          <w:sz w:val="18"/>
          <w:szCs w:val="18"/>
          <w:color w:val="auto"/>
        </w:rPr>
        <w:t>” means any union, labor organization, works council, employee association or other bargaining unit representative.</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a material breach of a representation, warranty or covenant that is the consequence of a deliberate act or omission of the breaching party.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Terms Defined Elsewhere</w:t>
      </w:r>
      <w:r>
        <w:rPr>
          <w:rFonts w:ascii="Times New Roman" w:cs="Times New Roman" w:eastAsia="Times New Roman" w:hAnsi="Times New Roman"/>
          <w:sz w:val="18"/>
          <w:szCs w:val="18"/>
          <w:color w:val="auto"/>
        </w:rPr>
        <w:t>. The following terms are defined elsewhere in this Agreement, as indicated below:</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560" w:type="dxa"/>
            <w:vAlign w:val="bottom"/>
            <w:tcBorders>
              <w:top w:val="single" w:sz="8" w:color="auto"/>
              <w:left w:val="single" w:sz="8" w:color="auto"/>
            </w:tcBorders>
            <w:gridSpan w:val="12"/>
          </w:tcPr>
          <w:p>
            <w:pPr>
              <w:ind w:left="120"/>
              <w:spacing w:after="0" w:line="189" w:lineRule="exact"/>
              <w:rPr>
                <w:sz w:val="20"/>
                <w:szCs w:val="20"/>
                <w:color w:val="auto"/>
              </w:rPr>
            </w:pPr>
            <w:r>
              <w:rPr>
                <w:rFonts w:ascii="Times New Roman" w:cs="Times New Roman" w:eastAsia="Times New Roman" w:hAnsi="Times New Roman"/>
                <w:sz w:val="18"/>
                <w:szCs w:val="18"/>
                <w:color w:val="auto"/>
              </w:rPr>
              <w:t>“Agreement”</w:t>
            </w:r>
          </w:p>
        </w:tc>
        <w:tc>
          <w:tcPr>
            <w:tcW w:w="6680" w:type="dxa"/>
            <w:vAlign w:val="bottom"/>
            <w:tcBorders>
              <w:top w:val="single" w:sz="8" w:color="auto"/>
              <w:right w:val="single" w:sz="8" w:color="auto"/>
            </w:tcBorders>
          </w:tcPr>
          <w:p>
            <w:pPr>
              <w:ind w:left="2280"/>
              <w:spacing w:after="0" w:line="189" w:lineRule="exact"/>
              <w:rPr>
                <w:sz w:val="20"/>
                <w:szCs w:val="20"/>
                <w:color w:val="auto"/>
              </w:rPr>
            </w:pPr>
            <w:r>
              <w:rPr>
                <w:rFonts w:ascii="Times New Roman" w:cs="Times New Roman" w:eastAsia="Times New Roman" w:hAnsi="Times New Roman"/>
                <w:sz w:val="18"/>
                <w:szCs w:val="18"/>
                <w:color w:val="auto"/>
              </w:rPr>
              <w:t>Preamble</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r>
      <w:tr>
        <w:trPr>
          <w:trHeight w:val="169"/>
        </w:trPr>
        <w:tc>
          <w:tcPr>
            <w:tcW w:w="4560" w:type="dxa"/>
            <w:vAlign w:val="bottom"/>
            <w:tcBorders>
              <w:left w:val="single" w:sz="8" w:color="auto"/>
            </w:tcBorders>
            <w:gridSpan w:val="12"/>
          </w:tcPr>
          <w:p>
            <w:pPr>
              <w:ind w:left="120"/>
              <w:spacing w:after="0" w:line="169" w:lineRule="exact"/>
              <w:rPr>
                <w:sz w:val="20"/>
                <w:szCs w:val="20"/>
                <w:color w:val="auto"/>
              </w:rPr>
            </w:pPr>
            <w:r>
              <w:rPr>
                <w:rFonts w:ascii="Times New Roman" w:cs="Times New Roman" w:eastAsia="Times New Roman" w:hAnsi="Times New Roman"/>
                <w:sz w:val="18"/>
                <w:szCs w:val="18"/>
                <w:color w:val="auto"/>
              </w:rPr>
              <w:t>“Assumed Option”</w:t>
            </w:r>
          </w:p>
        </w:tc>
        <w:tc>
          <w:tcPr>
            <w:tcW w:w="6680" w:type="dxa"/>
            <w:vAlign w:val="bottom"/>
            <w:tcBorders>
              <w:right w:val="single" w:sz="8" w:color="auto"/>
            </w:tcBorders>
          </w:tcPr>
          <w:p>
            <w:pPr>
              <w:ind w:left="2280"/>
              <w:spacing w:after="0" w:line="169" w:lineRule="exact"/>
              <w:rPr>
                <w:sz w:val="20"/>
                <w:szCs w:val="20"/>
                <w:color w:val="auto"/>
              </w:rPr>
            </w:pPr>
            <w:r>
              <w:rPr>
                <w:rFonts w:ascii="Times New Roman" w:cs="Times New Roman" w:eastAsia="Times New Roman" w:hAnsi="Times New Roman"/>
                <w:sz w:val="18"/>
                <w:szCs w:val="18"/>
                <w:color w:val="auto"/>
              </w:rPr>
              <w:t>Section 2.6(a)(i)</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r>
      <w:tr>
        <w:trPr>
          <w:trHeight w:val="169"/>
        </w:trPr>
        <w:tc>
          <w:tcPr>
            <w:tcW w:w="4560" w:type="dxa"/>
            <w:vAlign w:val="bottom"/>
            <w:tcBorders>
              <w:left w:val="single" w:sz="8" w:color="auto"/>
            </w:tcBorders>
            <w:gridSpan w:val="12"/>
          </w:tcPr>
          <w:p>
            <w:pPr>
              <w:ind w:left="120"/>
              <w:spacing w:after="0" w:line="169" w:lineRule="exact"/>
              <w:rPr>
                <w:sz w:val="20"/>
                <w:szCs w:val="20"/>
                <w:color w:val="auto"/>
              </w:rPr>
            </w:pPr>
            <w:r>
              <w:rPr>
                <w:rFonts w:ascii="Times New Roman" w:cs="Times New Roman" w:eastAsia="Times New Roman" w:hAnsi="Times New Roman"/>
                <w:sz w:val="18"/>
                <w:szCs w:val="18"/>
                <w:color w:val="auto"/>
              </w:rPr>
              <w:t>“Assumed RSU Award”</w:t>
            </w:r>
          </w:p>
        </w:tc>
        <w:tc>
          <w:tcPr>
            <w:tcW w:w="6680" w:type="dxa"/>
            <w:vAlign w:val="bottom"/>
            <w:tcBorders>
              <w:right w:val="single" w:sz="8" w:color="auto"/>
            </w:tcBorders>
          </w:tcPr>
          <w:p>
            <w:pPr>
              <w:ind w:left="2280"/>
              <w:spacing w:after="0" w:line="169" w:lineRule="exact"/>
              <w:rPr>
                <w:sz w:val="20"/>
                <w:szCs w:val="20"/>
                <w:color w:val="auto"/>
              </w:rPr>
            </w:pPr>
            <w:r>
              <w:rPr>
                <w:rFonts w:ascii="Times New Roman" w:cs="Times New Roman" w:eastAsia="Times New Roman" w:hAnsi="Times New Roman"/>
                <w:sz w:val="18"/>
                <w:szCs w:val="18"/>
                <w:color w:val="auto"/>
              </w:rPr>
              <w:t>Section 2.6(b)(ii)</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r>
      <w:tr>
        <w:trPr>
          <w:trHeight w:val="169"/>
        </w:trPr>
        <w:tc>
          <w:tcPr>
            <w:tcW w:w="4560" w:type="dxa"/>
            <w:vAlign w:val="bottom"/>
            <w:tcBorders>
              <w:left w:val="single" w:sz="8" w:color="auto"/>
            </w:tcBorders>
            <w:gridSpan w:val="12"/>
          </w:tcPr>
          <w:p>
            <w:pPr>
              <w:ind w:left="120"/>
              <w:spacing w:after="0" w:line="169" w:lineRule="exact"/>
              <w:rPr>
                <w:sz w:val="20"/>
                <w:szCs w:val="20"/>
                <w:color w:val="auto"/>
              </w:rPr>
            </w:pPr>
            <w:r>
              <w:rPr>
                <w:rFonts w:ascii="Times New Roman" w:cs="Times New Roman" w:eastAsia="Times New Roman" w:hAnsi="Times New Roman"/>
                <w:sz w:val="18"/>
                <w:szCs w:val="18"/>
                <w:color w:val="auto"/>
              </w:rPr>
              <w:t>“Certificate of Merger”</w:t>
            </w:r>
          </w:p>
        </w:tc>
        <w:tc>
          <w:tcPr>
            <w:tcW w:w="6680" w:type="dxa"/>
            <w:vAlign w:val="bottom"/>
            <w:tcBorders>
              <w:right w:val="single" w:sz="8" w:color="auto"/>
            </w:tcBorders>
          </w:tcPr>
          <w:p>
            <w:pPr>
              <w:ind w:left="2280"/>
              <w:spacing w:after="0" w:line="169" w:lineRule="exact"/>
              <w:rPr>
                <w:sz w:val="20"/>
                <w:szCs w:val="20"/>
                <w:color w:val="auto"/>
              </w:rPr>
            </w:pPr>
            <w:r>
              <w:rPr>
                <w:rFonts w:ascii="Times New Roman" w:cs="Times New Roman" w:eastAsia="Times New Roman" w:hAnsi="Times New Roman"/>
                <w:sz w:val="18"/>
                <w:szCs w:val="18"/>
                <w:color w:val="auto"/>
              </w:rPr>
              <w:t>Section 1.2(b)</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r>
      <w:tr>
        <w:trPr>
          <w:trHeight w:val="169"/>
        </w:trPr>
        <w:tc>
          <w:tcPr>
            <w:tcW w:w="4560" w:type="dxa"/>
            <w:vAlign w:val="bottom"/>
            <w:tcBorders>
              <w:left w:val="single" w:sz="8" w:color="auto"/>
            </w:tcBorders>
            <w:gridSpan w:val="12"/>
          </w:tcPr>
          <w:p>
            <w:pPr>
              <w:ind w:left="120"/>
              <w:spacing w:after="0" w:line="169" w:lineRule="exact"/>
              <w:rPr>
                <w:sz w:val="20"/>
                <w:szCs w:val="20"/>
                <w:color w:val="auto"/>
              </w:rPr>
            </w:pPr>
            <w:r>
              <w:rPr>
                <w:rFonts w:ascii="Times New Roman" w:cs="Times New Roman" w:eastAsia="Times New Roman" w:hAnsi="Times New Roman"/>
                <w:sz w:val="18"/>
                <w:szCs w:val="18"/>
                <w:color w:val="auto"/>
              </w:rPr>
              <w:t>“Change of Company Board Recommendation”</w:t>
            </w:r>
          </w:p>
        </w:tc>
        <w:tc>
          <w:tcPr>
            <w:tcW w:w="6680" w:type="dxa"/>
            <w:vAlign w:val="bottom"/>
            <w:tcBorders>
              <w:right w:val="single" w:sz="8" w:color="auto"/>
            </w:tcBorders>
          </w:tcPr>
          <w:p>
            <w:pPr>
              <w:ind w:left="2280"/>
              <w:spacing w:after="0" w:line="169" w:lineRule="exact"/>
              <w:rPr>
                <w:sz w:val="20"/>
                <w:szCs w:val="20"/>
                <w:color w:val="auto"/>
              </w:rPr>
            </w:pPr>
            <w:r>
              <w:rPr>
                <w:rFonts w:ascii="Times New Roman" w:cs="Times New Roman" w:eastAsia="Times New Roman" w:hAnsi="Times New Roman"/>
                <w:sz w:val="18"/>
                <w:szCs w:val="18"/>
                <w:color w:val="auto"/>
              </w:rPr>
              <w:t>Section 6.3(a)</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580" w:type="dxa"/>
            <w:vAlign w:val="bottom"/>
            <w:tcBorders>
              <w:top w:val="single" w:sz="8" w:color="auto"/>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r>
      <w:tr>
        <w:trPr>
          <w:trHeight w:val="169"/>
        </w:trPr>
        <w:tc>
          <w:tcPr>
            <w:tcW w:w="4560" w:type="dxa"/>
            <w:vAlign w:val="bottom"/>
            <w:tcBorders>
              <w:left w:val="single" w:sz="8" w:color="auto"/>
            </w:tcBorders>
            <w:gridSpan w:val="12"/>
          </w:tcPr>
          <w:p>
            <w:pPr>
              <w:ind w:left="120"/>
              <w:spacing w:after="0" w:line="169" w:lineRule="exact"/>
              <w:rPr>
                <w:sz w:val="20"/>
                <w:szCs w:val="20"/>
                <w:color w:val="auto"/>
              </w:rPr>
            </w:pPr>
            <w:r>
              <w:rPr>
                <w:rFonts w:ascii="Times New Roman" w:cs="Times New Roman" w:eastAsia="Times New Roman" w:hAnsi="Times New Roman"/>
                <w:sz w:val="18"/>
                <w:szCs w:val="18"/>
                <w:color w:val="auto"/>
              </w:rPr>
              <w:t>“Clean Team Agreement”</w:t>
            </w:r>
          </w:p>
        </w:tc>
        <w:tc>
          <w:tcPr>
            <w:tcW w:w="6680" w:type="dxa"/>
            <w:vAlign w:val="bottom"/>
            <w:tcBorders>
              <w:right w:val="single" w:sz="8" w:color="auto"/>
            </w:tcBorders>
          </w:tcPr>
          <w:p>
            <w:pPr>
              <w:ind w:left="2280"/>
              <w:spacing w:after="0" w:line="169" w:lineRule="exact"/>
              <w:rPr>
                <w:sz w:val="20"/>
                <w:szCs w:val="20"/>
                <w:color w:val="auto"/>
              </w:rPr>
            </w:pPr>
            <w:r>
              <w:rPr>
                <w:rFonts w:ascii="Times New Roman" w:cs="Times New Roman" w:eastAsia="Times New Roman" w:hAnsi="Times New Roman"/>
                <w:sz w:val="18"/>
                <w:szCs w:val="18"/>
                <w:color w:val="auto"/>
              </w:rPr>
              <w:t>Section 6.2(b)</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r>
      <w:tr>
        <w:trPr>
          <w:trHeight w:val="169"/>
        </w:trPr>
        <w:tc>
          <w:tcPr>
            <w:tcW w:w="4560" w:type="dxa"/>
            <w:vAlign w:val="bottom"/>
            <w:tcBorders>
              <w:left w:val="single" w:sz="8" w:color="auto"/>
            </w:tcBorders>
            <w:gridSpan w:val="12"/>
          </w:tcPr>
          <w:p>
            <w:pPr>
              <w:ind w:left="120"/>
              <w:spacing w:after="0" w:line="169" w:lineRule="exact"/>
              <w:rPr>
                <w:sz w:val="20"/>
                <w:szCs w:val="20"/>
                <w:color w:val="auto"/>
              </w:rPr>
            </w:pPr>
            <w:r>
              <w:rPr>
                <w:rFonts w:ascii="Times New Roman" w:cs="Times New Roman" w:eastAsia="Times New Roman" w:hAnsi="Times New Roman"/>
                <w:sz w:val="18"/>
                <w:szCs w:val="18"/>
                <w:color w:val="auto"/>
              </w:rPr>
              <w:t>“Closing”</w:t>
            </w:r>
          </w:p>
        </w:tc>
        <w:tc>
          <w:tcPr>
            <w:tcW w:w="6680" w:type="dxa"/>
            <w:vAlign w:val="bottom"/>
            <w:tcBorders>
              <w:right w:val="single" w:sz="8" w:color="auto"/>
            </w:tcBorders>
          </w:tcPr>
          <w:p>
            <w:pPr>
              <w:ind w:left="2280"/>
              <w:spacing w:after="0" w:line="169" w:lineRule="exact"/>
              <w:rPr>
                <w:sz w:val="20"/>
                <w:szCs w:val="20"/>
                <w:color w:val="auto"/>
              </w:rPr>
            </w:pPr>
            <w:r>
              <w:rPr>
                <w:rFonts w:ascii="Times New Roman" w:cs="Times New Roman" w:eastAsia="Times New Roman" w:hAnsi="Times New Roman"/>
                <w:sz w:val="18"/>
                <w:szCs w:val="18"/>
                <w:color w:val="auto"/>
              </w:rPr>
              <w:t>Section 1.2(a)</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r>
      <w:tr>
        <w:trPr>
          <w:trHeight w:val="169"/>
        </w:trPr>
        <w:tc>
          <w:tcPr>
            <w:tcW w:w="4560" w:type="dxa"/>
            <w:vAlign w:val="bottom"/>
            <w:tcBorders>
              <w:left w:val="single" w:sz="8" w:color="auto"/>
            </w:tcBorders>
            <w:gridSpan w:val="12"/>
          </w:tcPr>
          <w:p>
            <w:pPr>
              <w:ind w:left="120"/>
              <w:spacing w:after="0" w:line="169" w:lineRule="exact"/>
              <w:rPr>
                <w:sz w:val="20"/>
                <w:szCs w:val="20"/>
                <w:color w:val="auto"/>
              </w:rPr>
            </w:pPr>
            <w:r>
              <w:rPr>
                <w:rFonts w:ascii="Times New Roman" w:cs="Times New Roman" w:eastAsia="Times New Roman" w:hAnsi="Times New Roman"/>
                <w:sz w:val="18"/>
                <w:szCs w:val="18"/>
                <w:color w:val="auto"/>
              </w:rPr>
              <w:t>“Closing Date”</w:t>
            </w:r>
          </w:p>
        </w:tc>
        <w:tc>
          <w:tcPr>
            <w:tcW w:w="6680" w:type="dxa"/>
            <w:vAlign w:val="bottom"/>
            <w:tcBorders>
              <w:right w:val="single" w:sz="8" w:color="auto"/>
            </w:tcBorders>
          </w:tcPr>
          <w:p>
            <w:pPr>
              <w:ind w:left="2280"/>
              <w:spacing w:after="0" w:line="169" w:lineRule="exact"/>
              <w:rPr>
                <w:sz w:val="20"/>
                <w:szCs w:val="20"/>
                <w:color w:val="auto"/>
              </w:rPr>
            </w:pPr>
            <w:r>
              <w:rPr>
                <w:rFonts w:ascii="Times New Roman" w:cs="Times New Roman" w:eastAsia="Times New Roman" w:hAnsi="Times New Roman"/>
                <w:sz w:val="18"/>
                <w:szCs w:val="18"/>
                <w:color w:val="auto"/>
              </w:rPr>
              <w:t>Section 1.2(a)</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r>
      <w:tr>
        <w:trPr>
          <w:trHeight w:val="169"/>
        </w:trPr>
        <w:tc>
          <w:tcPr>
            <w:tcW w:w="4560" w:type="dxa"/>
            <w:vAlign w:val="bottom"/>
            <w:tcBorders>
              <w:left w:val="single" w:sz="8" w:color="auto"/>
            </w:tcBorders>
            <w:gridSpan w:val="12"/>
          </w:tcPr>
          <w:p>
            <w:pPr>
              <w:ind w:left="120"/>
              <w:spacing w:after="0" w:line="169" w:lineRule="exact"/>
              <w:rPr>
                <w:sz w:val="20"/>
                <w:szCs w:val="20"/>
                <w:color w:val="auto"/>
              </w:rPr>
            </w:pPr>
            <w:r>
              <w:rPr>
                <w:rFonts w:ascii="Times New Roman" w:cs="Times New Roman" w:eastAsia="Times New Roman" w:hAnsi="Times New Roman"/>
                <w:sz w:val="18"/>
                <w:szCs w:val="18"/>
                <w:color w:val="auto"/>
              </w:rPr>
              <w:t>“COBRA”</w:t>
            </w:r>
          </w:p>
        </w:tc>
        <w:tc>
          <w:tcPr>
            <w:tcW w:w="6680" w:type="dxa"/>
            <w:vAlign w:val="bottom"/>
            <w:tcBorders>
              <w:right w:val="single" w:sz="8" w:color="auto"/>
            </w:tcBorders>
          </w:tcPr>
          <w:p>
            <w:pPr>
              <w:ind w:left="2280"/>
              <w:spacing w:after="0" w:line="169" w:lineRule="exact"/>
              <w:rPr>
                <w:sz w:val="20"/>
                <w:szCs w:val="20"/>
                <w:color w:val="auto"/>
              </w:rPr>
            </w:pPr>
            <w:r>
              <w:rPr>
                <w:rFonts w:ascii="Times New Roman" w:cs="Times New Roman" w:eastAsia="Times New Roman" w:hAnsi="Times New Roman"/>
                <w:sz w:val="18"/>
                <w:szCs w:val="18"/>
                <w:color w:val="auto"/>
              </w:rPr>
              <w:t>Section 3.9(d)</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r>
      <w:tr>
        <w:trPr>
          <w:trHeight w:val="169"/>
        </w:trPr>
        <w:tc>
          <w:tcPr>
            <w:tcW w:w="4560" w:type="dxa"/>
            <w:vAlign w:val="bottom"/>
            <w:tcBorders>
              <w:left w:val="single" w:sz="8" w:color="auto"/>
            </w:tcBorders>
            <w:gridSpan w:val="12"/>
          </w:tcPr>
          <w:p>
            <w:pPr>
              <w:ind w:left="120"/>
              <w:spacing w:after="0" w:line="169" w:lineRule="exact"/>
              <w:rPr>
                <w:sz w:val="20"/>
                <w:szCs w:val="20"/>
                <w:color w:val="auto"/>
              </w:rPr>
            </w:pPr>
            <w:r>
              <w:rPr>
                <w:rFonts w:ascii="Times New Roman" w:cs="Times New Roman" w:eastAsia="Times New Roman" w:hAnsi="Times New Roman"/>
                <w:sz w:val="18"/>
                <w:szCs w:val="18"/>
                <w:color w:val="auto"/>
              </w:rPr>
              <w:t>“Company”</w:t>
            </w:r>
          </w:p>
        </w:tc>
        <w:tc>
          <w:tcPr>
            <w:tcW w:w="6680" w:type="dxa"/>
            <w:vAlign w:val="bottom"/>
            <w:tcBorders>
              <w:right w:val="single" w:sz="8" w:color="auto"/>
            </w:tcBorders>
          </w:tcPr>
          <w:p>
            <w:pPr>
              <w:ind w:left="2280"/>
              <w:spacing w:after="0" w:line="169" w:lineRule="exact"/>
              <w:rPr>
                <w:sz w:val="20"/>
                <w:szCs w:val="20"/>
                <w:color w:val="auto"/>
              </w:rPr>
            </w:pPr>
            <w:r>
              <w:rPr>
                <w:rFonts w:ascii="Times New Roman" w:cs="Times New Roman" w:eastAsia="Times New Roman" w:hAnsi="Times New Roman"/>
                <w:sz w:val="18"/>
                <w:szCs w:val="18"/>
                <w:color w:val="auto"/>
              </w:rPr>
              <w:t>Preamble</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r>
      <w:tr>
        <w:trPr>
          <w:trHeight w:val="675"/>
        </w:trPr>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83</w:t>
            </w:r>
          </w:p>
        </w:tc>
      </w:tr>
    </w:tbl>
    <w:p>
      <w:pPr>
        <w:sectPr>
          <w:pgSz w:w="11900" w:h="16838" w:orient="portrait"/>
          <w:cols w:equalWidth="0" w:num="1">
            <w:col w:w="11240"/>
          </w:cols>
          <w:pgMar w:left="320" w:top="904" w:right="339" w:bottom="1440" w:gutter="0" w:footer="0" w:header="0"/>
        </w:sectPr>
      </w:pPr>
    </w:p>
    <w:bookmarkStart w:id="96" w:name="page97"/>
    <w:bookmarkEnd w:id="9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4300" w:type="dxa"/>
            <w:vAlign w:val="bottom"/>
            <w:tcBorders>
              <w:top w:val="single" w:sz="8" w:color="auto"/>
            </w:tcBorders>
            <w:gridSpan w:val="36"/>
          </w:tcPr>
          <w:p>
            <w:pPr>
              <w:spacing w:after="0" w:line="189" w:lineRule="exact"/>
              <w:rPr>
                <w:sz w:val="20"/>
                <w:szCs w:val="20"/>
                <w:color w:val="auto"/>
              </w:rPr>
            </w:pPr>
            <w:r>
              <w:rPr>
                <w:rFonts w:ascii="Times New Roman" w:cs="Times New Roman" w:eastAsia="Times New Roman" w:hAnsi="Times New Roman"/>
                <w:sz w:val="18"/>
                <w:szCs w:val="18"/>
                <w:color w:val="auto"/>
              </w:rPr>
              <w:t>“Company 401(k) Plans”</w:t>
            </w:r>
          </w:p>
        </w:tc>
        <w:tc>
          <w:tcPr>
            <w:tcW w:w="6820" w:type="dxa"/>
            <w:vAlign w:val="bottom"/>
            <w:tcBorders>
              <w:top w:val="single" w:sz="8" w:color="auto"/>
              <w:right w:val="single" w:sz="8" w:color="auto"/>
            </w:tcBorders>
          </w:tcPr>
          <w:p>
            <w:pPr>
              <w:ind w:left="2420"/>
              <w:spacing w:after="0" w:line="189" w:lineRule="exact"/>
              <w:rPr>
                <w:sz w:val="20"/>
                <w:szCs w:val="20"/>
                <w:color w:val="auto"/>
              </w:rPr>
            </w:pPr>
            <w:r>
              <w:rPr>
                <w:rFonts w:ascii="Times New Roman" w:cs="Times New Roman" w:eastAsia="Times New Roman" w:hAnsi="Times New Roman"/>
                <w:sz w:val="18"/>
                <w:szCs w:val="18"/>
                <w:color w:val="auto"/>
              </w:rPr>
              <w:t>Section 6.8(c)</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AI Products”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9.4</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Board”</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Board Recommendation”</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Book-Entry Shares”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2.2(b)(ii)</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Bylaws”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3.1(b)</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Cancelled Shares”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2.1(a)(iii)</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Capitalization Date”</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3.2(a)</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Certificated Shares”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2.2(b)(i)</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Charter”</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3.1(b)</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Common Stock”</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Disclosure Schedule”</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Article 3</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Fairness Opinion”</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3.21</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Financial Statements”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3.7(c)</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ISA Documents”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3.7(a)</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IT Assets”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3.15(j)</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Leased Real Property”</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3.18(b)</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Material Contract”</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3.11(b)</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Notice Period”</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6.3(e)(i)</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Permits”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3.12</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Preferred Stock”</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3.2(a)</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Real Property Leases”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3.18(b)</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Registered Intellectual Property”</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3.15(a)</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540" w:type="dxa"/>
            <w:vAlign w:val="bottom"/>
            <w:tcBorders>
              <w:top w:val="single" w:sz="8" w:color="auto"/>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Related Party”</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3.24</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Rights”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3.2(c)</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SEC Documents”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3.7(a)</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Stock”</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3.2(a)</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Stockholders Meeting”</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6.1(a)</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Subsidiary”</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3.1(a)</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Termination Fee”</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8.3(a)</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Transaction Litigation”</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6.6</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“Confidentiality Agreement”</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6.2(b)</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“Continuing Service Provider”</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2.6(a)(i)</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“Covered Persons”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6.9(a)</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“Current ESPP Offering Periods”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2.6(d)</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“Data Partners”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3.16(a)</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“DGCL”</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“Effect”</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9.4</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“Effective Time”</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1.2(b)</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“Enforceability Limitations”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3.3(a)</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“Estimated Closing Statement”</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2.8</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“Exchange Agent”</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2.2(a)</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675"/>
        </w:trPr>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84</w:t>
            </w:r>
          </w:p>
        </w:tc>
      </w:tr>
    </w:tbl>
    <w:p>
      <w:pPr>
        <w:sectPr>
          <w:pgSz w:w="11900" w:h="16838" w:orient="portrait"/>
          <w:cols w:equalWidth="0" w:num="1">
            <w:col w:w="11240"/>
          </w:cols>
          <w:pgMar w:left="320" w:top="929" w:right="339" w:bottom="1440" w:gutter="0" w:footer="0" w:header="0"/>
        </w:sectPr>
      </w:pPr>
    </w:p>
    <w:bookmarkStart w:id="97" w:name="page98"/>
    <w:bookmarkEnd w:id="9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300" w:type="dxa"/>
            <w:vAlign w:val="bottom"/>
            <w:tcBorders>
              <w:top w:val="single" w:sz="8" w:color="auto"/>
              <w:left w:val="single" w:sz="8" w:color="auto"/>
            </w:tcBorders>
            <w:gridSpan w:val="32"/>
          </w:tcPr>
          <w:p>
            <w:pPr>
              <w:ind w:left="120"/>
              <w:spacing w:after="0" w:line="189" w:lineRule="exact"/>
              <w:rPr>
                <w:sz w:val="20"/>
                <w:szCs w:val="20"/>
                <w:color w:val="auto"/>
              </w:rPr>
            </w:pPr>
            <w:r>
              <w:rPr>
                <w:rFonts w:ascii="Times New Roman" w:cs="Times New Roman" w:eastAsia="Times New Roman" w:hAnsi="Times New Roman"/>
                <w:sz w:val="18"/>
                <w:szCs w:val="18"/>
                <w:color w:val="auto"/>
              </w:rPr>
              <w:t>“Extended Outside Date”</w:t>
            </w:r>
          </w:p>
        </w:tc>
        <w:tc>
          <w:tcPr>
            <w:tcW w:w="6940" w:type="dxa"/>
            <w:vAlign w:val="bottom"/>
            <w:tcBorders>
              <w:top w:val="single" w:sz="8" w:color="auto"/>
              <w:right w:val="single" w:sz="8" w:color="auto"/>
            </w:tcBorders>
          </w:tcPr>
          <w:p>
            <w:pPr>
              <w:ind w:left="2540"/>
              <w:spacing w:after="0" w:line="189" w:lineRule="exact"/>
              <w:rPr>
                <w:sz w:val="20"/>
                <w:szCs w:val="20"/>
                <w:color w:val="auto"/>
              </w:rPr>
            </w:pPr>
            <w:r>
              <w:rPr>
                <w:rFonts w:ascii="Times New Roman" w:cs="Times New Roman" w:eastAsia="Times New Roman" w:hAnsi="Times New Roman"/>
                <w:sz w:val="18"/>
                <w:szCs w:val="18"/>
                <w:color w:val="auto"/>
              </w:rPr>
              <w:t>Section 8.1(b)</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“Houlihan Lokey”</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3.21</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“Initial Outside Date”</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8.1(b)</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“Integration Planning Activities”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6.14(a)</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“Intended Tax Treatment”</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2.10</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“Intermediate Sub”</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1.1(a)</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“Israeli Employees”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3.10(j)</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“Legal Impediment”</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7.1(b)</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“Merger”</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“Merger Sub”</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Preamble</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“New Plans”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6.8(b)</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“Non-U.S. Company Benefit Plan”</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3.9(a)</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“Notes Restructuring Agreement”</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“Notes Restructuring Transactions”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“OFAC”</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9.4</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“Old Plans”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6.8(b)</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“Outside Date”</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8.1(b)</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“Parent”</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Preamble</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“Parent Board”</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“Parent Financial Statements”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4.5(c)</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“Parent Parties”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Preamble</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“Parent SEC Documents”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4.5(a)</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“Parent Subsidiary”</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2.1(a)(iii)</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“Privacy Requirements”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3.16(a)</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“Proxy Statement/Prospectus”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6.1(a)</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“Registration Statement”</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6.1(a)</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“Required Company Vote”</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3.3(a)</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“Section 14 Arrangement”</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3.10(j)</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“Surviving Corporation”</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“Takeover Statutes”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3.23</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“Tax Benefits Preservation Plan Waiver”</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3.3(b)</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“Terminated Company 401(k) Plan”</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6.8(c)</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“Trade Secrets”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9.4</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“WARN Act”</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3.10(f)</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648"/>
        </w:trPr>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85</w:t>
            </w:r>
          </w:p>
        </w:tc>
      </w:tr>
    </w:tbl>
    <w:p>
      <w:pPr>
        <w:sectPr>
          <w:pgSz w:w="11900" w:h="16838" w:orient="portrait"/>
          <w:cols w:equalWidth="0" w:num="1">
            <w:col w:w="11240"/>
          </w:cols>
          <w:pgMar w:left="320" w:top="929" w:right="339" w:bottom="1440" w:gutter="0" w:footer="0" w:header="0"/>
        </w:sectPr>
      </w:pPr>
    </w:p>
    <w:bookmarkStart w:id="98" w:name="page99"/>
    <w:bookmarkEnd w:id="98"/>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of this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Exhibits, the Company Disclosure Schedule and the other documents delivered pursuant hereto), the Confidentiality Agreement and the Clean Team Agreement constitute the entire agreement of the parties and supersede all prior agreements and undertakings, both written and oral, among the parties, or any of them, with respect to the subject matter hereof and, except as otherwise expressly provided herein or therein, are not intended to confer upon any other Person any rights or remedies hereunder or thereunder.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under this Agreement shall be assigned, in whole or in part, by any of the parties without the prior written consent of the other parties. Any attempted or purported assignment in violation of the preceding sentence shall be null and void and of no effect whatsoever. Subject to the preceding two sentences, this Agreement shall be binding upon, inure to the benefit of, and be enforceable by, the parties and their respective successors and assigns.</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Parent or the Company.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This Agreement shall be binding upon and inure solely to the benefit of the parties and their respective successors and assigns, and, subject to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nothing in this Agreement is intended to or shall confer upon any other Person any right, benefit or remedy of any nature whatsoever under or by reason of this Agreement. The representations and warranties in this Agreement are the product of negotiations among the parties and are for the sole benefit of the parties. Any inaccuracies in such representations and warranties are subject to waiver by the parties without notice or liability to any other Person. In some instances, the representations and warranties in this Agreement may represent an allocation among the parties of risks associated with particular matters regardless of the knowledge of any of the parties, and consequently, may not accurately characterize actual facts or circumstances.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Mutual Drafting; Interpretation</w:t>
      </w:r>
      <w:r>
        <w:rPr>
          <w:rFonts w:ascii="Times New Roman" w:cs="Times New Roman" w:eastAsia="Times New Roman" w:hAnsi="Times New Roman"/>
          <w:sz w:val="18"/>
          <w:szCs w:val="18"/>
          <w:color w:val="auto"/>
        </w:rPr>
        <w:t>.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As used in this Agreement, the words “include” and “including” and variations thereof, shall not be deemed to be terms of limitation, but rather shall be deemed to be followed by the words “without limitation.” As used in this Agreement, references to a “party” or the “parties” are intended to refer to a party to this Agreement or the parties to this Agreement. Except as otherwise indicated, all references in this Agreement to “Sections,” “Exhibits,” and “Schedules” are intended to refer to Sections of this Agreement, and Exhibits and Schedules to this Agreement. The Exhibits and Schedules attached to this Agreement constitute a part of this Agreement and are incorporated herein for all purposes. The words “hereof,” “hereto,” “hereby,” “herein,” “hereunder” and words of similar import, when used in this Agreement, shall refer to this Agreement as a whole and not to any particular section or article in which such words appear. All references in this Agreement to “dollars” or “$” are intended to refer to U.S. dollars. Unless otherwise specifically provided for herein, the term “or” shall not be deemed to be exclusive. Any Contract or Law defined or referred to herein means any such Contract or Law as from time to time amended, modified or supplemented, unless otherwise specifically indicated. Any statement in this Agreement to the effect that any information, document or other material has been “furnished,” “delivered” or “made available” to a party or its representatives means that such information, document or other material was posted to the electronic data room hosted by Intralinks on behalf of the Company in connection with the transactions contemplated hereby no later than 11:59 p.m. New York City time on the date that is two Business Days prior to the date hereof and has been made available on a continuous basis by or on behalf the Company for review therein by Parent and the Parent Representatives since such time.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Governing Law; Consent to Jurisdiction; Waiver of Trial by Jury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6" w:lineRule="auto"/>
        <w:tabs>
          <w:tab w:leader="none" w:pos="224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and causes of action arising in connection herewith shall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1952"/>
        <w:spacing w:after="0" w:line="253" w:lineRule="auto"/>
        <w:tabs>
          <w:tab w:leader="none" w:pos="224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hereby irrevocably and unconditionally submits, for itself and its property, to the exclusive jurisdiction of the Court of Chancery of the State of Delaware or, solely if such court does not have subject matter jurisdiction, the Superior Court of the State of Delaware (Complex 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in any Proceeding arising out of or relating to this Agreement or the transactions contemplated hereby or thereby or for recognition or enforcement of any judgment relating thereto, and each of the parties hereby irrevocably and unconditionally (i) agrees not to commence any such Proceeding except in such courts, (ii) agrees that any claim in respect of any such Proceeding may be heard and determined in such court, (iii) waives, to the fullest extent it may legally and effectively do so, any objection which it may now or hereafter have to the laying of venue of any such Proceeding in any such court, and (iv) waives, to the fullest extent permitted by Law, the defense of an inconvenient forum to the maintenance of such Proceeding in any such court. Each of the parties agrees that a final judgment in any such Proceeding shall be conclusive and may be enforced in other jurisdictions by suit on the judgment or in any other manner provided by Law. Each party to this Agreement, to the fullest extent permitted by Law, irrevocably consents to service of process in the manner provided for notices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Nothing in this Agreement shall affect the right of any party to this Agreement to serve process in any other manner permitted by Law.</w:t>
      </w:r>
    </w:p>
    <w:p>
      <w:pPr>
        <w:spacing w:after="0" w:line="187"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33"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THAT ANY CONTROVERSY WHICH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AND ANY OF THE AGREEMENTS DELIVERED IN CONNECTION HEREWITH OR THE TRANSACTIONS CONTEMPLATED HEREBY OR THEREBY. EACH PARTY CERTIFIES AND ACKNOWLEDGES THAT</w:t>
      </w:r>
    </w:p>
    <w:p>
      <w:pPr>
        <w:spacing w:after="0" w:line="3" w:lineRule="exact"/>
        <w:rPr>
          <w:rFonts w:ascii="Times New Roman" w:cs="Times New Roman" w:eastAsia="Times New Roman" w:hAnsi="Times New Roman"/>
          <w:sz w:val="18"/>
          <w:szCs w:val="18"/>
          <w:color w:val="auto"/>
        </w:rPr>
      </w:pPr>
    </w:p>
    <w:p>
      <w:pPr>
        <w:jc w:val="both"/>
        <w:ind w:firstLine="8"/>
        <w:spacing w:after="0" w:line="253" w:lineRule="auto"/>
        <w:tabs>
          <w:tab w:leader="none" w:pos="22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9.12(c)</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any number of counterparts, including by facsimile or other electronic transmission each of which shall be an original, with the same effect as if the signatures thereto and hereto were upon the same instrument. This Agreement shall become effective when each party shall have received a counterpart hereof signed by all of the other parties. Until and unless each party has received a counterpart hereof signed by the other parties, this Agreement shall have no effect and no party shall have any right or obligation hereunder (whether by virtue of any other oral or written agreement or other communication). The words “execution,” “execute”, “signed,” “signature,” and words of like import in or related to Agreement or any document to be signed in connection with this Agreement and the transactions contemplated hereby shall be deemed to include signatures transmitted by electronic mail in “portable document format” (“.pdf”) form, or by any other electronic means,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or any other similar state Laws based on the Uniform Electronic Transactions Act.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if any of the provisions of this Agreement are not performed in accordance with their specific terms or are otherwise breached (including failing to take such actions as are required by the parties hereunder to consummate the transactions contemplated hereby), irreparable damage would occur, no adequate remedy at Law would exist and damages would be difficult to determine, and accordingly, subject to the limitations set forth in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(a) the parties shall be entitled to an injunction or injunctions to prevent breaches of this Agreement and to specific performance of the terms hereof, in each case, in the Court of Chancery of the State of Delaware or, solely if such court does not have subject matter jurisdiction, the Superior Court of the State of Delaware (Complex 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this being in addition to any other remedy to which they are entitled at Law or in equity, (b) the parties waive any requirement for the securing or posting of any bond in connection with the obtaining of any specific performance or injunctive relief and (c) the parties shall waive, in any action for specific performance, the defense of adequacy of a remedy at Law. The Company’s or Parent’s pursuit of specific performance at any time shall not be deemed an election of remedies or waiver of the right to pursue any other right or remedy to which such party may be entitled, including the right to pursue remedies for liabilities or damages incurred or suffered by the other party in the case of a breach of this Agreement involving a Willful and Material Breach. It is accordingly agreed that, prior to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parties shall be entitled to an injunction or injunctions to prevent breaches of this Agreement and to enforce specifically the terms and provisions of this Agreement (without necessity of posting bond or other security (any requirements therefor being expressly waived)) in accordance with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this being in addition to any other remedy to which they are entitled at Law or in equity.</w:t>
      </w:r>
    </w:p>
    <w:p>
      <w:pPr>
        <w:spacing w:after="0" w:line="19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Modification or Amendment</w:t>
      </w:r>
      <w:r>
        <w:rPr>
          <w:rFonts w:ascii="Times New Roman" w:cs="Times New Roman" w:eastAsia="Times New Roman" w:hAnsi="Times New Roman"/>
          <w:sz w:val="18"/>
          <w:szCs w:val="18"/>
          <w:color w:val="auto"/>
        </w:rPr>
        <w:t xml:space="preserve">. This Agreement may be amended, modified or supplemented by the parties by action taken or authorized by their respective Boards of Directors at any time prior to the Effective Time, whether before or after Company has obtained the Required Company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the Required Company Vote has been obtained, no amendment shall be made that, pursuant to applicable Law, requires further approval or adoption by the stockholders of Company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At any time prior to the Effective Time, the parties may, by action taken or authorized by their respective Boards of Directors, to the extent permitted by applicable Law, (a) extend the time for the performance of any of the obligations or acts of the other parties,</w:t>
      </w:r>
    </w:p>
    <w:p>
      <w:pPr>
        <w:jc w:val="both"/>
        <w:ind w:firstLine="8"/>
        <w:spacing w:after="0" w:line="251" w:lineRule="auto"/>
        <w:tabs>
          <w:tab w:leader="none" w:pos="25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any inaccuracies in the representations and warranties of the other parties set forth in this Agreement or any document delivered pursuant hereto, or (c) waive compliance with any of the agreements or conditions of the other parties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the Required Company Vote has been obtained, no waiver may be made that pursuant to applicable Law requires further approval or adoption by the stockholders of the Company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Parent Parties and the Company have caused this Agreement to be executed as of the date first written above by their respective officers or managers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LIGHTSPEED MERGER SUB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LIVEPERSON, INC.</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John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John Collins</w:t>
      </w:r>
    </w:p>
    <w:p>
      <w:pPr>
        <w:spacing w:after="0" w:line="27" w:lineRule="exact"/>
        <w:rPr>
          <w:sz w:val="20"/>
          <w:szCs w:val="20"/>
          <w:color w:val="auto"/>
        </w:rPr>
      </w:pPr>
    </w:p>
    <w:p>
      <w:pPr>
        <w:jc w:val="right"/>
        <w:spacing w:after="0"/>
        <w:tabs>
          <w:tab w:leader="none" w:pos="24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Chief</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Operating Officer</w:t>
      </w: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80"/>
          </w:cols>
          <w:pgMar w:left="1440" w:top="900" w:right="137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RESTRUCTURING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NOTES RESTRUCTURING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as of April 21, 2026, by and among LivePerson, Inc., a Delaware corporation (the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SoundHound AI, Inc., a Delaware corporation (the “</w:t>
      </w:r>
      <w:r>
        <w:rPr>
          <w:rFonts w:ascii="Times New Roman" w:cs="Times New Roman" w:eastAsia="Times New Roman" w:hAnsi="Times New Roman"/>
          <w:sz w:val="18"/>
          <w:szCs w:val="18"/>
          <w:b w:val="1"/>
          <w:bCs w:val="1"/>
          <w:i w:val="1"/>
          <w:iCs w:val="1"/>
          <w:color w:val="auto"/>
        </w:rPr>
        <w:t>Acquiror</w:t>
      </w:r>
      <w:r>
        <w:rPr>
          <w:rFonts w:ascii="Times New Roman" w:cs="Times New Roman" w:eastAsia="Times New Roman" w:hAnsi="Times New Roman"/>
          <w:sz w:val="18"/>
          <w:szCs w:val="18"/>
          <w:color w:val="auto"/>
        </w:rPr>
        <w:t xml:space="preserve">”), and the several holders of the Secured Notes (as defined below) listed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The Issuer, the Acquiror, and each Holder are referred to herein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each,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before the date hereof, the Issuer issued $200.0 million in aggregate principal amount of its First Lien Convertible Secured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2029 (the “</w:t>
      </w:r>
      <w:r>
        <w:rPr>
          <w:rFonts w:ascii="Times New Roman" w:cs="Times New Roman" w:eastAsia="Times New Roman" w:hAnsi="Times New Roman"/>
          <w:sz w:val="18"/>
          <w:szCs w:val="18"/>
          <w:b w:val="1"/>
          <w:bCs w:val="1"/>
          <w:i w:val="1"/>
          <w:iCs w:val="1"/>
          <w:color w:val="auto"/>
        </w:rPr>
        <w:t>First Lien Secured Notes</w:t>
      </w:r>
      <w:r>
        <w:rPr>
          <w:rFonts w:ascii="Times New Roman" w:cs="Times New Roman" w:eastAsia="Times New Roman" w:hAnsi="Times New Roman"/>
          <w:sz w:val="18"/>
          <w:szCs w:val="18"/>
          <w:color w:val="auto"/>
        </w:rPr>
        <w:t>”), and following payments of interest in kind, $221,877,243.00 principal amount of First Lien Secured Notes are outstanding as of the date hereof;</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September 12, 2025, the Issuer issued $115.0 million in aggregate principal amount of its 10.0% Second Lien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Subordinated Secured Notes due 2029 (the “</w:t>
      </w:r>
      <w:r>
        <w:rPr>
          <w:rFonts w:ascii="Times New Roman" w:cs="Times New Roman" w:eastAsia="Times New Roman" w:hAnsi="Times New Roman"/>
          <w:sz w:val="18"/>
          <w:szCs w:val="18"/>
          <w:b w:val="1"/>
          <w:bCs w:val="1"/>
          <w:i w:val="1"/>
          <w:iCs w:val="1"/>
          <w:color w:val="auto"/>
        </w:rPr>
        <w:t>Second Lien Secured Notes</w:t>
      </w:r>
      <w:r>
        <w:rPr>
          <w:rFonts w:ascii="Times New Roman" w:cs="Times New Roman" w:eastAsia="Times New Roman" w:hAnsi="Times New Roman"/>
          <w:sz w:val="18"/>
          <w:szCs w:val="18"/>
          <w:color w:val="auto"/>
        </w:rPr>
        <w:t>,” and together with the First Lien Secured Notes, the “</w:t>
      </w:r>
      <w:r>
        <w:rPr>
          <w:rFonts w:ascii="Times New Roman" w:cs="Times New Roman" w:eastAsia="Times New Roman" w:hAnsi="Times New Roman"/>
          <w:sz w:val="18"/>
          <w:szCs w:val="18"/>
          <w:b w:val="1"/>
          <w:bCs w:val="1"/>
          <w:i w:val="1"/>
          <w:iCs w:val="1"/>
          <w:color w:val="auto"/>
        </w:rPr>
        <w:t>Secured Notes</w:t>
      </w:r>
      <w:r>
        <w:rPr>
          <w:rFonts w:ascii="Times New Roman" w:cs="Times New Roman" w:eastAsia="Times New Roman" w:hAnsi="Times New Roman"/>
          <w:sz w:val="18"/>
          <w:szCs w:val="18"/>
          <w:color w:val="auto"/>
        </w:rPr>
        <w:t>”), and following a payment of interest in kind, $120,845,834.00 principal amount of Second Lien Secured Notes are outstanding as of the date 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Holders hold, in aggregate, one hundred percent (100%) of the outstanding Secured Notes;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Acquiror, the Issuer and Lightspeed Merger Sub Inc., a Delaware corporation and an indirect wholly owned subsidiary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Acquiror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have entered into that certain Merger Agreement (as amended, supplemented or modified from time to time in accordance with the terms thereof,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dated as of the date hereof, pursuant to which, upon the terms and subject to the satisfaction or waiver of the conditions set forth in the Merger Agreement, among other things, at the Effective Time (as defined in the Merger Agreement), Merger Sub shall merge with and into the Issuer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the separate corporate existence of Merger Sub shall cease and the Issuer shall continue as the surviving corporation of the Merger and an indirect, wholly owned subsidiary of the Acquiror;</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and contingent on the consummation of the transactions contemplated by the Merger Agreement,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the Acquiror wishes to offer, and the Holders wish to accept, the Consideration (as defined below) on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5" w:name="page106"/>
    <w:bookmarkEnd w:id="105"/>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set forth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Parties agree as follows: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Convertible Notes</w:t>
      </w:r>
      <w:r>
        <w:rPr>
          <w:rFonts w:ascii="Times New Roman" w:cs="Times New Roman" w:eastAsia="Times New Roman" w:hAnsi="Times New Roman"/>
          <w:sz w:val="18"/>
          <w:szCs w:val="18"/>
          <w:color w:val="auto"/>
        </w:rPr>
        <w:t>” means the 0% convertible notes due 2026 issued by the Issuer.</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Notes Discount Capture</w:t>
      </w:r>
      <w:r>
        <w:rPr>
          <w:rFonts w:ascii="Times New Roman" w:cs="Times New Roman" w:eastAsia="Times New Roman" w:hAnsi="Times New Roman"/>
          <w:sz w:val="18"/>
          <w:szCs w:val="18"/>
          <w:color w:val="auto"/>
        </w:rPr>
        <w:t xml:space="preserve">” means, solely as to any 2026 Convertible Notes repurchased and retired by the Issuer between April 1, 2026 and the Closing, the difference between (a) the principal amount of such 2026 Convertible Notes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amount of cash paid to repurchase such 2026 Convertible Notes.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 Cash Election</w:t>
      </w:r>
      <w:r>
        <w:rPr>
          <w:rFonts w:ascii="Times New Roman" w:cs="Times New Roman" w:eastAsia="Times New Roman" w:hAnsi="Times New Roman"/>
          <w:sz w:val="18"/>
          <w:szCs w:val="18"/>
          <w:color w:val="auto"/>
        </w:rPr>
        <w:t>” has the meaning set forth in Section 2.01.</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 Closing VWAP</w:t>
      </w:r>
      <w:r>
        <w:rPr>
          <w:rFonts w:ascii="Times New Roman" w:cs="Times New Roman" w:eastAsia="Times New Roman" w:hAnsi="Times New Roman"/>
          <w:sz w:val="18"/>
          <w:szCs w:val="18"/>
          <w:color w:val="auto"/>
        </w:rPr>
        <w:t>” means the price per share of a share of Acquiror Common Stock derived from the average daily volume weighted average prices of a share of Acquiror Common Stock on the Nasdaq on each of the ten (10) consecutive Trading Days ending on (and including) the Trading Day that is three (3) Trading Days prior to the Closing Date, rounded down to the nearest penny, as reported by Bloomberg.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 Common Stock</w:t>
      </w:r>
      <w:r>
        <w:rPr>
          <w:rFonts w:ascii="Times New Roman" w:cs="Times New Roman" w:eastAsia="Times New Roman" w:hAnsi="Times New Roman"/>
          <w:sz w:val="18"/>
          <w:szCs w:val="18"/>
          <w:color w:val="auto"/>
        </w:rPr>
        <w:t>” means the shares of Class A common stock, par value $0.0001 per share, of the Acquiror (NASDAQ:SOUN).</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 Securities</w:t>
      </w:r>
      <w:r>
        <w:rPr>
          <w:rFonts w:ascii="Times New Roman" w:cs="Times New Roman" w:eastAsia="Times New Roman" w:hAnsi="Times New Roman"/>
          <w:sz w:val="18"/>
          <w:szCs w:val="18"/>
          <w:color w:val="auto"/>
        </w:rPr>
        <w:t>” means the shares of Acquiror Common Stock or any other equity interests in, or securities of, Acquiror or any other rights or instruments (whether or not currently exercisable or convertible) that are derivative of, exchangeable for or convertible into any securities of Acquiror.</w:t>
      </w:r>
    </w:p>
    <w:p>
      <w:pPr>
        <w:spacing w:after="0" w:line="17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 Stock Price</w:t>
      </w:r>
      <w:r>
        <w:rPr>
          <w:rFonts w:ascii="Times New Roman" w:cs="Times New Roman" w:eastAsia="Times New Roman" w:hAnsi="Times New Roman"/>
          <w:sz w:val="18"/>
          <w:szCs w:val="18"/>
          <w:color w:val="auto"/>
        </w:rPr>
        <w:t>” means the Acquiror Closing VWAP, provided, that (a) if the Acquiror Closing VWAP is greater than $12 per share, the Acquiror Stock Price will be $12 per share, and (b) if the Acquiror Closing VWAP is less than $7 per share, the Acquiror Stock Price will be $7 per share.</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Attribution Parties</w:t>
      </w:r>
      <w:r>
        <w:rPr>
          <w:rFonts w:ascii="Times New Roman" w:cs="Times New Roman" w:eastAsia="Times New Roman" w:hAnsi="Times New Roman"/>
          <w:sz w:val="18"/>
          <w:szCs w:val="18"/>
          <w:color w:val="auto"/>
        </w:rPr>
        <w:t>” means, with respect to any person or entity, any other person or entity acting as a “group” (as that term is used in Section 13(d) of the Exchange Act) together with such person or entity, and any other persons or entities, to the extent such persons’ or entities’ beneficial ownership (as defined in Rule 13d-3 under the Exchange Act) of the common stock of the Issuer or the Acquiror would be aggregated with such person’s or entity’s for purposes of Section 13(d) of the Exchange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Sunday, or a day on which banking institutions in New York, New York are authorized or required by law to be closed.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means immediately available funds denominated in US dollars.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means the closing of the transactions contemplated by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means the date on which the Closing occurs.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Competing Proposal</w:t>
      </w:r>
      <w:r>
        <w:rPr>
          <w:rFonts w:ascii="Times New Roman" w:cs="Times New Roman" w:eastAsia="Times New Roman" w:hAnsi="Times New Roman"/>
          <w:sz w:val="18"/>
          <w:szCs w:val="18"/>
          <w:color w:val="auto"/>
        </w:rPr>
        <w:t xml:space="preserve">” means any offer, proposal or indication of interest from any Person or group of Persons as defined in Section 13(d)(3) of the Exchange Act (other than the Acquiror or any of its subsidiaries) at any time relating to any transaction or series of related transactions (other than the Merger or the transactions contemplated by this Agreement) involving: (a) any acquisition or purchase by any person, directly or indirectly, of more than fifteen percent (15%) of any class of outstanding voting or equity securities of the Issuer (whether by voting power or number of shares), or any tender offer (including a self-tender offer) or exchange offer that, if consummated, would result in any person beneficially owning more than fifteen percent (15%) of any class of outstanding voting or equity securities of the Issuer (whether by voting power or number of shares); (b) any merger, consolidation, share exchange, business combination, joint venture, recapitalization, reorganization or other similar transaction involving the Issuer and a Person pursuant to which the stockholders of the Issuer immediately preceding such transaction hold less than eighty five percent (85%) of the equity interests in the surviving, resulting or ultimate parent entity of such transaction (whether by voting power or number of shares); (c) any sale, lease, exchange, transfer or other disposition to a person of more than fifteen percent (15%) of the consolidated assets of the Issuer and its subsidiaries (measured by the fair market value thereof); or (d) any transaction involving the Secured Notes (including any debt restructuring transactions or payments to be made in respect of the Secured Notes in connection with any Company Acquisition Proposal (as defined in the Merger Agreement)) other than Transfers of the Secured Notes or any interest therein effected in accordance with Section 8.09;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the foregoing clause (d) shall not apply to customary Liens attributable to securities or notes held by a bank, prime-broker, or broker dealer on behalf of a 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Consideration</w:t>
      </w:r>
      <w:r>
        <w:rPr>
          <w:rFonts w:ascii="Times New Roman" w:cs="Times New Roman" w:eastAsia="Times New Roman" w:hAnsi="Times New Roman"/>
          <w:sz w:val="18"/>
          <w:szCs w:val="18"/>
          <w:color w:val="auto"/>
        </w:rPr>
        <w:t>” has the meaning set forth in Section 2.01.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has the meaning set forth in Section 2.05.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has the meaning set forth in Section 2.05.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Estimated Closing Statement</w:t>
      </w:r>
      <w:r>
        <w:rPr>
          <w:rFonts w:ascii="Times New Roman" w:cs="Times New Roman" w:eastAsia="Times New Roman" w:hAnsi="Times New Roman"/>
          <w:sz w:val="18"/>
          <w:szCs w:val="18"/>
          <w:color w:val="auto"/>
        </w:rPr>
        <w:t>” has the meaning set forth in Section 2.02.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Collateral Agent</w:t>
      </w:r>
      <w:r>
        <w:rPr>
          <w:rFonts w:ascii="Times New Roman" w:cs="Times New Roman" w:eastAsia="Times New Roman" w:hAnsi="Times New Roman"/>
          <w:sz w:val="18"/>
          <w:szCs w:val="18"/>
          <w:color w:val="auto"/>
        </w:rPr>
        <w:t>” means U.S. Bank Trust Company, National Association, solely in its capacity as trustee and collateral agent under the First Lien Notes Documents.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Holder Aggregate Stock Consideration Amount</w:t>
      </w:r>
      <w:r>
        <w:rPr>
          <w:rFonts w:ascii="Times New Roman" w:cs="Times New Roman" w:eastAsia="Times New Roman" w:hAnsi="Times New Roman"/>
          <w:sz w:val="18"/>
          <w:szCs w:val="18"/>
          <w:color w:val="auto"/>
        </w:rPr>
        <w:t>” means $178,007,733.68.</w:t>
      </w:r>
    </w:p>
    <w:p>
      <w:pPr>
        <w:spacing w:after="0" w:line="200" w:lineRule="exact"/>
        <w:rPr>
          <w:sz w:val="20"/>
          <w:szCs w:val="20"/>
          <w:color w:val="auto"/>
        </w:rPr>
      </w:pPr>
    </w:p>
    <w:p>
      <w:pPr>
        <w:spacing w:after="0" w:line="24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07" w:name="page108"/>
    <w:bookmarkEnd w:id="107"/>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Holder Shares</w:t>
      </w:r>
      <w:r>
        <w:rPr>
          <w:rFonts w:ascii="Times New Roman" w:cs="Times New Roman" w:eastAsia="Times New Roman" w:hAnsi="Times New Roman"/>
          <w:sz w:val="18"/>
          <w:szCs w:val="18"/>
          <w:color w:val="auto"/>
        </w:rPr>
        <w:t xml:space="preserve">” means the number of shares of Acquiror Common Stock (rounded down to the nearest whole share) equal to the quotient of (a) the First Lien Holder Aggregate Stock Consideration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Acquiror Stock Price.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 Documents</w:t>
      </w:r>
      <w:r>
        <w:rPr>
          <w:rFonts w:ascii="Times New Roman" w:cs="Times New Roman" w:eastAsia="Times New Roman" w:hAnsi="Times New Roman"/>
          <w:sz w:val="18"/>
          <w:szCs w:val="18"/>
          <w:color w:val="auto"/>
        </w:rPr>
        <w:t>” means the First Lien Notes Indenture and all other agreements, instruments, and documented executed and delivered by the Issuer in connection therewith.</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 Indenture</w:t>
      </w:r>
      <w:r>
        <w:rPr>
          <w:rFonts w:ascii="Times New Roman" w:cs="Times New Roman" w:eastAsia="Times New Roman" w:hAnsi="Times New Roman"/>
          <w:sz w:val="18"/>
          <w:szCs w:val="18"/>
          <w:color w:val="auto"/>
        </w:rPr>
        <w:t>” means that certain Indenture, dated as of June 3, 2024, by and among the Issuer, certain subsidiary guarantors, and U.S. Bank Trust Company, National Association, as trustee and collateral agent, relating to the First Lien Secured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Secured Notes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Fraud</w:t>
      </w:r>
      <w:r>
        <w:rPr>
          <w:rFonts w:ascii="Times New Roman" w:cs="Times New Roman" w:eastAsia="Times New Roman" w:hAnsi="Times New Roman"/>
          <w:sz w:val="18"/>
          <w:szCs w:val="18"/>
          <w:color w:val="auto"/>
        </w:rPr>
        <w:t>” means actual fraud under Delaware law.</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any federal, state, local, or foreign government or political subdivision thereof, or any agency or instrumentality of such government or political subdivision, or any self-regulated organization or other non-governmental regulatory authority, or any arbitrator, court, or tribunal of competent jurisdiction.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 Shares</w:t>
      </w:r>
      <w:r>
        <w:rPr>
          <w:rFonts w:ascii="Times New Roman" w:cs="Times New Roman" w:eastAsia="Times New Roman" w:hAnsi="Times New Roman"/>
          <w:sz w:val="18"/>
          <w:szCs w:val="18"/>
          <w:color w:val="auto"/>
        </w:rPr>
        <w:t xml:space="preserve">” means, with respect to each Holder, the sum of (a) the First Lien Holder Shares attributable to such Holder based on the “Percentage of First Lien Holder Shares” set forth across from such Holder’s name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Second Lien Holder Shares attributable to such Holder based on the “Percentage of Second Lien Holder Shares” set forth across from such Holder’s name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Holders Counsel Fees</w:t>
      </w:r>
      <w:r>
        <w:rPr>
          <w:rFonts w:ascii="Times New Roman" w:cs="Times New Roman" w:eastAsia="Times New Roman" w:hAnsi="Times New Roman"/>
          <w:sz w:val="18"/>
          <w:szCs w:val="18"/>
          <w:color w:val="auto"/>
        </w:rPr>
        <w:t>” has the meaning set forth in Section 8.15.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has the meaning set forth in Section 7.03.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Cash Balance</w:t>
      </w:r>
      <w:r>
        <w:rPr>
          <w:rFonts w:ascii="Times New Roman" w:cs="Times New Roman" w:eastAsia="Times New Roman" w:hAnsi="Times New Roman"/>
          <w:sz w:val="18"/>
          <w:szCs w:val="18"/>
          <w:color w:val="auto"/>
        </w:rPr>
        <w:t xml:space="preserve">” means the amount of cash and cash equivalents in the final Estimated Closing Statement; provided that, for the avoidance of doubt, the Issuer Cash Balance will give pro forma effect (i.e., as a deduction) for all amounts payable by the Issuer that remain unpaid in connection with the transactions contemplated by this Agreement, the Merger Agreement, and any similar or alternative transactions involving the Issuer, its stockholders and/or the Secured Notes (including transactions with other potential acquirers or investors and including any debt restructuring transactions), if any, in connection with the transactions preceding and/or related to the transactions contemplated hereby (which may be as little as zero dollars ($0)), including (i) all unpaid Issuer Transaction Expenses, (ii) unpaid amounts used or to be used to repurchase and retire or extinguish 2026 Convertible Notes between April 1, 2026, and the Closing Date, if any, and (iii) the amounts to be remitted to the Holders of First Lien Secured Notes by the Issuer under ‎Section 2.01(b)(i) and to the Holders of Second Lien Secured Notes by the Issuer under Section 2.01(c)(i);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notwithstanding the foregoing, the fees and expenses payable by the Issuer pursuant to Section 9.2(a) and Section 9.2(b) of the Merger Agreement shall be excluded from “Issuer Cash Balance” hereunder.</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08" w:name="page109"/>
    <w:bookmarkEnd w:id="108"/>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Excess Cash</w:t>
      </w:r>
      <w:r>
        <w:rPr>
          <w:rFonts w:ascii="Times New Roman" w:cs="Times New Roman" w:eastAsia="Times New Roman" w:hAnsi="Times New Roman"/>
          <w:sz w:val="18"/>
          <w:szCs w:val="18"/>
          <w:color w:val="auto"/>
        </w:rPr>
        <w:t xml:space="preserve">” means an amount in cash equal to (a) the Issuer Cash Balance,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Issuer Minimum Cash;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if a negative number results from such calculation, “Issuer Excess Cash” shall be zero (0).</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Minimum Cash</w:t>
      </w:r>
      <w:r>
        <w:rPr>
          <w:rFonts w:ascii="Times New Roman" w:cs="Times New Roman" w:eastAsia="Times New Roman" w:hAnsi="Times New Roman"/>
          <w:sz w:val="18"/>
          <w:szCs w:val="18"/>
          <w:color w:val="auto"/>
        </w:rPr>
        <w:t xml:space="preserve">” means an amount in cash equal to (a) $74,000,000,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amount of cash, if any, paid by the Issuer (or payable by the Issuer on the Closing Date) to repurchase and retire or extinguish the outstanding 2026 Convertible Notes between April 1, 2026 and the Closing Date (including on the Closing Date),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(c) the 2026 Notes Discount Capture.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Securities</w:t>
      </w:r>
      <w:r>
        <w:rPr>
          <w:rFonts w:ascii="Times New Roman" w:cs="Times New Roman" w:eastAsia="Times New Roman" w:hAnsi="Times New Roman"/>
          <w:sz w:val="18"/>
          <w:szCs w:val="18"/>
          <w:color w:val="auto"/>
        </w:rPr>
        <w:t>” has the meaning set forth in Section 4.03(e).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Transaction Expenses</w:t>
      </w:r>
      <w:r>
        <w:rPr>
          <w:rFonts w:ascii="Times New Roman" w:cs="Times New Roman" w:eastAsia="Times New Roman" w:hAnsi="Times New Roman"/>
          <w:sz w:val="18"/>
          <w:szCs w:val="18"/>
          <w:color w:val="auto"/>
        </w:rPr>
        <w:t>” means all fees and expenses incurred by or on behalf of the Issuer or by any other Person for which the Issuer is responsible in connection with or related to the negotiation, preparation, execution and performance of this Agreement, the Merger Agreement and the transactions contemplated hereby and thereby and any similar or alternative transaction involving the Issuer, its stockholders and/or the Secured Notes (including transactions with other potential acquirors or investors and including any debt restructuring transactions), if any, in connection with the transactions leading hereto (which may be as little as zero dollars ($0)), including, for the avoidance of doubt, all fees and expenses payable to brokers, financial advisors, investment banks, legal advisors, accountants and other professional advisors in connection with the transactions contemplated hereby and by the Merger Agreement and by such other similar or alternative transactions, as applicable.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means any mortgage, pledge, security interest, encumbrance, lien, claim, restriction, option, title defect or charge or other encumbrance of any kind other than restrictions under the Securities Act.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Notes Documents</w:t>
      </w:r>
      <w:r>
        <w:rPr>
          <w:rFonts w:ascii="Times New Roman" w:cs="Times New Roman" w:eastAsia="Times New Roman" w:hAnsi="Times New Roman"/>
          <w:sz w:val="18"/>
          <w:szCs w:val="18"/>
          <w:color w:val="auto"/>
        </w:rPr>
        <w:t>” means, collectively, the First Lien Notes Documents and the Second Lien Notes Documents and all other agreements, instruments, and documents executed and delivered by the Issuer in connection therewith.</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trust, unincorporated organization, Governmental Authority, or other entity.</w:t>
      </w:r>
    </w:p>
    <w:p>
      <w:pPr>
        <w:spacing w:after="0" w:line="37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Fund</w:t>
      </w:r>
      <w:r>
        <w:rPr>
          <w:rFonts w:ascii="Times New Roman" w:cs="Times New Roman" w:eastAsia="Times New Roman" w:hAnsi="Times New Roman"/>
          <w:sz w:val="18"/>
          <w:szCs w:val="18"/>
          <w:color w:val="auto"/>
        </w:rPr>
        <w:t>” has the meaning set forth in Section 4.03(e).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Released Claims</w:t>
      </w:r>
      <w:r>
        <w:rPr>
          <w:rFonts w:ascii="Times New Roman" w:cs="Times New Roman" w:eastAsia="Times New Roman" w:hAnsi="Times New Roman"/>
          <w:sz w:val="18"/>
          <w:szCs w:val="18"/>
          <w:color w:val="auto"/>
        </w:rPr>
        <w:t>” has the meaning set forth in Section 3.01(a).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Released Parties</w:t>
      </w:r>
      <w:r>
        <w:rPr>
          <w:rFonts w:ascii="Times New Roman" w:cs="Times New Roman" w:eastAsia="Times New Roman" w:hAnsi="Times New Roman"/>
          <w:sz w:val="18"/>
          <w:szCs w:val="18"/>
          <w:color w:val="auto"/>
        </w:rPr>
        <w:t>” has the meaning set forth in Section 3.01(a).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Releasing Parties</w:t>
      </w:r>
      <w:r>
        <w:rPr>
          <w:rFonts w:ascii="Times New Roman" w:cs="Times New Roman" w:eastAsia="Times New Roman" w:hAnsi="Times New Roman"/>
          <w:sz w:val="18"/>
          <w:szCs w:val="18"/>
          <w:color w:val="auto"/>
        </w:rPr>
        <w:t>” has the meaning set forth in Section 3.01(a).</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Consenting Noteholders</w:t>
      </w:r>
      <w:r>
        <w:rPr>
          <w:rFonts w:ascii="Times New Roman" w:cs="Times New Roman" w:eastAsia="Times New Roman" w:hAnsi="Times New Roman"/>
          <w:sz w:val="18"/>
          <w:szCs w:val="18"/>
          <w:color w:val="auto"/>
        </w:rPr>
        <w:t>” means, collectively, the holders of the First Lien Secured Notes and the holders of at least a majority in principal amount outstanding of the Second Lien Secured Notes, each as of the date of determination.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Collateral Agent</w:t>
      </w:r>
      <w:r>
        <w:rPr>
          <w:rFonts w:ascii="Times New Roman" w:cs="Times New Roman" w:eastAsia="Times New Roman" w:hAnsi="Times New Roman"/>
          <w:sz w:val="18"/>
          <w:szCs w:val="18"/>
          <w:color w:val="auto"/>
        </w:rPr>
        <w:t>” means U.S. Bank Trust Company, National Association, solely in its capacity as trustee and collateral agent under the Second Lien Notes Documents.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Holder Aggregate Stock Consideration Amount</w:t>
      </w:r>
      <w:r>
        <w:rPr>
          <w:rFonts w:ascii="Times New Roman" w:cs="Times New Roman" w:eastAsia="Times New Roman" w:hAnsi="Times New Roman"/>
          <w:sz w:val="18"/>
          <w:szCs w:val="18"/>
          <w:color w:val="auto"/>
        </w:rPr>
        <w:t>” means $83,207,733.68.</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Holder Shares</w:t>
      </w:r>
      <w:r>
        <w:rPr>
          <w:rFonts w:ascii="Times New Roman" w:cs="Times New Roman" w:eastAsia="Times New Roman" w:hAnsi="Times New Roman"/>
          <w:sz w:val="18"/>
          <w:szCs w:val="18"/>
          <w:color w:val="auto"/>
        </w:rPr>
        <w:t xml:space="preserve">” means the number of shares of Acquiror Common Stock (rounded down to the nearest whole share) equal to the quotient of (a) the Second Lien Holder Aggregate Stock Consideration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Acquiror Stock Price.</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 Documents</w:t>
      </w:r>
      <w:r>
        <w:rPr>
          <w:rFonts w:ascii="Times New Roman" w:cs="Times New Roman" w:eastAsia="Times New Roman" w:hAnsi="Times New Roman"/>
          <w:sz w:val="18"/>
          <w:szCs w:val="18"/>
          <w:color w:val="auto"/>
        </w:rPr>
        <w:t>” means the Second Lien Notes Indenture and all other agreements, instruments, and documented executed and delivered by the Issuer in connection therewith.</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 Indenture</w:t>
      </w:r>
      <w:r>
        <w:rPr>
          <w:rFonts w:ascii="Times New Roman" w:cs="Times New Roman" w:eastAsia="Times New Roman" w:hAnsi="Times New Roman"/>
          <w:sz w:val="18"/>
          <w:szCs w:val="18"/>
          <w:color w:val="auto"/>
        </w:rPr>
        <w:t>” means that certain Indenture, dated as of September 12, 2025, by and among the Issuer, certain subsidiary guarantors, and U.S. Bank Trust Company, National Association, as trustee and collateral agent, relating to the Second Lien Secured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Secured Notes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Notes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Short Position</w:t>
      </w:r>
      <w:r>
        <w:rPr>
          <w:rFonts w:ascii="Times New Roman" w:cs="Times New Roman" w:eastAsia="Times New Roman" w:hAnsi="Times New Roman"/>
          <w:sz w:val="18"/>
          <w:szCs w:val="18"/>
          <w:color w:val="auto"/>
        </w:rPr>
        <w:t>” has the meaning set forth in Section 8.10.</w:t>
      </w:r>
    </w:p>
    <w:p>
      <w:pPr>
        <w:spacing w:after="0" w:line="200" w:lineRule="exact"/>
        <w:rPr>
          <w:sz w:val="20"/>
          <w:szCs w:val="20"/>
          <w:color w:val="auto"/>
        </w:rPr>
      </w:pPr>
    </w:p>
    <w:p>
      <w:pPr>
        <w:spacing w:after="0" w:line="24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10" w:name="page111"/>
    <w:bookmarkEnd w:id="110"/>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Short Sales</w:t>
      </w:r>
      <w:r>
        <w:rPr>
          <w:rFonts w:ascii="Times New Roman" w:cs="Times New Roman" w:eastAsia="Times New Roman" w:hAnsi="Times New Roman"/>
          <w:sz w:val="18"/>
          <w:szCs w:val="18"/>
          <w:color w:val="auto"/>
        </w:rPr>
        <w:t>” shall mean all “short sales” as defined in Rule 200 of Regulation SHO under the Exchange Act, and all types of direct and indirect stock pledges, forward sale contracts, options, puts, calls, swaps, and similar arrangements (including on a total return basis), and sales and other transactions through non-U.S. broker-dealers or foreign regulated brokers.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shall mean a day on which shares of Acquiror Common Stock are traded on The Nasdaq Stock Market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has the meaning set forth in Section 8.09.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II. SATISFACTION OF SECURED NOTES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2.01 Restructuring of Secured Notes. </w:t>
      </w:r>
      <w:r>
        <w:rPr>
          <w:rFonts w:ascii="Times New Roman" w:cs="Times New Roman" w:eastAsia="Times New Roman" w:hAnsi="Times New Roman"/>
          <w:sz w:val="18"/>
          <w:szCs w:val="18"/>
          <w:color w:val="auto"/>
        </w:rPr>
        <w:t>Subject to the terms and conditions of this Agreement, each Holder hereby severally and not jointly agrees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accept the following in full and complete satisfaction of all obligations of the Issuer to such Holder under the Secured Notes and the Notes Documents (collectively, the “</w:t>
      </w:r>
      <w:r>
        <w:rPr>
          <w:rFonts w:ascii="Times New Roman" w:cs="Times New Roman" w:eastAsia="Times New Roman" w:hAnsi="Times New Roman"/>
          <w:sz w:val="18"/>
          <w:szCs w:val="18"/>
          <w:b w:val="1"/>
          <w:bCs w:val="1"/>
          <w:i w:val="1"/>
          <w:iCs w:val="1"/>
          <w:color w:val="auto"/>
        </w:rPr>
        <w:t>Consideration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040" w:hanging="384"/>
        <w:spacing w:after="0" w:line="282" w:lineRule="auto"/>
        <w:tabs>
          <w:tab w:leader="none" w:pos="10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Shares owed to such Holder, provided that, no Holder shall be entitled to any fractional shares and the number of Holder Shares to which such Holder is entitled shall be rounded down to the nearest whole share;</w:t>
      </w:r>
    </w:p>
    <w:p>
      <w:pPr>
        <w:spacing w:after="0" w:line="161" w:lineRule="exact"/>
        <w:rPr>
          <w:rFonts w:ascii="Times New Roman" w:cs="Times New Roman" w:eastAsia="Times New Roman" w:hAnsi="Times New Roman"/>
          <w:sz w:val="18"/>
          <w:szCs w:val="18"/>
          <w:color w:val="auto"/>
        </w:rPr>
      </w:pPr>
    </w:p>
    <w:p>
      <w:pPr>
        <w:jc w:val="both"/>
        <w:ind w:left="1040" w:hanging="384"/>
        <w:spacing w:after="0" w:line="261" w:lineRule="auto"/>
        <w:tabs>
          <w:tab w:leader="none" w:pos="10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Holder of one or more First Lien Secured Notes, Cash paid by the Issuer concurrently with Closing in the amount of the sum of (i) accrued and unpaid interest on the First Lien Secured Notes held by such Holder, (provided that, for the avoidance of doubt, any such Cash amount shall exclude the aggregate amount of any PIK Interest (as defined in the First Lien Notes Indenture) on the First Lien Secured Notes) and (ii) 65% of the Issuer Excess Cash, if any; and</w:t>
      </w:r>
    </w:p>
    <w:p>
      <w:pPr>
        <w:spacing w:after="0" w:line="179" w:lineRule="exact"/>
        <w:rPr>
          <w:rFonts w:ascii="Times New Roman" w:cs="Times New Roman" w:eastAsia="Times New Roman" w:hAnsi="Times New Roman"/>
          <w:sz w:val="18"/>
          <w:szCs w:val="18"/>
          <w:color w:val="auto"/>
        </w:rPr>
      </w:pPr>
    </w:p>
    <w:p>
      <w:pPr>
        <w:jc w:val="both"/>
        <w:ind w:left="1040" w:hanging="384"/>
        <w:spacing w:after="0" w:line="266" w:lineRule="auto"/>
        <w:tabs>
          <w:tab w:leader="none" w:pos="10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Holder of one or more Second Lien Secured Notes, such Holder’s pro rata portion of the sum of (i) the 2026 Notes Discount Capture,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35% of the Issuer Excess Cash, if any, attributable to such Holder (for the avoidance of doubt, solely on account of Second Lien Secured Notes held by such Holder).</w:t>
      </w:r>
    </w:p>
    <w:p>
      <w:pPr>
        <w:spacing w:after="0" w:line="17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2.02 Estimated Closing Statement. </w:t>
      </w:r>
      <w:r>
        <w:rPr>
          <w:rFonts w:ascii="Times New Roman" w:cs="Times New Roman" w:eastAsia="Times New Roman" w:hAnsi="Times New Roman"/>
          <w:sz w:val="18"/>
          <w:szCs w:val="18"/>
          <w:color w:val="auto"/>
        </w:rPr>
        <w:t>No earlier than twenty (20) Business Days nor later than fifteen (15) Business Days prior to the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Issuer shall deliver to the Acquiror a statement (the “</w:t>
      </w:r>
      <w:r>
        <w:rPr>
          <w:rFonts w:ascii="Times New Roman" w:cs="Times New Roman" w:eastAsia="Times New Roman" w:hAnsi="Times New Roman"/>
          <w:sz w:val="18"/>
          <w:szCs w:val="18"/>
          <w:b w:val="1"/>
          <w:bCs w:val="1"/>
          <w:i w:val="1"/>
          <w:iCs w:val="1"/>
          <w:color w:val="auto"/>
        </w:rPr>
        <w:t>Estimated Closing Statement</w:t>
      </w:r>
      <w:r>
        <w:rPr>
          <w:rFonts w:ascii="Times New Roman" w:cs="Times New Roman" w:eastAsia="Times New Roman" w:hAnsi="Times New Roman"/>
          <w:sz w:val="18"/>
          <w:szCs w:val="18"/>
          <w:color w:val="auto"/>
        </w:rPr>
        <w:t>”), certified by the Chief Financial Officer of the Issuer, setting forth</w:t>
      </w:r>
    </w:p>
    <w:p>
      <w:pPr>
        <w:spacing w:after="0" w:line="1" w:lineRule="exact"/>
        <w:rPr>
          <w:sz w:val="20"/>
          <w:szCs w:val="20"/>
          <w:color w:val="auto"/>
        </w:rPr>
      </w:pPr>
    </w:p>
    <w:p>
      <w:pPr>
        <w:jc w:val="both"/>
        <w:ind w:firstLine="8"/>
        <w:spacing w:after="0" w:line="251" w:lineRule="auto"/>
        <w:tabs>
          <w:tab w:leader="none" w:pos="2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good faith estimated unaudited balance sheet of the Issuer and (b) the Issuer’s good faith estimate of the Issuer Cash Balance, in each case, as of 12:01 a.m. Pacific Time on the Closing Date. The Issuer shall deliver supporting calculations and documentation of such calculations (including with respect to any deductions contemplated by the definition of Issuer Cash Balance and reflected in such calculations), in detail reasonably acceptable to the Acquiror, concurrently with the delivery of such Estimated Closing Statement. The Issuer shall consult in good faith with the Acquiror and its representatives with respect to the preparation of, and with respect to any updates reasonably requested by the Acquiror or its representatives to, the Estimated Closing Statement until the date that is five (5) Business Days prior to the Closing Date. Subject to such good faith consultation by the Issuer and any updates to the Estimated Closing Statement resulting therefrom, the Issuer Cash Balance set forth in the Estimated Closing Statement as of such fifth (5th) Business Day prior to the Closing Date shall be deemed the final Issuer Cash Balance for purposes of calculating the Issuer Excess Cash.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1" w:name="page112"/>
    <w:bookmarkEnd w:id="111"/>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2.03 Acquiror Cash Election. </w:t>
      </w:r>
      <w:r>
        <w:rPr>
          <w:rFonts w:ascii="Times New Roman" w:cs="Times New Roman" w:eastAsia="Times New Roman" w:hAnsi="Times New Roman"/>
          <w:sz w:val="18"/>
          <w:szCs w:val="18"/>
          <w:color w:val="auto"/>
        </w:rPr>
        <w:t>Notwithstanding anything to the contrary in this Agreement, the Acquiror shall have the option to elect,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the close of business two (2) Business Days prior to the Closing Date, to substitute an amount of Cash in lieu of all or a portion of the Holder Shares otherwise deliverable to each Holder pursuant to Section 2.01(a) (the “</w:t>
      </w:r>
      <w:r>
        <w:rPr>
          <w:rFonts w:ascii="Times New Roman" w:cs="Times New Roman" w:eastAsia="Times New Roman" w:hAnsi="Times New Roman"/>
          <w:sz w:val="18"/>
          <w:szCs w:val="18"/>
          <w:b w:val="1"/>
          <w:bCs w:val="1"/>
          <w:i w:val="1"/>
          <w:iCs w:val="1"/>
          <w:color w:val="auto"/>
        </w:rPr>
        <w:t>Acquiror Cash Election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 Acquiror Cash Election shall be subject to the following terms: (a) every Holder shall receive the same proportion of its respective Consideration in Cash and in Holder Shares; (b) regardless of the Acquiror Stock Price, the proportion of the Consideration satisfied in Cash shall be calculated assuming the First Lien Holder Shares are worth the First Lien Holder Aggregate Stock Consideration Amount and the Second Lien Holder Shares are worth the Second Lien Holder Aggregate Stock Consideration Amount; and (c) in the event the Acquiror Closing VWAP is greater than $12 per share, the Acquiror shall not be entitled to substitute Cash for more than fifty percent (50%) of such Holder Shares. By way of example, if the First Lien Holder Aggregate Stock Consideration Amount is $178,007,733.68, the Second Lien Holder Aggregate Stock Consideration Amount is $83,207,733.68, the Acquiror Closing VWAP is greater than $12 per share and the Acquiror elects to substitute Cash for fifty percent (50%) of the Holder Shares, the Acquiror will deliver $89,003,866.84 of Cash and fifty percent (50%) of the First Lien Holder Shares to the Holders of the First Lien Secured Notes and $41,603,866.84 of Cash and fifty percent (50%) of the Second Lien Holder Shares to the Holders of the Second Lien Secured Notes, in aggregate. In addition, if the amount of Holder Shares to be received by any Holder would exceed 9.9% of the outstanding shares of Acquiror Common Stock, then Acquiror shall substitute an amount of Cash in lieu of all Holder Shares to be issued in excess of 9.9% to such Holder pursuant to Section 2.01(a).</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2.04 Issuance of Holder Shares. </w:t>
      </w:r>
      <w:r>
        <w:rPr>
          <w:rFonts w:ascii="Times New Roman" w:cs="Times New Roman" w:eastAsia="Times New Roman" w:hAnsi="Times New Roman"/>
          <w:sz w:val="18"/>
          <w:szCs w:val="18"/>
          <w:color w:val="auto"/>
        </w:rPr>
        <w:t>On the Closing Date, the Acquiror shall issue and deliver to each Holder its Holder Shares, which shall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of Closing be eligible for resale pursuant to an effective registration statement filed by the Acquiror with the SEC. Acquiror shall use commercially reasonable efforts to deliver the Holder Shares without a restrictive legend through a one-sided Deposit/Withdrawal at Custodian in accordance with the procedures of The Depository Trust Company, or, if necessary, Acquiror shall cooperate with the Holders to remove any restrictive legends promptly after effectiveness of the registration statement.</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2.05 Surrender of Secured Notes. </w:t>
      </w:r>
      <w:r>
        <w:rPr>
          <w:rFonts w:ascii="Times New Roman" w:cs="Times New Roman" w:eastAsia="Times New Roman" w:hAnsi="Times New Roman"/>
          <w:sz w:val="18"/>
          <w:szCs w:val="18"/>
          <w:color w:val="auto"/>
        </w:rPr>
        <w:t>On or prior to the Closing Date, each Holder shall surrender and deliver, or cause its Depository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participant(s) to surrender and deliver, the Secured Notes held by such Holder to the trustee of the Secured Notes for cancellation through the one-sided withdrawal instructions pursuant to the Deposit/Withdrawal at Custodian system at DTC (“</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in accordance with the procedures of DTC, and Issuer shall instruct the trustee of the Secured Notes to cancel such surrendered Secured Notes and deliver an instrument of cancellation reasonably satisfactory to the Issuer and the Acquiror, and the Issuer shall provide evidence of such surrender in form and substance satisfactory to the Acquiror.</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2.06 Satisfaction in Full. </w:t>
      </w:r>
      <w:r>
        <w:rPr>
          <w:rFonts w:ascii="Times New Roman" w:cs="Times New Roman" w:eastAsia="Times New Roman" w:hAnsi="Times New Roman"/>
          <w:sz w:val="18"/>
          <w:szCs w:val="18"/>
          <w:color w:val="auto"/>
        </w:rPr>
        <w:t>Upon delivery of the Consideration to each Holder, all obligations of the Issuer to such Holder arising 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Secured Notes and the Notes Documents, including all principal, premium, accrued interest, and any other amounts due thereunder, shall thereupon be fully, irrevocably and indefeasibly satisfied, discharged, and extinguished in full and the Secured Notes and all of the Note Documents will terminate and be of no further force and effect. Each Holder of Secured Notes waives rights to any notice required under such Holder’s Secured Notes and the Note Documents and any associated note purchase agreement. Each Secured Note shall be deemed amended to provide for the treatment set forth in this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2.07 Closing. </w:t>
      </w:r>
      <w:r>
        <w:rPr>
          <w:rFonts w:ascii="Times New Roman" w:cs="Times New Roman" w:eastAsia="Times New Roman" w:hAnsi="Times New Roman"/>
          <w:sz w:val="18"/>
          <w:szCs w:val="18"/>
          <w:color w:val="auto"/>
        </w:rPr>
        <w:t>The Closing shall take place at the offices of Latham &amp; Watkins LLP, 505 Montgomery Street, Suite 2000, San Francisco, California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94111 or at such other location or by remote electronic exchange of documents and signatures as the Parties may mutually agree, on the date that is the closing date of the transactions contemplated under the Merger Agreement, or at such other time and place as the Parties may mutually agree in writing.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III.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3.01 Release by Parties.</w:t>
      </w:r>
    </w:p>
    <w:p>
      <w:pPr>
        <w:spacing w:after="0" w:line="229" w:lineRule="exact"/>
        <w:rPr>
          <w:sz w:val="20"/>
          <w:szCs w:val="20"/>
          <w:color w:val="auto"/>
        </w:rPr>
      </w:pPr>
    </w:p>
    <w:p>
      <w:pPr>
        <w:jc w:val="both"/>
        <w:ind w:left="1040" w:hanging="384"/>
        <w:spacing w:after="0" w:line="252" w:lineRule="auto"/>
        <w:tabs>
          <w:tab w:leader="none" w:pos="10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the Closing (including, for the avoidance of doubt, in the event the Closing occurs under the circumstances described in the proviso in Section 5.02(f)), each Party, on behalf of itself and its respective parents, subsidiaries, Affiliates, stockholders, members, managers, partners, limited partners, general partners, directors, officers, managed accounts, management companies, funds advisors, successors, assigns, heirs, executors, administrators, agents, representatives, attorneys, and any Person claiming by, through, or under any of them (collectively, the “</w:t>
      </w:r>
      <w:r>
        <w:rPr>
          <w:rFonts w:ascii="Times New Roman" w:cs="Times New Roman" w:eastAsia="Times New Roman" w:hAnsi="Times New Roman"/>
          <w:sz w:val="18"/>
          <w:szCs w:val="18"/>
          <w:b w:val="1"/>
          <w:bCs w:val="1"/>
          <w:i w:val="1"/>
          <w:iCs w:val="1"/>
          <w:color w:val="auto"/>
        </w:rPr>
        <w:t>Releasing Parties</w:t>
      </w:r>
      <w:r>
        <w:rPr>
          <w:rFonts w:ascii="Times New Roman" w:cs="Times New Roman" w:eastAsia="Times New Roman" w:hAnsi="Times New Roman"/>
          <w:sz w:val="18"/>
          <w:szCs w:val="18"/>
          <w:color w:val="auto"/>
        </w:rPr>
        <w:t>”), hereby irrevocably and unconditionally releases, acquits, and forever discharges each other Party, and each of their respective past, present, and future parents, subsidiaries, Affiliates, stockholders, members, managers, partners, limited partners, general partners, directors, officers, employees, managed accounts, management companies, funds advisors, agents, representatives, attorneys, successors, assigns, heirs, executors and administrators (collectively, the “</w:t>
      </w:r>
      <w:r>
        <w:rPr>
          <w:rFonts w:ascii="Times New Roman" w:cs="Times New Roman" w:eastAsia="Times New Roman" w:hAnsi="Times New Roman"/>
          <w:sz w:val="18"/>
          <w:szCs w:val="18"/>
          <w:b w:val="1"/>
          <w:bCs w:val="1"/>
          <w:i w:val="1"/>
          <w:iCs w:val="1"/>
          <w:color w:val="auto"/>
        </w:rPr>
        <w:t>Released Parties</w:t>
      </w:r>
      <w:r>
        <w:rPr>
          <w:rFonts w:ascii="Times New Roman" w:cs="Times New Roman" w:eastAsia="Times New Roman" w:hAnsi="Times New Roman"/>
          <w:sz w:val="18"/>
          <w:szCs w:val="18"/>
          <w:color w:val="auto"/>
        </w:rPr>
        <w:t>”) from any and all claims, demands, actions, causes of action, suits, damages, liabilities, obligations, costs, expenses, and compensation of any kind or nature whatsoever, whether known or unknown, suspected or unsuspected, fixed or contingent, liquidated or unliquidated, matured or unmatured, at law or in equity, that such Releasing Parties ever had, now have, or may hereafter have against (i) the Acquiror and any of its Released Parties or (ii) any of the other Released Parties to the extent arising out of, relating to, or in connection with the transactions contemplated by this Agreement and the Merger Agreement, the Issuer, the Secured Notes, the Notes Documents, the 2026 Convertible Notes (including, for the avoidance of doubt, the transactions effected by the Issuer to exchange certain of the 2026 Convertible Notes for First Lien Secured Notes and Second Lien Secured Notes in, respectively, 2024 and 2025), any other debt securities or obligations issued by the Issuer or any transaction or matter related thereto (collectively, the “</w:t>
      </w:r>
      <w:r>
        <w:rPr>
          <w:rFonts w:ascii="Times New Roman" w:cs="Times New Roman" w:eastAsia="Times New Roman" w:hAnsi="Times New Roman"/>
          <w:sz w:val="18"/>
          <w:szCs w:val="18"/>
          <w:b w:val="1"/>
          <w:bCs w:val="1"/>
          <w:i w:val="1"/>
          <w:iCs w:val="1"/>
          <w:color w:val="auto"/>
        </w:rPr>
        <w:t>Released Claims</w:t>
      </w:r>
      <w:r>
        <w:rPr>
          <w:rFonts w:ascii="Times New Roman" w:cs="Times New Roman" w:eastAsia="Times New Roman" w:hAnsi="Times New Roman"/>
          <w:sz w:val="18"/>
          <w:szCs w:val="18"/>
          <w:color w:val="auto"/>
        </w:rPr>
        <w:t>”). Notwithstanding anything to the contrary in the foregoing, the releases set forth above do not release (a) any obligations arising on or after the Closing of any Party under this Agreement or the Merger Agreement, or any document, instrument, or agreement executed to implement the Merger or (b) any liability of a Party for Fraud by such Party.</w:t>
      </w:r>
    </w:p>
    <w:p>
      <w:pPr>
        <w:spacing w:after="0" w:line="190" w:lineRule="exact"/>
        <w:rPr>
          <w:rFonts w:ascii="Times New Roman" w:cs="Times New Roman" w:eastAsia="Times New Roman" w:hAnsi="Times New Roman"/>
          <w:sz w:val="18"/>
          <w:szCs w:val="18"/>
          <w:color w:val="auto"/>
        </w:rPr>
      </w:pPr>
    </w:p>
    <w:p>
      <w:pPr>
        <w:jc w:val="both"/>
        <w:ind w:left="1040" w:hanging="384"/>
        <w:spacing w:after="0" w:line="269" w:lineRule="auto"/>
        <w:tabs>
          <w:tab w:leader="none" w:pos="104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ON BEHALF OF THE APPLICABLE RELEASING PARTIES, EXPRESSLY IRREVOCABLY WAIVES ALL RIGHTS AFFORDED BY ANY STATUTE OR COMMON LAW PRINCIPLES WHICH LIMITS THE EFFECT OF A RELEASE WITH RESPECT TO UNKNOWN CLAIMS, INCLUDING ALL RIGHTS UNDER SECTION 1542 OF THE CALIFORNIA CIVIL CODE, WHICH PROVIDES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EACH PARTY, ON BEHALF OF THE APPLICABLE RELEASING, ACKNOWLEDGES THAT HE, SHE OR IT IS FAMILIAR WITH SECTION 1542 OF THE CALIFORNIA CIVIL CODE AND UNDERSTANDS THE SIGNIFICANCE OF THIS RELEASE OF UNKNOWN CLAIMS AND WAIVER OF ANY STATUTORY PROTECTION AGAINST A RELEASE OF UNKNOWN CLAIMS. EACH PARTY, ON BEHALF OF THE APPLICABLE RELEASING PARTIES, ACKNOWLEDGES AND AGREES THAT THIS WAIVER IS AN ESSENTIAL AND MATERIAL TERM OF THIS AGREEMENT.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3" w:name="page114"/>
    <w:bookmarkEnd w:id="113"/>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3.02 Covenant Not to Sue. </w:t>
      </w:r>
      <w:r>
        <w:rPr>
          <w:rFonts w:ascii="Times New Roman" w:cs="Times New Roman" w:eastAsia="Times New Roman" w:hAnsi="Times New Roman"/>
          <w:sz w:val="18"/>
          <w:szCs w:val="18"/>
          <w:color w:val="auto"/>
        </w:rPr>
        <w:t>Each of the Releasing Parties covenants and agrees that it will not, and will cause each of its controlled Affiliates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institute any action, suit, or proceeding against any Released Party with respect to any Released Claim.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IV. REPRESENTATIONS AND WARRANTIES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4.01 Representations and Warranties of the Issuer. </w:t>
      </w:r>
      <w:r>
        <w:rPr>
          <w:rFonts w:ascii="Times New Roman" w:cs="Times New Roman" w:eastAsia="Times New Roman" w:hAnsi="Times New Roman"/>
          <w:sz w:val="18"/>
          <w:szCs w:val="18"/>
          <w:color w:val="auto"/>
        </w:rPr>
        <w:t>The Issuer hereby represents and warrants to the Holders and the Acquiror as follows:</w:t>
      </w:r>
    </w:p>
    <w:p>
      <w:pPr>
        <w:spacing w:after="0" w:line="225" w:lineRule="exact"/>
        <w:rPr>
          <w:sz w:val="20"/>
          <w:szCs w:val="20"/>
          <w:color w:val="auto"/>
        </w:rPr>
      </w:pPr>
    </w:p>
    <w:p>
      <w:pPr>
        <w:ind w:left="1040" w:right="20" w:hanging="384"/>
        <w:spacing w:after="0" w:line="286" w:lineRule="auto"/>
        <w:tabs>
          <w:tab w:leader="none" w:pos="10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Organization and Good Standing. </w:t>
      </w:r>
      <w:r>
        <w:rPr>
          <w:rFonts w:ascii="Times New Roman" w:cs="Times New Roman" w:eastAsia="Times New Roman" w:hAnsi="Times New Roman"/>
          <w:sz w:val="18"/>
          <w:szCs w:val="18"/>
          <w:color w:val="auto"/>
        </w:rPr>
        <w:t>The Issuer is a corporation duly organized, validly existing, and in good standing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w:t>
      </w:r>
    </w:p>
    <w:p>
      <w:pPr>
        <w:spacing w:after="0" w:line="154" w:lineRule="exact"/>
        <w:rPr>
          <w:rFonts w:ascii="Times New Roman" w:cs="Times New Roman" w:eastAsia="Times New Roman" w:hAnsi="Times New Roman"/>
          <w:sz w:val="18"/>
          <w:szCs w:val="18"/>
          <w:color w:val="auto"/>
        </w:rPr>
      </w:pPr>
    </w:p>
    <w:p>
      <w:pPr>
        <w:jc w:val="both"/>
        <w:ind w:left="1040" w:hanging="384"/>
        <w:spacing w:after="0" w:line="259" w:lineRule="auto"/>
        <w:tabs>
          <w:tab w:leader="none" w:pos="10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Authorization; Enforceability. </w:t>
      </w:r>
      <w:r>
        <w:rPr>
          <w:rFonts w:ascii="Times New Roman" w:cs="Times New Roman" w:eastAsia="Times New Roman" w:hAnsi="Times New Roman"/>
          <w:sz w:val="18"/>
          <w:szCs w:val="18"/>
          <w:color w:val="auto"/>
        </w:rPr>
        <w:t>The Issuer has full corporate power and authority to execute, deliver, and perform its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execution, delivery, and performance of this Agreement by the Issuer have been duly authorized by all necessary corporate action. This Agreement constitutes the legal, valid, and binding obligation of the Issuer, enforceable against the Issuer in accordance with its terms, except as such enforceability may be limited by applicable bankruptcy, insolvency, reorganization, moratorium, or similar laws affecting creditors’ rights generally and by general principles of equity.</w:t>
      </w:r>
    </w:p>
    <w:p>
      <w:pPr>
        <w:spacing w:after="0" w:line="179" w:lineRule="exact"/>
        <w:rPr>
          <w:rFonts w:ascii="Times New Roman" w:cs="Times New Roman" w:eastAsia="Times New Roman" w:hAnsi="Times New Roman"/>
          <w:sz w:val="18"/>
          <w:szCs w:val="18"/>
          <w:color w:val="auto"/>
        </w:rPr>
      </w:pPr>
    </w:p>
    <w:p>
      <w:pPr>
        <w:jc w:val="both"/>
        <w:ind w:left="1040" w:hanging="384"/>
        <w:spacing w:after="0" w:line="262" w:lineRule="auto"/>
        <w:tabs>
          <w:tab w:leader="none" w:pos="10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Conflicts. </w:t>
      </w:r>
      <w:r>
        <w:rPr>
          <w:rFonts w:ascii="Times New Roman" w:cs="Times New Roman" w:eastAsia="Times New Roman" w:hAnsi="Times New Roman"/>
          <w:sz w:val="18"/>
          <w:szCs w:val="18"/>
          <w:color w:val="auto"/>
        </w:rPr>
        <w:t>The execution, delivery, and performance of this Agreement by the Issuer do not and will not (i) violate or conflict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or bylaws of the Issuer, (ii) violate any law, order, judgment, or decree applicable to the Issuer, or (iii) require any consent, approval, or authorization of, or filing with, any Governmental Authority that has not been obtained or made, subject to compliance with the applicable requirements of U.S. state and federal securities laws.</w:t>
      </w:r>
    </w:p>
    <w:p>
      <w:pPr>
        <w:spacing w:after="0" w:line="176" w:lineRule="exact"/>
        <w:rPr>
          <w:rFonts w:ascii="Times New Roman" w:cs="Times New Roman" w:eastAsia="Times New Roman" w:hAnsi="Times New Roman"/>
          <w:sz w:val="18"/>
          <w:szCs w:val="18"/>
          <w:color w:val="auto"/>
        </w:rPr>
      </w:pPr>
    </w:p>
    <w:p>
      <w:pPr>
        <w:jc w:val="both"/>
        <w:ind w:left="1040" w:hanging="384"/>
        <w:spacing w:after="0" w:line="262" w:lineRule="auto"/>
        <w:tabs>
          <w:tab w:leader="none" w:pos="10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 Filings. </w:t>
      </w:r>
      <w:r>
        <w:rPr>
          <w:rFonts w:ascii="Times New Roman" w:cs="Times New Roman" w:eastAsia="Times New Roman" w:hAnsi="Times New Roman"/>
          <w:sz w:val="18"/>
          <w:szCs w:val="18"/>
          <w:color w:val="auto"/>
        </w:rPr>
        <w:t>The Issuer has filed all reports, schedules, forms, statements, and other documents required to be filed by it with the SEC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Exchange Act since January 1, 2024. As of their respective filing dates (or, if amended or superseded by a subsequent filing, as of the date of the last such amendment or superseding filing), such filings complied in all material respects with the requirements of the Exchange Act and the rules and regulations promulgated thereunder.</w:t>
      </w:r>
    </w:p>
    <w:p>
      <w:pPr>
        <w:spacing w:after="0" w:line="176" w:lineRule="exact"/>
        <w:rPr>
          <w:rFonts w:ascii="Times New Roman" w:cs="Times New Roman" w:eastAsia="Times New Roman" w:hAnsi="Times New Roman"/>
          <w:sz w:val="18"/>
          <w:szCs w:val="18"/>
          <w:color w:val="auto"/>
        </w:rPr>
      </w:pPr>
    </w:p>
    <w:p>
      <w:pPr>
        <w:ind w:left="1040" w:hanging="384"/>
        <w:spacing w:after="0" w:line="286" w:lineRule="auto"/>
        <w:tabs>
          <w:tab w:leader="none" w:pos="10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Value. </w:t>
      </w:r>
      <w:r>
        <w:rPr>
          <w:rFonts w:ascii="Times New Roman" w:cs="Times New Roman" w:eastAsia="Times New Roman" w:hAnsi="Times New Roman"/>
          <w:sz w:val="18"/>
          <w:szCs w:val="18"/>
          <w:color w:val="auto"/>
        </w:rPr>
        <w:t>The Issuer acknowledges and agrees that the Consideration constitutes fair consideration and reasonably equivalent value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cancellation and release of the Secured Notes and the other obligations, rights and interests affected hereby.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4.02 Representations and Warranties of the Acquiror. </w:t>
      </w:r>
      <w:r>
        <w:rPr>
          <w:rFonts w:ascii="Times New Roman" w:cs="Times New Roman" w:eastAsia="Times New Roman" w:hAnsi="Times New Roman"/>
          <w:sz w:val="18"/>
          <w:szCs w:val="18"/>
          <w:color w:val="auto"/>
        </w:rPr>
        <w:t>The Acquiror hereby represents and warrants to the Holders and the Issuer as follows:</w:t>
      </w:r>
    </w:p>
    <w:p>
      <w:pPr>
        <w:spacing w:after="0" w:line="225" w:lineRule="exact"/>
        <w:rPr>
          <w:sz w:val="20"/>
          <w:szCs w:val="20"/>
          <w:color w:val="auto"/>
        </w:rPr>
      </w:pPr>
    </w:p>
    <w:p>
      <w:pPr>
        <w:ind w:left="1040" w:hanging="384"/>
        <w:spacing w:after="0" w:line="286" w:lineRule="auto"/>
        <w:tabs>
          <w:tab w:leader="none" w:pos="10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Organization and Good Standing. </w:t>
      </w:r>
      <w:r>
        <w:rPr>
          <w:rFonts w:ascii="Times New Roman" w:cs="Times New Roman" w:eastAsia="Times New Roman" w:hAnsi="Times New Roman"/>
          <w:sz w:val="18"/>
          <w:szCs w:val="18"/>
          <w:color w:val="auto"/>
        </w:rPr>
        <w:t>The Acquiror is a corporation duly organized, validly existing, and in good standing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Delaware.</w:t>
      </w:r>
    </w:p>
    <w:p>
      <w:pPr>
        <w:spacing w:after="0" w:line="154" w:lineRule="exact"/>
        <w:rPr>
          <w:rFonts w:ascii="Times New Roman" w:cs="Times New Roman" w:eastAsia="Times New Roman" w:hAnsi="Times New Roman"/>
          <w:sz w:val="18"/>
          <w:szCs w:val="18"/>
          <w:color w:val="auto"/>
        </w:rPr>
      </w:pPr>
    </w:p>
    <w:p>
      <w:pPr>
        <w:jc w:val="both"/>
        <w:ind w:left="1040" w:hanging="384"/>
        <w:spacing w:after="0" w:line="259" w:lineRule="auto"/>
        <w:tabs>
          <w:tab w:leader="none" w:pos="10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Authorization; Enforceability. </w:t>
      </w:r>
      <w:r>
        <w:rPr>
          <w:rFonts w:ascii="Times New Roman" w:cs="Times New Roman" w:eastAsia="Times New Roman" w:hAnsi="Times New Roman"/>
          <w:sz w:val="18"/>
          <w:szCs w:val="18"/>
          <w:color w:val="auto"/>
        </w:rPr>
        <w:t>The Acquiror has full corporate power and authority to execute, deliver, and perform its obligations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The execution, delivery, and performance of this Agreement by the Acquiror have been duly authorized by all necessary corporate action. This Agreement constitutes the legal, valid, and binding obligation of the Acquiror, enforceable against the Acquiror in accordance with its terms, except as such enforceability may be limited by applicable bankruptcy, insolvency, reorganization, moratorium, or similar laws affecting creditors’ rights generally and by general principles of equity.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4" w:name="page115"/>
    <w:bookmarkEnd w:id="114"/>
    <w:p>
      <w:pPr>
        <w:jc w:val="both"/>
        <w:ind w:left="384" w:hanging="384"/>
        <w:spacing w:after="0" w:line="262" w:lineRule="auto"/>
        <w:tabs>
          <w:tab w:leader="none" w:pos="38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Conflicts. </w:t>
      </w:r>
      <w:r>
        <w:rPr>
          <w:rFonts w:ascii="Times New Roman" w:cs="Times New Roman" w:eastAsia="Times New Roman" w:hAnsi="Times New Roman"/>
          <w:sz w:val="18"/>
          <w:szCs w:val="18"/>
          <w:color w:val="auto"/>
        </w:rPr>
        <w:t>The execution, delivery, and performance of this Agreement by the Acquiror do not and will not (i) violate or conflict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or bylaws of the Acquiror, (ii) violate any law, order, judgment, or decree applicable to the Acquiror, or (iii) require any consent, approval, or authorization of, or filing with, any Governmental Authority that has not been obtained or made, subject to compliance with the applicable requirements of applicable U.S. state or federal securities laws.</w:t>
      </w:r>
    </w:p>
    <w:p>
      <w:pPr>
        <w:spacing w:after="0" w:line="176" w:lineRule="exact"/>
        <w:rPr>
          <w:rFonts w:ascii="Times New Roman" w:cs="Times New Roman" w:eastAsia="Times New Roman" w:hAnsi="Times New Roman"/>
          <w:sz w:val="18"/>
          <w:szCs w:val="18"/>
          <w:color w:val="auto"/>
        </w:rPr>
      </w:pPr>
    </w:p>
    <w:p>
      <w:pPr>
        <w:jc w:val="both"/>
        <w:ind w:left="384" w:hanging="384"/>
        <w:spacing w:after="0" w:line="254" w:lineRule="auto"/>
        <w:tabs>
          <w:tab w:leader="none" w:pos="38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Valid Issuance of Holder Shares. </w:t>
      </w:r>
      <w:r>
        <w:rPr>
          <w:rFonts w:ascii="Times New Roman" w:cs="Times New Roman" w:eastAsia="Times New Roman" w:hAnsi="Times New Roman"/>
          <w:sz w:val="18"/>
          <w:szCs w:val="18"/>
          <w:color w:val="auto"/>
        </w:rPr>
        <w:t>The Holder Shares, when issued in accordance with this Agreement, will be duly authorized,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fully paid, and non-assessable, and will be free and clear of all Liens (other than restrictions arising under the Securities Act, other applicable securities laws or this Agreement). The issuance of the Holder Shares pursuant to this Agreement will not cause the Acquiror to exceed its authorized capital stock. The Acquiror Common Stock is registered under Section 12(b) of the Exchange Act and is listed on the Nasdaq, and the Acquiror has not received any notice of delisting. No judgment, order, ruling, regulation, decree, injunction, or award of any securities commission or similar securities regulatory authority or any other Governmental Authority, or of the Nasdaq, preventing or suspending trading in any securities of the Acquiror has been issued, and no proceedings for such purpose are, to the knowledge of the Acquiror, pending, contemplated or threatened. The transactions contemplated hereby do not require any vote of the equityholders of the Acquiror under applicable law, the rules and regulations of the Nasdaq or the governing documents of the Acquiror.</w:t>
      </w:r>
    </w:p>
    <w:p>
      <w:pPr>
        <w:spacing w:after="0" w:line="188" w:lineRule="exact"/>
        <w:rPr>
          <w:rFonts w:ascii="Times New Roman" w:cs="Times New Roman" w:eastAsia="Times New Roman" w:hAnsi="Times New Roman"/>
          <w:sz w:val="18"/>
          <w:szCs w:val="18"/>
          <w:color w:val="auto"/>
        </w:rPr>
      </w:pPr>
    </w:p>
    <w:p>
      <w:pPr>
        <w:jc w:val="both"/>
        <w:ind w:left="384" w:hanging="384"/>
        <w:spacing w:after="0" w:line="259" w:lineRule="auto"/>
        <w:tabs>
          <w:tab w:leader="none" w:pos="38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 Filings. </w:t>
      </w:r>
      <w:r>
        <w:rPr>
          <w:rFonts w:ascii="Times New Roman" w:cs="Times New Roman" w:eastAsia="Times New Roman" w:hAnsi="Times New Roman"/>
          <w:sz w:val="18"/>
          <w:szCs w:val="18"/>
          <w:color w:val="auto"/>
        </w:rPr>
        <w:t>The Acquiror has filed or furnished all reports, schedules, forms, statements, and other documents required to be filed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furnished by it with the SEC pursuant to the Exchange Act since January 1, 2024. As of their respective filing dates (or, if amended or superseded by a subsequent filing, as of the date of the last such amendment or superseding filing), such filings complied in all material respects with the requirements of the Exchange Act or the Securities Act, as the case may be, and the rules and regulations promulgated thereunder.</w:t>
      </w:r>
    </w:p>
    <w:p>
      <w:pPr>
        <w:spacing w:after="0" w:line="179" w:lineRule="exact"/>
        <w:rPr>
          <w:rFonts w:ascii="Times New Roman" w:cs="Times New Roman" w:eastAsia="Times New Roman" w:hAnsi="Times New Roman"/>
          <w:sz w:val="18"/>
          <w:szCs w:val="18"/>
          <w:color w:val="auto"/>
        </w:rPr>
      </w:pPr>
    </w:p>
    <w:p>
      <w:pPr>
        <w:ind w:left="384" w:hanging="384"/>
        <w:spacing w:after="0" w:line="286" w:lineRule="auto"/>
        <w:tabs>
          <w:tab w:leader="none" w:pos="38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Value. </w:t>
      </w:r>
      <w:r>
        <w:rPr>
          <w:rFonts w:ascii="Times New Roman" w:cs="Times New Roman" w:eastAsia="Times New Roman" w:hAnsi="Times New Roman"/>
          <w:sz w:val="18"/>
          <w:szCs w:val="18"/>
          <w:color w:val="auto"/>
        </w:rPr>
        <w:t>The Acquiror acknowledges and agrees that the Consideration constitutes fair consideration and reasonably equivalent value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cancellation and release of the Secured Notes and the other obligations, rights and interests affected hereby.</w:t>
      </w:r>
    </w:p>
    <w:p>
      <w:pPr>
        <w:spacing w:after="0" w:line="154" w:lineRule="exact"/>
        <w:rPr>
          <w:rFonts w:ascii="Times New Roman" w:cs="Times New Roman" w:eastAsia="Times New Roman" w:hAnsi="Times New Roman"/>
          <w:sz w:val="18"/>
          <w:szCs w:val="18"/>
          <w:color w:val="auto"/>
        </w:rPr>
      </w:pPr>
    </w:p>
    <w:p>
      <w:pPr>
        <w:jc w:val="both"/>
        <w:ind w:left="384" w:hanging="384"/>
        <w:spacing w:after="0" w:line="257" w:lineRule="auto"/>
        <w:tabs>
          <w:tab w:leader="none" w:pos="38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Acquiror Status. </w:t>
      </w:r>
      <w:r>
        <w:rPr>
          <w:rFonts w:ascii="Times New Roman" w:cs="Times New Roman" w:eastAsia="Times New Roman" w:hAnsi="Times New Roman"/>
          <w:sz w:val="18"/>
          <w:szCs w:val="18"/>
          <w:color w:val="auto"/>
        </w:rPr>
        <w:t>As of the date of this Agreement, Acquiror is a “well-known seasoned issuer” as defined in Rule 405 under the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and is currently eligible to register the resale of the Holder Shares for resale by the Holders on automatically effective Form S-3 promulgated under the Securities Act. As of the date of this Agreement, the Acquiror Common Stock is registered pursuant to Section 12(b) of the Exchange Act, and neither Acquiror nor any of its subsidiaries has taken, or will take, any action designed to terminate, or that is likely to have the effect of terminating, the registration of the Acquiror Common Stock under the Exchange Act; nor has Acquiror nor any of its subsidiaries received any notification that the SEC is contemplating terminating such registration.</w:t>
      </w:r>
    </w:p>
    <w:p>
      <w:pPr>
        <w:spacing w:after="0" w:line="200" w:lineRule="exact"/>
        <w:rPr>
          <w:sz w:val="20"/>
          <w:szCs w:val="20"/>
          <w:color w:val="auto"/>
        </w:rPr>
      </w:pPr>
    </w:p>
    <w:p>
      <w:pPr>
        <w:spacing w:after="0" w:line="20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15" w:name="page116"/>
    <w:bookmarkEnd w:id="115"/>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4.03 Representations and Warranties of the Holders. </w:t>
      </w:r>
      <w:r>
        <w:rPr>
          <w:rFonts w:ascii="Times New Roman" w:cs="Times New Roman" w:eastAsia="Times New Roman" w:hAnsi="Times New Roman"/>
          <w:sz w:val="18"/>
          <w:szCs w:val="18"/>
          <w:color w:val="auto"/>
        </w:rPr>
        <w:t>Each Holder, severally and not jointly, hereby represents and warrants to and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agrees with the Issuer and the Acquiror as follows:</w:t>
      </w:r>
    </w:p>
    <w:p>
      <w:pPr>
        <w:spacing w:after="0" w:line="155" w:lineRule="exact"/>
        <w:rPr>
          <w:sz w:val="20"/>
          <w:szCs w:val="20"/>
          <w:color w:val="auto"/>
        </w:rPr>
      </w:pPr>
    </w:p>
    <w:p>
      <w:pPr>
        <w:ind w:left="1040" w:right="20" w:hanging="384"/>
        <w:spacing w:after="0" w:line="286" w:lineRule="auto"/>
        <w:tabs>
          <w:tab w:leader="none" w:pos="10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Organization and Good Standing. </w:t>
      </w:r>
      <w:r>
        <w:rPr>
          <w:rFonts w:ascii="Times New Roman" w:cs="Times New Roman" w:eastAsia="Times New Roman" w:hAnsi="Times New Roman"/>
          <w:sz w:val="18"/>
          <w:szCs w:val="18"/>
          <w:color w:val="auto"/>
        </w:rPr>
        <w:t>It is duly organized, validly existing, and in good standing under the laws of its jurisdiction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w:t>
      </w:r>
    </w:p>
    <w:p>
      <w:pPr>
        <w:spacing w:after="0" w:line="154" w:lineRule="exact"/>
        <w:rPr>
          <w:rFonts w:ascii="Times New Roman" w:cs="Times New Roman" w:eastAsia="Times New Roman" w:hAnsi="Times New Roman"/>
          <w:sz w:val="18"/>
          <w:szCs w:val="18"/>
          <w:color w:val="auto"/>
        </w:rPr>
      </w:pPr>
    </w:p>
    <w:p>
      <w:pPr>
        <w:jc w:val="both"/>
        <w:ind w:left="1040" w:hanging="384"/>
        <w:spacing w:after="0" w:line="259" w:lineRule="auto"/>
        <w:tabs>
          <w:tab w:leader="none" w:pos="10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Authorization; Enforceability. </w:t>
      </w:r>
      <w:r>
        <w:rPr>
          <w:rFonts w:ascii="Times New Roman" w:cs="Times New Roman" w:eastAsia="Times New Roman" w:hAnsi="Times New Roman"/>
          <w:sz w:val="18"/>
          <w:szCs w:val="18"/>
          <w:color w:val="auto"/>
        </w:rPr>
        <w:t>Such Holder has full power and authority to execute, deliver, and perform its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execution, delivery, and performance of this Agreement by such Holder have been duly authorized by all necessary action. This Agreement constitutes the legal, valid, and binding obligation of such Holder, enforceable against such Holder in accordance with its terms, except as such enforceability may be limited by applicable bankruptcy, insolvency, reorganization, moratorium, or similar laws affecting creditors’ rights generally and by general principles of equity.</w:t>
      </w:r>
    </w:p>
    <w:p>
      <w:pPr>
        <w:spacing w:after="0" w:line="179" w:lineRule="exact"/>
        <w:rPr>
          <w:rFonts w:ascii="Times New Roman" w:cs="Times New Roman" w:eastAsia="Times New Roman" w:hAnsi="Times New Roman"/>
          <w:sz w:val="18"/>
          <w:szCs w:val="18"/>
          <w:color w:val="auto"/>
        </w:rPr>
      </w:pPr>
    </w:p>
    <w:p>
      <w:pPr>
        <w:jc w:val="both"/>
        <w:ind w:left="1040" w:hanging="384"/>
        <w:spacing w:after="0" w:line="252" w:lineRule="auto"/>
        <w:tabs>
          <w:tab w:leader="none" w:pos="10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Ownership of Secured Notes. </w:t>
      </w:r>
      <w:r>
        <w:rPr>
          <w:rFonts w:ascii="Times New Roman" w:cs="Times New Roman" w:eastAsia="Times New Roman" w:hAnsi="Times New Roman"/>
          <w:sz w:val="18"/>
          <w:szCs w:val="18"/>
          <w:color w:val="auto"/>
        </w:rPr>
        <w:t>Such Holder is the direct legal or beneficial owner of the Secured Notes or is the nominee,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manager, or advisor for beneficial holders of the Secured Notes, as set forth opposite its name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free and clear of all Liens, other than customary Liens attributable to securities or notes held by a bank, prime-broker, or broker-dealer on behalf of a Holder. Except as otherwise permitted hereunder, such Holder has not assigned, transferred, pledged, hypothecated, or otherwise disposed of any interest in such Secured Notes, other than customary Liens attributable to securities or notes held by a bank, prime-broker, or broker-dealer on behalf of a Holder. As of the date of this Agreement, other than customary Liens attributable to securities or notes held by a bank, prime-broker, or broker-dealer on behalf of a Holder, such Holder has not, in whole or in part, (i) assigned, transferred, hypothecated, pledged or otherwise disposed of all or any portion of its Secured Notes or its rights in or to all or any portion of its Secured Notes, or (ii) given any person or entity any transfer order, power of attorney or other authority of any nature whatsoever with respect to all or any portion of its Secured Notes which would limit such Holder’s power to surrender its Secured Notes hereunder in exchange for Holder’s respective portion of the Consideration. Such Holder covenants that it shall not take any of the actions set forth in the immediately preceding sentence. Such Holder has the full power and authority to surrender its Secured Notes as provided in this Agreement and its Secured Notes are not subject to any agreement, arrangement or restriction with respect thereto, other than customary Liens attributable to securities or notes held by a bank, prime-broker, or broker-dealer on behalf of a Holder. No additional consideration for any purpose shall be due to such Holder at the Closing with respect to its Secured Notes, other than the payment to such Holder of its respective portion of the Consideration as provided herein. As of the date of this Agreement, no event of default under the terms of such Holder’s Secured Notes has been declared by such Holder under its Secured Note and, to the knowledge of such Holder, no event of default under the terms of such Holder’s Secured Notes exists or is continuing with respect to its Secured Notes.</w:t>
      </w:r>
    </w:p>
    <w:p>
      <w:pPr>
        <w:spacing w:after="0" w:line="191" w:lineRule="exact"/>
        <w:rPr>
          <w:rFonts w:ascii="Times New Roman" w:cs="Times New Roman" w:eastAsia="Times New Roman" w:hAnsi="Times New Roman"/>
          <w:sz w:val="18"/>
          <w:szCs w:val="18"/>
          <w:color w:val="auto"/>
        </w:rPr>
      </w:pPr>
    </w:p>
    <w:p>
      <w:pPr>
        <w:ind w:left="1040" w:hanging="384"/>
        <w:spacing w:after="0" w:line="286" w:lineRule="auto"/>
        <w:tabs>
          <w:tab w:leader="none" w:pos="10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Accredited Investor Status. </w:t>
      </w:r>
      <w:r>
        <w:rPr>
          <w:rFonts w:ascii="Times New Roman" w:cs="Times New Roman" w:eastAsia="Times New Roman" w:hAnsi="Times New Roman"/>
          <w:sz w:val="18"/>
          <w:szCs w:val="18"/>
          <w:color w:val="auto"/>
        </w:rPr>
        <w:t>Such Holder is an “accredited investor” as defined in Rule 501(a) of Regulation D promulgated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w:t>
      </w:r>
    </w:p>
    <w:p>
      <w:pPr>
        <w:spacing w:after="0" w:line="154" w:lineRule="exact"/>
        <w:rPr>
          <w:rFonts w:ascii="Times New Roman" w:cs="Times New Roman" w:eastAsia="Times New Roman" w:hAnsi="Times New Roman"/>
          <w:sz w:val="18"/>
          <w:szCs w:val="18"/>
          <w:color w:val="auto"/>
        </w:rPr>
      </w:pPr>
    </w:p>
    <w:p>
      <w:pPr>
        <w:jc w:val="both"/>
        <w:ind w:left="1040" w:hanging="384"/>
        <w:spacing w:after="0" w:line="259" w:lineRule="auto"/>
        <w:tabs>
          <w:tab w:leader="none" w:pos="10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Short Position</w:t>
      </w:r>
      <w:r>
        <w:rPr>
          <w:rFonts w:ascii="Times New Roman" w:cs="Times New Roman" w:eastAsia="Times New Roman" w:hAnsi="Times New Roman"/>
          <w:sz w:val="18"/>
          <w:szCs w:val="18"/>
          <w:color w:val="auto"/>
        </w:rPr>
        <w:t>. As of the date hereof, (i) such Holder does not own, beneficially or of record, greater than 3% of the issued and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par value $0.001 per share, of the Issuer (“</w:t>
      </w:r>
      <w:r>
        <w:rPr>
          <w:rFonts w:ascii="Times New Roman" w:cs="Times New Roman" w:eastAsia="Times New Roman" w:hAnsi="Times New Roman"/>
          <w:sz w:val="18"/>
          <w:szCs w:val="18"/>
          <w:b w:val="1"/>
          <w:bCs w:val="1"/>
          <w:i w:val="1"/>
          <w:iCs w:val="1"/>
          <w:color w:val="auto"/>
        </w:rPr>
        <w:t>Issuer Securities</w:t>
      </w:r>
      <w:r>
        <w:rPr>
          <w:rFonts w:ascii="Times New Roman" w:cs="Times New Roman" w:eastAsia="Times New Roman" w:hAnsi="Times New Roman"/>
          <w:sz w:val="18"/>
          <w:szCs w:val="18"/>
          <w:color w:val="auto"/>
        </w:rPr>
        <w:t>”) and (ii) neither such Holder nor any Affiliate thereof that is managed or advised by the same investment advisor or manager and that does not operate independently of such Holder pursuant to customary “information barriers” (such Affiliate, a “</w:t>
      </w:r>
      <w:r>
        <w:rPr>
          <w:rFonts w:ascii="Times New Roman" w:cs="Times New Roman" w:eastAsia="Times New Roman" w:hAnsi="Times New Roman"/>
          <w:sz w:val="18"/>
          <w:szCs w:val="18"/>
          <w:b w:val="1"/>
          <w:bCs w:val="1"/>
          <w:i w:val="1"/>
          <w:iCs w:val="1"/>
          <w:color w:val="auto"/>
        </w:rPr>
        <w:t>Related Fund</w:t>
      </w:r>
      <w:r>
        <w:rPr>
          <w:rFonts w:ascii="Times New Roman" w:cs="Times New Roman" w:eastAsia="Times New Roman" w:hAnsi="Times New Roman"/>
          <w:sz w:val="18"/>
          <w:szCs w:val="18"/>
          <w:color w:val="auto"/>
        </w:rPr>
        <w:t>”) owns, beneficially or of record, greater than 3% of the issued and outstanding Acquiror Securities.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6" w:name="page117"/>
    <w:bookmarkEnd w:id="116"/>
    <w:p>
      <w:pPr>
        <w:jc w:val="both"/>
        <w:ind w:left="384" w:hanging="384"/>
        <w:spacing w:after="0" w:line="259" w:lineRule="auto"/>
        <w:tabs>
          <w:tab w:leader="none" w:pos="38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Intent. </w:t>
      </w:r>
      <w:r>
        <w:rPr>
          <w:rFonts w:ascii="Times New Roman" w:cs="Times New Roman" w:eastAsia="Times New Roman" w:hAnsi="Times New Roman"/>
          <w:sz w:val="18"/>
          <w:szCs w:val="18"/>
          <w:color w:val="auto"/>
        </w:rPr>
        <w:t>Such Holder is acquiring the Holder Shares for its own account for investment purposes only and not with a view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resale in connection with, any distribution thereof in violation of the Securities Act or any applicable state securities laws. Such Holder understands that the Holder Shares have not been registered under the Securities Act or any state securities laws by reason of a specific exemption therefrom, and that the Holder Shares must be held indefinitely unless subsequently registered under the Securities Act and applicable state securities laws or unless an exemption from such registration is available.</w:t>
      </w:r>
    </w:p>
    <w:p>
      <w:pPr>
        <w:spacing w:after="0" w:line="179" w:lineRule="exact"/>
        <w:rPr>
          <w:rFonts w:ascii="Times New Roman" w:cs="Times New Roman" w:eastAsia="Times New Roman" w:hAnsi="Times New Roman"/>
          <w:sz w:val="18"/>
          <w:szCs w:val="18"/>
          <w:color w:val="auto"/>
        </w:rPr>
      </w:pPr>
    </w:p>
    <w:p>
      <w:pPr>
        <w:jc w:val="both"/>
        <w:ind w:left="384" w:hanging="384"/>
        <w:spacing w:after="0" w:line="252" w:lineRule="auto"/>
        <w:tabs>
          <w:tab w:leader="none" w:pos="38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Information; Sophistication; Independent Investigation. </w:t>
      </w:r>
      <w:r>
        <w:rPr>
          <w:rFonts w:ascii="Times New Roman" w:cs="Times New Roman" w:eastAsia="Times New Roman" w:hAnsi="Times New Roman"/>
          <w:sz w:val="18"/>
          <w:szCs w:val="18"/>
          <w:color w:val="auto"/>
        </w:rPr>
        <w:t>Such Holder has had access to such information relating to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finances, and operations of the Acquiror and the terms and conditions of the transactions contemplated hereby (including but not limited to the offer and sale of the Holder Shares) as it deems necessary to make an informed decision. Such Holder has had an opportunity to ask questions of, and receive answers from, the Acquiror regarding such transactions to the extent such Holder deems necessary to make an informed decision. Such Holder has such knowledge and experience in financial and business matters that it is capable of evaluating the merits and risks of the transactions contemplated by this Agreement. Such Holder has made an independent decision to sell its Secured Notes based on all information available to it, which such Holder acknowledges and agrees is adequate to allow it to make such decision. In making the decision to sell its Secured Notes pursuant to this Agreement, such Holder has relied solely upon such Holder’s own independent investigation and diligence and has not relied on any statements, representations or warranties, investigation (including with respect to the accuracy, completeness or adequacy of the Issuer’s and the Acquiror’s public disclosure) or other information provided by or on behalf of (i) any former, current or future, direct or indirect, director, manager, officer, employee, consultant, general or limited partner, member, stockholder, security holder, Affiliates, controlling person, successor, assignee, predecessor, financing source, attorney, advisor, agent or representative (or any of their respective successors or assigns), of the Acquiror, Merger Sub or any of their respective Affiliates, (ii) any former, current or future, direct or indirect, holder of any equity interests or securities of the Acquiror, Merger Sub or any of their respective Affiliates (or any of their respective successors or assigns), or (iii) any former, current or future, direct or indirect, director, manager, officer, employee, consultant, general or limited partner, member, stockholder, security holder, Affiliates, controlling person, successor, assignee, predecessor, financing source, attorney, advisor, agent or representative of any of the foregoing (or any of their respective successors or assigns) concerning the Issuer, the Acquiror, Merger Sub, the transactions contemplated hereby or the risks associated therewith.</w:t>
      </w:r>
    </w:p>
    <w:p>
      <w:pPr>
        <w:spacing w:after="0" w:line="191" w:lineRule="exact"/>
        <w:rPr>
          <w:rFonts w:ascii="Times New Roman" w:cs="Times New Roman" w:eastAsia="Times New Roman" w:hAnsi="Times New Roman"/>
          <w:sz w:val="18"/>
          <w:szCs w:val="18"/>
          <w:color w:val="auto"/>
        </w:rPr>
      </w:pPr>
    </w:p>
    <w:p>
      <w:pPr>
        <w:jc w:val="both"/>
        <w:ind w:left="384" w:hanging="384"/>
        <w:spacing w:after="0" w:line="268" w:lineRule="auto"/>
        <w:tabs>
          <w:tab w:leader="none" w:pos="38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General Solicitation</w:t>
      </w:r>
      <w:r>
        <w:rPr>
          <w:rFonts w:ascii="Times New Roman" w:cs="Times New Roman" w:eastAsia="Times New Roman" w:hAnsi="Times New Roman"/>
          <w:sz w:val="18"/>
          <w:szCs w:val="18"/>
          <w:color w:val="auto"/>
        </w:rPr>
        <w:t>. Such Holder is not obtaining the Holder Shares as a result of any advertisement, article, notice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 regarding the Acquiror Common Stock published in any newspaper, magazine or similar media or broadcast over television or radio or presented at any seminar or any other general solicitation or general advertisement.</w:t>
      </w:r>
    </w:p>
    <w:p>
      <w:pPr>
        <w:spacing w:after="0" w:line="170" w:lineRule="exact"/>
        <w:rPr>
          <w:rFonts w:ascii="Times New Roman" w:cs="Times New Roman" w:eastAsia="Times New Roman" w:hAnsi="Times New Roman"/>
          <w:sz w:val="18"/>
          <w:szCs w:val="18"/>
          <w:color w:val="auto"/>
        </w:rPr>
      </w:pPr>
    </w:p>
    <w:p>
      <w:pPr>
        <w:ind w:left="384" w:hanging="384"/>
        <w:spacing w:after="0" w:line="286" w:lineRule="auto"/>
        <w:tabs>
          <w:tab w:leader="none" w:pos="38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Broker. </w:t>
      </w:r>
      <w:r>
        <w:rPr>
          <w:rFonts w:ascii="Times New Roman" w:cs="Times New Roman" w:eastAsia="Times New Roman" w:hAnsi="Times New Roman"/>
          <w:sz w:val="18"/>
          <w:szCs w:val="18"/>
          <w:color w:val="auto"/>
        </w:rPr>
        <w:t>Such Holder has not engaged any broker, finder, or investment banker in connection with the transactions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4" w:lineRule="exact"/>
        <w:rPr>
          <w:rFonts w:ascii="Times New Roman" w:cs="Times New Roman" w:eastAsia="Times New Roman" w:hAnsi="Times New Roman"/>
          <w:sz w:val="18"/>
          <w:szCs w:val="18"/>
          <w:color w:val="auto"/>
        </w:rPr>
      </w:pPr>
    </w:p>
    <w:p>
      <w:pPr>
        <w:ind w:left="384" w:right="20" w:hanging="384"/>
        <w:spacing w:after="0" w:line="286" w:lineRule="auto"/>
        <w:tabs>
          <w:tab w:leader="none" w:pos="38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Value. </w:t>
      </w:r>
      <w:r>
        <w:rPr>
          <w:rFonts w:ascii="Times New Roman" w:cs="Times New Roman" w:eastAsia="Times New Roman" w:hAnsi="Times New Roman"/>
          <w:sz w:val="18"/>
          <w:szCs w:val="18"/>
          <w:color w:val="auto"/>
        </w:rPr>
        <w:t>Such Holder acknowledges and agrees that the Consideration constitutes fair consideration and reasonably equivalent value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cancellation and release of the Secured Notes and the other obligations, rights and interests affected hereby.</w:t>
      </w:r>
    </w:p>
    <w:p>
      <w:pPr>
        <w:spacing w:after="0" w:line="37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Article V. CONDITIONS PRECEDENT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5.01 Conditions to Obligations of All Parties. </w:t>
      </w:r>
      <w:r>
        <w:rPr>
          <w:rFonts w:ascii="Times New Roman" w:cs="Times New Roman" w:eastAsia="Times New Roman" w:hAnsi="Times New Roman"/>
          <w:sz w:val="18"/>
          <w:szCs w:val="18"/>
          <w:color w:val="auto"/>
        </w:rPr>
        <w:t>The obligations of each Party to consummate the transactions contemplated by this Agreement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satisfaction (or waiver by all Parties) of the following conditions:</w:t>
      </w:r>
    </w:p>
    <w:p>
      <w:pPr>
        <w:spacing w:after="0" w:line="159" w:lineRule="exact"/>
        <w:rPr>
          <w:sz w:val="20"/>
          <w:szCs w:val="20"/>
          <w:color w:val="auto"/>
        </w:rPr>
      </w:pPr>
    </w:p>
    <w:p>
      <w:pPr>
        <w:ind w:left="1040" w:right="20" w:hanging="384"/>
        <w:spacing w:after="0" w:line="282" w:lineRule="auto"/>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injunction, order, decree, or ruling issued by any Governmental Authority of competent jurisdiction shall be in effect that prohibits or restrains the consummation of the transactions contemplated hereby.</w:t>
      </w:r>
    </w:p>
    <w:p>
      <w:pPr>
        <w:spacing w:after="0" w:line="161" w:lineRule="exact"/>
        <w:rPr>
          <w:rFonts w:ascii="Times New Roman" w:cs="Times New Roman" w:eastAsia="Times New Roman" w:hAnsi="Times New Roman"/>
          <w:sz w:val="18"/>
          <w:szCs w:val="18"/>
          <w:color w:val="auto"/>
        </w:rPr>
      </w:pPr>
    </w:p>
    <w:p>
      <w:pPr>
        <w:jc w:val="both"/>
        <w:ind w:left="1040" w:hanging="384"/>
        <w:spacing w:after="0" w:line="266" w:lineRule="auto"/>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conditions contained in Article 7 of the Merger Agreement, other than the conditions contained in Section 7.2(f), shall have been satisfied (other than conditions that by their nature can only be satisfied at the closing of the Merger) or waived by the Acquiror, Merger Sub or the Issuer or Merger Sub, such that the Merger shall be and is consummated substantially simultaneously with the Closing.</w:t>
      </w:r>
    </w:p>
    <w:p>
      <w:pPr>
        <w:spacing w:after="0" w:line="175"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filings required under applicable securities laws and the rules and regulations of any stock exchange on which the Acquiror Common Stock is listed shall have been made, and all necessary approvals in connection therewith shall have been obtained.</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5.02 Conditions to Obligations of the Holders. </w:t>
      </w:r>
      <w:r>
        <w:rPr>
          <w:rFonts w:ascii="Times New Roman" w:cs="Times New Roman" w:eastAsia="Times New Roman" w:hAnsi="Times New Roman"/>
          <w:sz w:val="18"/>
          <w:szCs w:val="18"/>
          <w:color w:val="auto"/>
        </w:rPr>
        <w:t>The obligations of each Holder to consummate the transactions contemplated by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subject to the satisfaction (or waiver by such Holder) of the following conditions:</w:t>
      </w:r>
    </w:p>
    <w:p>
      <w:pPr>
        <w:spacing w:after="0" w:line="159" w:lineRule="exact"/>
        <w:rPr>
          <w:sz w:val="20"/>
          <w:szCs w:val="20"/>
          <w:color w:val="auto"/>
        </w:rPr>
      </w:pPr>
    </w:p>
    <w:p>
      <w:pPr>
        <w:jc w:val="both"/>
        <w:ind w:left="1040" w:hanging="384"/>
        <w:spacing w:after="0" w:line="261" w:lineRule="auto"/>
        <w:tabs>
          <w:tab w:leader="none" w:pos="1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Acquiror set forth in this Agreement shall be true and correct in all material respects as of the Closing Date, except to the extent that any failures of such representations and warranties to be so true and correct, individually or in the aggregate, have not prevented, and do not prevent, the Acquiror from paying the Consideration when due and payable in the accordance with the terms of this Agreement.</w:t>
      </w:r>
    </w:p>
    <w:p>
      <w:pPr>
        <w:spacing w:after="0" w:line="179"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shall have performed and complied in all material respects with all covenants and agreements required to be performed or complied with by them under this Agreement on or prior to the Closing Date.</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have paid at the Closing (i) all Holders Counsel Fees incurred through the Closing Date in accordance with Section 8.15 and</w:t>
      </w:r>
    </w:p>
    <w:p>
      <w:pPr>
        <w:spacing w:after="0" w:line="27" w:lineRule="exact"/>
        <w:rPr>
          <w:rFonts w:ascii="Times New Roman" w:cs="Times New Roman" w:eastAsia="Times New Roman" w:hAnsi="Times New Roman"/>
          <w:sz w:val="18"/>
          <w:szCs w:val="18"/>
          <w:color w:val="auto"/>
        </w:rPr>
      </w:pPr>
    </w:p>
    <w:p>
      <w:pPr>
        <w:jc w:val="both"/>
        <w:ind w:left="1040" w:hanging="6"/>
        <w:spacing w:after="0" w:line="255" w:lineRule="auto"/>
        <w:tabs>
          <w:tab w:leader="none" w:pos="131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contemplated by Section 2.01(b) by wire transfer of immediately available funds pursuant to wire instructions provided by each Holder prior to or concurrently with the Closing; provided, that the foregoing clause (ii) shall solely be a condition to the obligations of a Holder of one or more First Lien Secured Notes to consummate the transactions contemplated by this Agreement.</w:t>
      </w:r>
    </w:p>
    <w:p>
      <w:pPr>
        <w:spacing w:after="0" w:line="18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and the Acquiror shall have entered into the registration rights agreement in substantially the form as set forth on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Shares shall have been authorized for listing on the Nasdaq, subject to official notice of issuance.</w:t>
      </w:r>
    </w:p>
    <w:p>
      <w:pPr>
        <w:spacing w:after="0" w:line="225" w:lineRule="exact"/>
        <w:rPr>
          <w:rFonts w:ascii="Times New Roman" w:cs="Times New Roman" w:eastAsia="Times New Roman" w:hAnsi="Times New Roman"/>
          <w:sz w:val="18"/>
          <w:szCs w:val="18"/>
          <w:color w:val="auto"/>
        </w:rPr>
      </w:pPr>
    </w:p>
    <w:p>
      <w:pPr>
        <w:jc w:val="both"/>
        <w:ind w:left="1040" w:hanging="384"/>
        <w:spacing w:after="0" w:line="255" w:lineRule="auto"/>
        <w:tabs>
          <w:tab w:leader="none" w:pos="1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Holders of the First Lien Secured Notes, Holders of the Second Lien Secured Notes shall have substantially contemporaneously consummated the transactions contemplated hereby, and in the case of Holders of the Second Lien Secured Notes, Holders of the First Lien Secured Notes shall have substantially contemporaneously consummated the transactions contemplated hereby;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condition contemplated by this Section 5.02(f) shall be deemed satisfied in the event the Court of Chancery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(or, if such court declines jurisdiction, a federal court of the United States of America sitting in the State of Delaware) imposes or enters any judgment or order requiring Holders refusing to consummate the transactions contemplated hereby to consummate such transactions.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8" w:name="page119"/>
    <w:bookmarkEnd w:id="118"/>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5.03 Conditions to Obligations of the Acquiror. </w:t>
      </w:r>
      <w:r>
        <w:rPr>
          <w:rFonts w:ascii="Times New Roman" w:cs="Times New Roman" w:eastAsia="Times New Roman" w:hAnsi="Times New Roman"/>
          <w:sz w:val="18"/>
          <w:szCs w:val="18"/>
          <w:color w:val="auto"/>
        </w:rPr>
        <w:t>The obligations of the Acquiror to consummate the transactions contemplated by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subject to the satisfaction (or waiver by the Issuer and the Acquiror) of the following conditions:</w:t>
      </w:r>
    </w:p>
    <w:p>
      <w:pPr>
        <w:spacing w:after="0" w:line="159" w:lineRule="exact"/>
        <w:rPr>
          <w:sz w:val="20"/>
          <w:szCs w:val="20"/>
          <w:color w:val="auto"/>
        </w:rPr>
      </w:pPr>
    </w:p>
    <w:p>
      <w:pPr>
        <w:ind w:left="1040" w:hanging="384"/>
        <w:spacing w:after="0" w:line="282" w:lineRule="auto"/>
        <w:tabs>
          <w:tab w:leader="none" w:pos="10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of the Holders set forth in this Agreement shall be true and correct in all material respects as of the Closing Date.</w:t>
      </w:r>
    </w:p>
    <w:p>
      <w:pPr>
        <w:spacing w:after="0" w:line="161"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shall have performed and complied in all material respects with all covenants and agreements required to be performed or complied with by such Holder under this Agreement on or prior to the Closing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VI. SECURITIES LAW MATTERS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6.01 Disclosure. </w:t>
      </w:r>
      <w:r>
        <w:rPr>
          <w:rFonts w:ascii="Times New Roman" w:cs="Times New Roman" w:eastAsia="Times New Roman" w:hAnsi="Times New Roman"/>
          <w:sz w:val="18"/>
          <w:szCs w:val="18"/>
          <w:color w:val="auto"/>
        </w:rPr>
        <w:t>Each Party acknowledges that, to the extent required by applicable law, the rules and regulations of the SEC, or the rules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exchange on which the securities of the Issuer or the Acquiror are listed, the transactions contemplated by this Agreement may be disclosed publicly, including in filings made with the SEC in accordance with the terms of this Agreement; provided, that, the identity of the Holders may not be disclosed without their prior consent (which consent may not be unreasonably withheld, conditioned or delayed) except that a Holder may be named in the Shelf Registration Statement to the extent required by law, unless such Holder has elected to not to include its Holder Shares in the Shelf Registration Statement.</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6.02 Compliance with Securities Laws. </w:t>
      </w:r>
      <w:r>
        <w:rPr>
          <w:rFonts w:ascii="Times New Roman" w:cs="Times New Roman" w:eastAsia="Times New Roman" w:hAnsi="Times New Roman"/>
          <w:sz w:val="18"/>
          <w:szCs w:val="18"/>
          <w:color w:val="auto"/>
        </w:rPr>
        <w:t>Each Holder agrees that it will not offer, sell, pledge, transfer, or otherwise dispose of any Holder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in compliance with the Securities Act, any applicable state securities laws, and any other applicable laws.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VII. ADDITIONAL COVENANTS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7.01 Further Assurances. </w:t>
      </w:r>
      <w:r>
        <w:rPr>
          <w:rFonts w:ascii="Times New Roman" w:cs="Times New Roman" w:eastAsia="Times New Roman" w:hAnsi="Times New Roman"/>
          <w:sz w:val="18"/>
          <w:szCs w:val="18"/>
          <w:color w:val="auto"/>
        </w:rPr>
        <w:t>Each Party shall execute and deliver such additional documents, instruments, and agreements, and take such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actions, as may be reasonably necessary to effectuate the purposes of this Agreement.</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7.02 Public Announcements. </w:t>
      </w:r>
      <w:r>
        <w:rPr>
          <w:rFonts w:ascii="Times New Roman" w:cs="Times New Roman" w:eastAsia="Times New Roman" w:hAnsi="Times New Roman"/>
          <w:sz w:val="18"/>
          <w:szCs w:val="18"/>
          <w:color w:val="auto"/>
        </w:rPr>
        <w:t>The Parties shall consult with each other before issuing any press release or making any public announcement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transactions contemplated by this Agreement and shall not issue any such press release or make any such public announcement without the prior written consent of the other Parties, except as may be required by applicable law, the rules and regulations of the SEC, or the rules of any stock exchange on which the securities of the Issuer or the Acquiror are listed.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7.03 Tax Matters. </w:t>
      </w:r>
      <w:r>
        <w:rPr>
          <w:rFonts w:ascii="Times New Roman" w:cs="Times New Roman" w:eastAsia="Times New Roman" w:hAnsi="Times New Roman"/>
          <w:sz w:val="18"/>
          <w:szCs w:val="18"/>
          <w:color w:val="auto"/>
        </w:rPr>
        <w:t>Each Holder acknowledges and agrees that it (a) has had an opportunity to review with his, her or its own tax advisors the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consequences of this Agreement, (b) must rely solely on its advisors and not on any statements or representations made by the Acquiror, the Issuer or any of their respective Affiliates, agents or representatives, (c) understands that each Holder (and not the Acquiror, the Issuer or any of their respective Affiliates, agents or representatives) shall be responsible for any tax liability of such Holder that may arise as a result of this Agreement. Each Party shall be responsible for its own tax reporting obligations arising from the transactions contemplated by this Agreement. The Acquiror shall use commercially reasonable efforts to provide each Holder with such information as may be reasonably necessary for such Holder to satisfy its tax reporting obligations. Each Holder shall, at least ten (10) Business Days prior to the Closing, provide a duly completed and executed United Stated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Form W-9 or an appropriate IRS Form W-8, as applicable, in connection with the delivery of this Agreement. Subject in all respects to Sections 1.1(a) and 2.9 of the Merger Agreement, the Parties agree to use commercially reasonable efforts to implement the transactions contemplated by this Agreement in a tax-efficient manner as mutually determined by the Parties.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Section 7.04 Material Non-Public Information</w:t>
      </w:r>
      <w:r>
        <w:rPr>
          <w:rFonts w:ascii="Times New Roman" w:cs="Times New Roman" w:eastAsia="Times New Roman" w:hAnsi="Times New Roman"/>
          <w:sz w:val="18"/>
          <w:szCs w:val="18"/>
          <w:color w:val="auto"/>
        </w:rPr>
        <w:t>. After the date of filing of any public disclosure regarding this Agreement, neither the Issuer nor Acquiror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provide any Holder with any material non-public information without such Holder’s prior written consent.</w:t>
      </w:r>
    </w:p>
    <w:p>
      <w:pPr>
        <w:spacing w:after="0" w:line="1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7.05 Non-Solicitation. </w:t>
      </w:r>
      <w:r>
        <w:rPr>
          <w:rFonts w:ascii="Times New Roman" w:cs="Times New Roman" w:eastAsia="Times New Roman" w:hAnsi="Times New Roman"/>
          <w:sz w:val="18"/>
          <w:szCs w:val="18"/>
          <w:color w:val="auto"/>
        </w:rPr>
        <w:t>From and after the date hereof until the Closing Date or, if earlier, the termination of this Agreement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8.17, the Holders shall not, and shall cause their respective Related Funds and employees and directors and other representatives acting on their behalf not to, directly or indirectly: (a) initiate, seek, facilitate, solicit or knowingly encourage (including by way of furnishing information or assistance of any kind) the submission of any Competing Proposal or any proposal, request or offer that could reasonably be expected to result in a Competing Proposal or induce or take any other action designed or intended to lead to, or that could reasonably be expected to lead to any inquiry with respect to, or the making, submission or announcement of, any Competing Proposal; (b) enter into, continue or otherwise participate or engage in any discussions or negotiations with, or furnish (or cause to be furnished) any material nonpublic information to, any Person relating to a Competing Proposal or any inquiry or request that could reasonably be expected to lead to a Competing Proposal (other than informing any third party of the existence of the provisions contained in this Section 7.05); (c) 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Competing Proposal; or (d) resolve or agree to do any of the foregoing. The Holders shall, and shall cause their respective Related Funds and employees and directors and other representatives acting on their behalf to, immediately cease and cause to be terminated any activities, discussions or negotiations existing as of the date hereof with any Persons conducted heretofore with respect to a Competing Proposal (or that could reasonably be expected to lead to a Competing Proposal). Notwithstanding anything to the contrary in this Section 7.05, nothing in this Section 7.05 shall restrict any Holder or any of its Affiliates from (i) maintaining any investment in any Person that submits or makes a Competing Proposal independently and without solicitation, encouragement, facilitation, or assistance of any kind from such Holder or any of its Affiliates, or (ii) acting as a passive investor with respect to any Person in accordance with the representations and undertakings reflected in a Schedule 13G (or Schedule 13G/A) filed pursuant to Rule 13d-1(b) or Rule 13d-1(c) under the Exchange Act, in each case, so long as such Holder and its Affiliates otherwise comply with this Section 7.05.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VIII. MISCELLANEOUS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8.01 Notices. </w:t>
      </w:r>
      <w:r>
        <w:rPr>
          <w:rFonts w:ascii="Times New Roman" w:cs="Times New Roman" w:eastAsia="Times New Roman" w:hAnsi="Times New Roman"/>
          <w:sz w:val="18"/>
          <w:szCs w:val="18"/>
          <w:color w:val="auto"/>
        </w:rPr>
        <w:t>All notices, requests, demands, and other communications under this Agreement shall be sent by email and shall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duly given upon confirmation of receipt, including by a “read receipt requested” function, and can also (in addition to email) be delivered personally or sent by overnight courier to the Parties at the addresses set forth on the signature pages hereto or at such other address as a Party may designate by notice to the other Parties and shall be deemed to have been duly given one (1) Business Day after being sent.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8.02 Governing Law. </w:t>
      </w:r>
      <w:r>
        <w:rPr>
          <w:rFonts w:ascii="Times New Roman" w:cs="Times New Roman" w:eastAsia="Times New Roman" w:hAnsi="Times New Roman"/>
          <w:sz w:val="18"/>
          <w:szCs w:val="18"/>
          <w:color w:val="auto"/>
        </w:rPr>
        <w:t>This Agreement shall be governed by and construed in accordance with the laws of the State of Delaware, without regard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conflicts of law principles that would require the application of the laws of any other jurisdiction.</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8.03 Jurisdiction and Venue. </w:t>
      </w:r>
      <w:r>
        <w:rPr>
          <w:rFonts w:ascii="Times New Roman" w:cs="Times New Roman" w:eastAsia="Times New Roman" w:hAnsi="Times New Roman"/>
          <w:sz w:val="18"/>
          <w:szCs w:val="18"/>
          <w:color w:val="auto"/>
        </w:rPr>
        <w:t>Each Party hereby irrevocably and unconditionally (a) submits to the exclusive jurisdiction of the Court of Chancery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 (or, if such court declines jurisdiction, the federal courts of the United States of America sitting in the State of Delaware) for any action, suit, or proceeding arising out of or relating to this Agreement, (b) waives any objection it may now or hereafter have to the laying of venue in any such court, (c) waives any claim that any such court is an inconvenient forum, and (d) agrees that service of process in any such action, suit, or proceeding may be effected by mailing a copy thereof by registered or certified mail, postage prepaid, to such Party at its address set forth herein or at such other address as may be designated by notice.</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8.04 Waiver of Jury Trial. </w:t>
      </w:r>
      <w:r>
        <w:rPr>
          <w:rFonts w:ascii="Times New Roman" w:cs="Times New Roman" w:eastAsia="Times New Roman" w:hAnsi="Times New Roman"/>
          <w:sz w:val="18"/>
          <w:szCs w:val="18"/>
          <w:color w:val="auto"/>
        </w:rPr>
        <w:t>EACH PARTY HEREBY IRREVOCABLY WAIVES, TO THE FULLEST EXTENT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ANY RIGHT IT MAY HAVE TO A TRIAL BY JURY IN ANY ACTION, SUIT, OR PROCEEDING ARISING OUT OF OR RELATING TO THIS AGREEMENT OR THE TRANSACTIONS CONTEMPLATED HEREBY.</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8.05 Entire Agreement. </w:t>
      </w:r>
      <w:r>
        <w:rPr>
          <w:rFonts w:ascii="Times New Roman" w:cs="Times New Roman" w:eastAsia="Times New Roman" w:hAnsi="Times New Roman"/>
          <w:sz w:val="18"/>
          <w:szCs w:val="18"/>
          <w:color w:val="auto"/>
        </w:rPr>
        <w:t>This Agreement and the Merger Agreement, together with the Exhibits attached hereto and thereto, constitute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among the Parties with respect to the subject matter hereof and supersedes all prior agreements, understandings, negotiations, and discussions, whether oral or written, among the Parties with respect thereto.</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8.06 Amendments and Waivers. </w:t>
      </w:r>
      <w:r>
        <w:rPr>
          <w:rFonts w:ascii="Times New Roman" w:cs="Times New Roman" w:eastAsia="Times New Roman" w:hAnsi="Times New Roman"/>
          <w:sz w:val="18"/>
          <w:szCs w:val="18"/>
          <w:color w:val="auto"/>
        </w:rPr>
        <w:t>No amendment, modification, or waiver of any provision of this Agreement shall be effective unless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signed by (a) in the case of any amendment, by the Acquiror, the Issuer, and the Required Consenting Noteholders and (b) in the case of a waiver, the Party waiving its rights hereunder; provided that the waiver of rights by the Holders of at least a majority of the outstanding Second Lien Secured Notes shall constitute the waiver of the rights of Holders of all Second Lien Secured Notes. No failure or delay by any Party in exercising any right, power, or privilege under this Agreement shall operate as a waiver thereof, nor shall any single or partial exercise thereof preclude any other or further exercise thereof or the exercise of any other right, power, or privilege.</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8.07 Severability. </w:t>
      </w:r>
      <w:r>
        <w:rPr>
          <w:rFonts w:ascii="Times New Roman" w:cs="Times New Roman" w:eastAsia="Times New Roman" w:hAnsi="Times New Roman"/>
          <w:sz w:val="18"/>
          <w:szCs w:val="18"/>
          <w:color w:val="auto"/>
        </w:rPr>
        <w:t>If any provision of this Agreement is held to be invalid, illegal, or unenforceable in any respect, such invalidity, illegality,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unenforceability shall not affect any other provision of this Agreement, and this Agreement shall be construed as if such invalid, illegal, or unenforceable provision had never been contained herein; provided, that such construction shall not materially alter the economic benefits to any Party.</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8.08 Successors and Assigns. </w:t>
      </w:r>
      <w:r>
        <w:rPr>
          <w:rFonts w:ascii="Times New Roman" w:cs="Times New Roman" w:eastAsia="Times New Roman" w:hAnsi="Times New Roman"/>
          <w:sz w:val="18"/>
          <w:szCs w:val="18"/>
          <w:color w:val="auto"/>
        </w:rPr>
        <w:t>This Agreement shall be binding upon and inure to the benefit of the Parties and their respective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assigns. Except in accordance with Section 8.09, neither this Agreement nor any right or obligation of any Party hereunder may be assigned by</w:t>
      </w:r>
    </w:p>
    <w:p>
      <w:pPr>
        <w:spacing w:after="0" w:line="1" w:lineRule="exact"/>
        <w:rPr>
          <w:sz w:val="20"/>
          <w:szCs w:val="20"/>
          <w:color w:val="auto"/>
        </w:rPr>
      </w:pPr>
    </w:p>
    <w:p>
      <w:pPr>
        <w:jc w:val="both"/>
        <w:ind w:firstLine="8"/>
        <w:spacing w:after="0" w:line="255" w:lineRule="auto"/>
        <w:tabs>
          <w:tab w:leader="none" w:pos="24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Holder or the Issuer, without prior written consent of the Acquiror or (b) in the case of the Acquiror, without the prior written consent of the Required Consenting Noteholders, except that the Acquiror may assign its rights and obligations under this Agreement to any Affiliate or successor entity without such consent; provided, that no such assignment shall relieve the Acquiror of its obligations hereunder.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1" w:name="page122"/>
    <w:bookmarkEnd w:id="121"/>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8.09 Restrictions on Transfers. </w:t>
      </w:r>
      <w:r>
        <w:rPr>
          <w:rFonts w:ascii="Times New Roman" w:cs="Times New Roman" w:eastAsia="Times New Roman" w:hAnsi="Times New Roman"/>
          <w:sz w:val="18"/>
          <w:szCs w:val="18"/>
          <w:color w:val="auto"/>
        </w:rPr>
        <w:t>Except as otherwise set forth in this Section 8.09 or with the prior written consent of the Acquiror, each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and agrees that it shall not, between the date hereof and the earlier to occur of the Closing or the termination of this Agreement in accordance with Section 8.17, directly or indirectly convey, sell, transfer, encumber, pledge, hypothecate or assign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xml:space="preserve">”) such Holder’s Secured Notes or any interest therein (other than customary Liens attributable to securities or notes held by a bank, prime-broker, or broker-dealer on behalf of a Holder) unless such Transfer is to an entity that first agrees, in writing, to be bound by the terms of this Agreement by executing and delivering to the Issuer and the Acquiror a joinder to this Agreement at least two (2) Business Days prior to the effectiveness of the Transfer. Such transferee, upon consummation of a Transfer in accordance herewith shall be deemed to make all of the representations, warranties and covenants of a Holder set forth in this Agreement, and shall be deemed to be a Party and a Holder for all purposes under this Agreement upon compliance with the foregoing. Any Transfer made in violation of this Section 8.09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Notwithstanding anything to the contrary in this Section 8.09, the restrictions on Transfer set forth in this Section 8.09 shall not apply to the grant of any liens or encumbrances on any claims and interests in favor of a bank or broker-dealer holding custody of such claims and interests in the ordinary course of business and which lien or encumbrance is released upon the Transfer of such claims and interests.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8.10 No Net Short Positions. </w:t>
      </w:r>
      <w:r>
        <w:rPr>
          <w:rFonts w:ascii="Times New Roman" w:cs="Times New Roman" w:eastAsia="Times New Roman" w:hAnsi="Times New Roman"/>
          <w:sz w:val="18"/>
          <w:szCs w:val="18"/>
          <w:color w:val="auto"/>
        </w:rPr>
        <w:t>Each Holder agrees that, from the execution hereof until the consummation of the transactions contemplated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Agreement, such Holder shall not, and shall cause its Related Funds not to, (a) effect a transaction that results in such Holder, together with its Related Funds, holding short positions, swaps, hedges, forward contracts and other similar arrangements that create or are intended to create economic exposure with respect to a number of Acquiror Securities (collectively, a “</w:t>
      </w:r>
      <w:r>
        <w:rPr>
          <w:rFonts w:ascii="Times New Roman" w:cs="Times New Roman" w:eastAsia="Times New Roman" w:hAnsi="Times New Roman"/>
          <w:sz w:val="18"/>
          <w:szCs w:val="18"/>
          <w:b w:val="1"/>
          <w:bCs w:val="1"/>
          <w:i w:val="1"/>
          <w:iCs w:val="1"/>
          <w:color w:val="auto"/>
        </w:rPr>
        <w:t>Short Position</w:t>
      </w:r>
      <w:r>
        <w:rPr>
          <w:rFonts w:ascii="Times New Roman" w:cs="Times New Roman" w:eastAsia="Times New Roman" w:hAnsi="Times New Roman"/>
          <w:sz w:val="18"/>
          <w:szCs w:val="18"/>
          <w:color w:val="auto"/>
        </w:rPr>
        <w:t>”) that exceed the aggregate amount of Acquiror Securities held by such Holder together with its Related Funds (inclusive of any Acquiror Securities contemplated to be received by such Holder and its Related Funds as a result of the transactions contemplated hereby and the transactions contemplated by the Merger Agreement, and excluding any Short Position held by such Holder or Related Fund prior to the date hereof) or (b) otherwise take actions with the intent to depress, manipulate, or artificially influence the price of the Acquiror Securities in order to obtain additional or increased consideration in connection with the transactions contemplated by this Agreement.</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8.11 Relationship Among Parties. </w:t>
      </w:r>
      <w:r>
        <w:rPr>
          <w:rFonts w:ascii="Times New Roman" w:cs="Times New Roman" w:eastAsia="Times New Roman" w:hAnsi="Times New Roman"/>
          <w:sz w:val="18"/>
          <w:szCs w:val="18"/>
          <w:color w:val="auto"/>
        </w:rPr>
        <w:t>It is understood and agreed that no Holder owes any fiduciary duty or duty of trust or confidence of any kind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to any other Party. In this regard, it is understood and agreed that any Holder may trade in Secured Notes without the consent of the Issuer, the Acquiror or any other Holder, subject to applicable securities laws, the terms of this Agreement and the terms of the applicable Note Documents. No prior history, pattern or practice of sharing confidences among or between the Parties shall in any way affect or negate this understanding and agreement. The Parties acknowledge and agree that this Agreement is entered into by the Holders solely in the capacity of creditors of the Issuer, and that the rights and obligations set forth herein relate exclusively to the Secured Notes held by the Holders. The Parties have no agreement, arrangement or understanding with respect to acting together for the purpose of acquiring, holding, voting or disposing of any securities (including the Notes and the Holder Shares) of the Issuer or the Acquiror and do not constitute a “group” within the meaning of Section 13(d)(3) of the Exchange Act or Rule 13d-5 promulgated thereunder. Notwithstanding any other provision of this Agreement to the contrary, nothing in this Agreement shall be construed or deemed to grant any Holder or any of its Attribution Parties beneficial ownership (as defined in Rule 13d-3 under the Exchange Act) of any equity securities of the Issuer or the Acquiror. All rights under this Agreement are separately granted to each Holder, and the use of a single document is for the convenience of the Issuer and the Acquiror. The decision to commit to enter into the transactions contemplated by this Agreement has been made independently.</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8.12 No Third-Party Beneficiaries. </w:t>
      </w:r>
      <w:r>
        <w:rPr>
          <w:rFonts w:ascii="Times New Roman" w:cs="Times New Roman" w:eastAsia="Times New Roman" w:hAnsi="Times New Roman"/>
          <w:sz w:val="18"/>
          <w:szCs w:val="18"/>
          <w:color w:val="auto"/>
        </w:rPr>
        <w:t>Except as expressly provided herein with respect to the Released Parties, this Agreement is for the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of the Parties and their respective successors and permitted assigns, and nothing herein, express or implied, is intended to or shall confer upon any other Person any legal or equitable right, benefit, or remedy of any nature whatsoever under or by reason of this Agreement.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8.13 Counterparts. </w:t>
      </w:r>
      <w:r>
        <w:rPr>
          <w:rFonts w:ascii="Times New Roman" w:cs="Times New Roman" w:eastAsia="Times New Roman" w:hAnsi="Times New Roman"/>
          <w:sz w:val="18"/>
          <w:szCs w:val="18"/>
          <w:color w:val="auto"/>
        </w:rPr>
        <w:t>This Agreement may be executed in one or more counterparts, each of which shall be deemed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one and the same instrument. Delivery of an executed counterpart by email (including in .pdf format) or other electronic means shall be equally as effective as delivery of an original executed counterpart.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2" w:name="page123"/>
    <w:bookmarkEnd w:id="122"/>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8.14 Construction. </w:t>
      </w:r>
      <w:r>
        <w:rPr>
          <w:rFonts w:ascii="Times New Roman" w:cs="Times New Roman" w:eastAsia="Times New Roman" w:hAnsi="Times New Roman"/>
          <w:sz w:val="18"/>
          <w:szCs w:val="18"/>
          <w:color w:val="auto"/>
        </w:rPr>
        <w:t>The headings in this Agreement are for convenience of reference only and shall not affect the interpretation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 context otherwise requires, (a) all references to Articles, Sections, and Exhibits are to Articles, Sections, and Exhibits of this Agreement, (b) words in the singular include the plural and vice versa, (c) the terms “hereof,” “herein,” “hereby,” “hereto,” and derivative or similar words refer to this entire Agreement, (d) the term “including” means “including without limitation,” and (e) the term “or” is not exclusive.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8.15 Expenses. </w:t>
      </w:r>
      <w:r>
        <w:rPr>
          <w:rFonts w:ascii="Times New Roman" w:cs="Times New Roman" w:eastAsia="Times New Roman" w:hAnsi="Times New Roman"/>
          <w:sz w:val="18"/>
          <w:szCs w:val="18"/>
          <w:color w:val="auto"/>
        </w:rPr>
        <w:t>Each Party shall bear its own costs and expenses (including attorneys’ fees) incurred in connection with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hereby; provided all fees and expenses of counsel to the Holders incurred in connection with this Agreement and the transactions contemplated hereby shall be paid by the Issuer, subject to the terms of, and in accordance with, pre-existing fee reimbursement agreements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Counsel Fees</w:t>
      </w:r>
      <w:r>
        <w:rPr>
          <w:rFonts w:ascii="Times New Roman" w:cs="Times New Roman" w:eastAsia="Times New Roman" w:hAnsi="Times New Roman"/>
          <w:sz w:val="18"/>
          <w:szCs w:val="18"/>
          <w:color w:val="auto"/>
        </w:rPr>
        <w:t>”) simultaneously with Closing; provided further, that, for the avoidance of doubt, to the extent that this Agreement is terminated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accordance with </w:t>
      </w:r>
      <w:r>
        <w:rPr>
          <w:rFonts w:ascii="Times New Roman" w:cs="Times New Roman" w:eastAsia="Times New Roman" w:hAnsi="Times New Roman"/>
          <w:sz w:val="18"/>
          <w:szCs w:val="18"/>
          <w:u w:val="single" w:color="auto"/>
          <w:color w:val="auto"/>
        </w:rPr>
        <w:t>Section 8.17</w:t>
      </w:r>
      <w:r>
        <w:rPr>
          <w:rFonts w:ascii="Times New Roman" w:cs="Times New Roman" w:eastAsia="Times New Roman" w:hAnsi="Times New Roman"/>
          <w:sz w:val="18"/>
          <w:szCs w:val="18"/>
          <w:color w:val="auto"/>
        </w:rPr>
        <w:t xml:space="preserve">, the Issuer’s reimbursement obligations under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shall survive with respect to any and all such fees and expenses earned or incurred on or before the date of termination, and such termination shall not automatically terminate any applicable fee or engagement letters, if any, between the Issuer and the applicable party or professional.</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8.16 Specific Performance. </w:t>
      </w:r>
      <w:r>
        <w:rPr>
          <w:rFonts w:ascii="Times New Roman" w:cs="Times New Roman" w:eastAsia="Times New Roman" w:hAnsi="Times New Roman"/>
          <w:sz w:val="18"/>
          <w:szCs w:val="18"/>
          <w:color w:val="auto"/>
        </w:rPr>
        <w:t>The Parties acknowledge and agree that irreparable damage would occur if any provision of this Agreement were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in accordance with its terms, and that the Parties shall be entitled to seek specific performance of the terms hereof, in addition to any other remedy at law or in equity.</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8.17 Termination. </w:t>
      </w:r>
      <w:r>
        <w:rPr>
          <w:rFonts w:ascii="Times New Roman" w:cs="Times New Roman" w:eastAsia="Times New Roman" w:hAnsi="Times New Roman"/>
          <w:sz w:val="18"/>
          <w:szCs w:val="18"/>
          <w:color w:val="auto"/>
        </w:rPr>
        <w:t>Any Party may terminate this Agreement if (a)(i) there has been a material breach by another Party of the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warranties or covenants contained in this Agreement, (ii) a non-breaching Party provides written notice to the other Parties of such material breach and (iii) such material breach is not cured by the date that is ten (10) Business Days following the date of delivery of such written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herein to the contrary, in no event shall a Holder be entitled to terminate this Agreement pursuant to the foregoing clause (a) as a result of a material breach by another Holder or (b) the Closing has not taken place on or prior to the fifth Business Day following Outside Date (as defined in the Merger Agreement); provided, that, except with respect to the automatic extension of the Initial Outside Date contemplated by Section 8.1(b) of the Merger Agreement, Issuer and Acquiror shall not be permitted to extend the Outside Date without the prior written consent of the Required Consenting Noteholders and provided, further, that a termination of this Agreement by any Holder of Second Lien Secured Notes shall require notice of termination from Holders of at least a majority of outstanding Second Lien Secured Notes. Notwithstanding the foregoing, this Agreement shall automatically terminate, without any further action by any Party hereto, upon the termination of the Merger Agreement in accordance with its terms. Upon any termination of this Agreement, this Agreement shall be of no further force or effect, and no Party hereto shall have any further rights or obligations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termination shall not relieve any Party of liability for any breach of this Agreement occurring prior to such termination. The holders of the First Lien Secured Notes may terminate this Agreement (x) upon any failure by the Issuer to pay principal, interest or any other amount due and payable as and when required under the First Lien Notes Indenture or the other First Lien Notes Documents or (y) upon any breach of Section 4.24 (Minimum Qualified Cash) of the First Lien Secured Notes Indenture, in each case, if such failure to pay or such breach has not been cured by Issuer or the Acquiror within fifteen (15) Business Days after the later of the Issuer’s and the Acquiror’s receipt of written notice thereof from the holders of the First Lien Secured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the prior written consent of the holders of the First Lien Secured Notes (not to be unreasonably withheld, conditioned or delayed), in the event the Acquiror and/or the Issuer is working in good faith to cure such failure to pay or breach by the end of such fifteen (15) Business Day period, such fifteen (15) Business Day period shall extend to twenty (20) Business Days. Notwithstanding the foregoing, Section 7.02, Section 8.01, Section 8.02, Section 8.03, Section 8.04, Section 8.05, Section 8.06, Section 8.07, Section 8.08, Section 8.11, Section 8.12, Section 8.13, Section 8.14, Section 8.15 shall survive any termination of this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Agreement as of the date first written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Collins</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Collins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 7th Avenue, Floor M1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John Collins</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Monica Greenberg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ACQUIROR: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Keyvan Mohajer</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Warren Heit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LYNROCK LAKE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Lynrock Lake Partners LLC, its general partner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Cynthia Paul</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Cynthia Paul</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2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Notes Restructuring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120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3480" w:type="dxa"/>
            <w:vAlign w:val="bottom"/>
          </w:tcPr>
          <w:p>
            <w:pPr>
              <w:spacing w:after="0"/>
              <w:rPr>
                <w:sz w:val="24"/>
                <w:szCs w:val="24"/>
                <w:color w:val="auto"/>
              </w:rPr>
            </w:pPr>
          </w:p>
        </w:tc>
        <w:tc>
          <w:tcPr>
            <w:tcW w:w="5140" w:type="dxa"/>
            <w:vAlign w:val="bottom"/>
            <w:gridSpan w:val="8"/>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SCHEDULE OF HOLDERS AND SECURED NOTES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3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Percentage of</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3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First Lien</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First Lien</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Second Lien</w:t>
            </w: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Second Lien</w:t>
            </w:r>
          </w:p>
        </w:tc>
      </w:tr>
      <w:tr>
        <w:trPr>
          <w:trHeight w:val="245"/>
        </w:trPr>
        <w:tc>
          <w:tcPr>
            <w:tcW w:w="3480" w:type="dxa"/>
            <w:vAlign w:val="bottom"/>
          </w:tcPr>
          <w:p>
            <w:pPr>
              <w:ind w:left="2420"/>
              <w:spacing w:after="0"/>
              <w:rPr>
                <w:sz w:val="20"/>
                <w:szCs w:val="20"/>
                <w:color w:val="auto"/>
              </w:rPr>
            </w:pPr>
            <w:r>
              <w:rPr>
                <w:rFonts w:ascii="Times New Roman" w:cs="Times New Roman" w:eastAsia="Times New Roman" w:hAnsi="Times New Roman"/>
                <w:sz w:val="18"/>
                <w:szCs w:val="18"/>
                <w:b w:val="1"/>
                <w:bCs w:val="1"/>
                <w:color w:val="auto"/>
              </w:rPr>
              <w:t>Holder Name</w:t>
            </w:r>
          </w:p>
        </w:tc>
        <w:tc>
          <w:tcPr>
            <w:tcW w:w="1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Secured Notes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Holder Shares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Secured Notes</w:t>
            </w: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Holder Shares</w:t>
            </w:r>
          </w:p>
        </w:tc>
      </w:tr>
      <w:tr>
        <w:trPr>
          <w:trHeight w:val="250"/>
        </w:trPr>
        <w:tc>
          <w:tcPr>
            <w:tcW w:w="34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On File With the Issuer</w:t>
            </w: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0"/>
        </w:trPr>
        <w:tc>
          <w:tcPr>
            <w:tcW w:w="3480" w:type="dxa"/>
            <w:vAlign w:val="bottom"/>
          </w:tcPr>
          <w:p>
            <w:pPr>
              <w:ind w:left="2680"/>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$ 120,845,834</w:t>
            </w:r>
          </w:p>
        </w:tc>
        <w:tc>
          <w:tcPr>
            <w:tcW w:w="220" w:type="dxa"/>
            <w:vAlign w:val="bottom"/>
          </w:tcPr>
          <w:p>
            <w:pPr>
              <w:spacing w:after="0"/>
              <w:rPr>
                <w:sz w:val="18"/>
                <w:szCs w:val="18"/>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100.00</w:t>
            </w:r>
          </w:p>
        </w:tc>
        <w:tc>
          <w:tcPr>
            <w:tcW w:w="1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r>
      <w:tr>
        <w:trPr>
          <w:trHeight w:val="682"/>
        </w:trPr>
        <w:tc>
          <w:tcPr>
            <w:tcW w:w="34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1827530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OTHER HOLDERS FROM TIME TO TIME PARTIES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8660" w:type="dxa"/>
            <w:vAlign w:val="bottom"/>
            <w:gridSpan w:val="3"/>
          </w:tcPr>
          <w:p>
            <w:pPr>
              <w:ind w:left="3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17"/>
                <w:szCs w:val="17"/>
                <w:color w:val="auto"/>
              </w:rPr>
            </w:pPr>
          </w:p>
        </w:tc>
      </w:tr>
      <w:tr>
        <w:trPr>
          <w:trHeight w:val="460"/>
        </w:trPr>
        <w:tc>
          <w:tcPr>
            <w:tcW w:w="14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216"/>
        </w:trPr>
        <w:tc>
          <w:tcPr>
            <w:tcW w:w="1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 DEFINITIONS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B-1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1.01</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Definitions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B-1</w:t>
            </w:r>
          </w:p>
        </w:tc>
      </w:tr>
      <w:tr>
        <w:trPr>
          <w:trHeight w:val="216"/>
        </w:trPr>
        <w:tc>
          <w:tcPr>
            <w:tcW w:w="10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II. REGISTRATION RIGHTS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B-3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2.01</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Resale Shelf Registration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B-3</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2.02</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Registration Procedures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B-5</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2.03</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Registration Expenses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B-7</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2.04</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Indemnification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B-8</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2.05</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Blackout Periods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B-9</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2.06</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Participation in Registrations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B-10</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2.07</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Rule 144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B-10</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2.08</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Further Assurance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B-10</w:t>
            </w:r>
          </w:p>
        </w:tc>
      </w:tr>
      <w:tr>
        <w:trPr>
          <w:trHeight w:val="216"/>
        </w:trPr>
        <w:tc>
          <w:tcPr>
            <w:tcW w:w="10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III. MISCELLANEOUS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B-10</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3.01</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B-10</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3.02</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Binding Effect; Benefits; Entire Agreement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B-11</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3.03</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Waiver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3.04</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Amendment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B-11</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3.05</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Assignability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3.06</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Termination; Survival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B-11</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3.07</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Applicable Law</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3.08</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Specific Performance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B-12</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3.09</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3.10</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Section and Other Headings; Interpretation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B-12</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3.11</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B-12</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dated as of [__], 2026, is by and among (i) SoundHound AI, Inc.,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Holders (as defined herein) party hereto for which an authorized signatory has provided a signature across from such 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has entered into that certain notes restructuring agreement the (“</w:t>
      </w:r>
      <w:r>
        <w:rPr>
          <w:rFonts w:ascii="Times New Roman" w:cs="Times New Roman" w:eastAsia="Times New Roman" w:hAnsi="Times New Roman"/>
          <w:sz w:val="18"/>
          <w:szCs w:val="18"/>
          <w:u w:val="single" w:color="auto"/>
          <w:color w:val="auto"/>
        </w:rPr>
        <w:t>Notes Restructuring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with LivePerson, Inc., a Delaware corporation (“</w:t>
      </w:r>
      <w:r>
        <w:rPr>
          <w:rFonts w:ascii="Times New Roman" w:cs="Times New Roman" w:eastAsia="Times New Roman" w:hAnsi="Times New Roman"/>
          <w:sz w:val="18"/>
          <w:szCs w:val="18"/>
          <w:u w:val="single" w:color="auto"/>
          <w:color w:val="auto"/>
        </w:rPr>
        <w:t>LivePerson</w:t>
      </w:r>
      <w:r>
        <w:rPr>
          <w:rFonts w:ascii="Times New Roman" w:cs="Times New Roman" w:eastAsia="Times New Roman" w:hAnsi="Times New Roman"/>
          <w:sz w:val="18"/>
          <w:szCs w:val="18"/>
          <w:color w:val="auto"/>
        </w:rPr>
        <w:t>”), and the Holders, dated April [__], 2026, and has agreed to provide the Holders with certain resale shelf registration rights with respect to the Registrable Securities (as herein after defined) received by the Holders pursuant to the Notes Restructuring Agreement; and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the Company, LivePerson and Lightspeed Merger Sub Inc., a Delaware corporation and a direct wholly 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have entered into that certain Merger Agreement (as amended, supplemented or modified from time to time in accordance with the terms thereof,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dated April [__], 2026, pursuant to which, upon the terms and subject to the satisfaction or waiver of the conditions set forth in the Merger Agreement, among other things, at the Effective Time (as defined in the Merger Agreement), Merger Sub shall merge with and into LivePerson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the separate corporate existence of Merger Sub shall cease and LivePerson shall continue as the surviving corporation of the Merger and a direct, wholly owned subsidiary of the Company.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herein, and for other good and valuable consideration, the receipt and sufficiency of which are hereby acknowledged, and intending to be legally bound hereby, the Parties hereto mutually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DEFINITIONS.</w:t>
      </w:r>
    </w:p>
    <w:p>
      <w:pPr>
        <w:spacing w:after="0" w:line="225" w:lineRule="exact"/>
        <w:rPr>
          <w:sz w:val="20"/>
          <w:szCs w:val="20"/>
          <w:color w:val="auto"/>
        </w:rPr>
      </w:pPr>
    </w:p>
    <w:p>
      <w:pPr>
        <w:ind w:left="660" w:right="5540" w:hanging="4"/>
        <w:spacing w:after="0" w:line="500" w:lineRule="auto"/>
        <w:tabs>
          <w:tab w:leader="none" w:pos="90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as used herein, have the following meanings: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means the Securities Act of 1933, as amended.</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of any specified Person means any other Person directly or indirectly controlling, controlled by or under direct or indirect common control with such specified Person. For the purposes of this definition, “control” when used with respect to any Person means the power to direct the management and policies of such Persons directly or indirectly, whether through the ownership of voting securities, by contract or otherwise; and the terms “controlling” and “controlled” have meanings correlative to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“Affiliate” shall not include any portfolio company of any specified Person and (ii) with respect to the Company, “Affiliates” means the Company and any Person that is controlled, directly or indirectly, by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9" w:name="page130"/>
    <w:bookmarkEnd w:id="12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each Monday, Tuesday, Wednesday, Thursday and Friday that is not a day on which banking institutions in the City of New York are authorized or obligated by law or executive order to close.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 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shares of Class A common stock, par value $0.0001 per share, of the Company (NASDAQ:SOUN).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any holder from time to time of Registrable Securities that is a Party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xml:space="preserve">” means a joinder agreement to this Agreement, a form 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partnership, limited liability entity, an association, a trust or any other entity or organization, including a government, a political subdivision or an agency or instrumentality thereof.</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istrable Securities</w:t>
      </w:r>
      <w:r>
        <w:rPr>
          <w:rFonts w:ascii="Times New Roman" w:cs="Times New Roman" w:eastAsia="Times New Roman" w:hAnsi="Times New Roman"/>
          <w:sz w:val="18"/>
          <w:szCs w:val="18"/>
          <w:color w:val="auto"/>
        </w:rPr>
        <w:t>” means (i) the Common Stock received by the Holders pursuant to the Notes Restructuring Agreement and (ii) any other common securities issued or issuable therefor or with respect thereto, whether by way of stock split, stock dividend, reclassification, subdivision or reorganization, recapitalization, merger, consolidation, distribution or similar event. As to any particular Registrable Securities, such securities shall cease to constitute Registrable Securities when (1) a registration statement with respect to the offering of such securities by the Holder thereof shall have been declared effective under the 1933 Act and such securities shall have been sold, transferred or disposed of pursuant to such registration statement, (2) such securities have been sold pursuant to a Rule 144 Transfer, (3) such securities shall have been repurchased by the Company or ceased to be outstanding, (4) such securities shall have been otherwise transferred by such Holder to an entity or Person other than pursuant to ‎Section 3.05, new certificates for such securities not bearing (or book-entry positions not subject to) a 1933 Act legend restricting further transfer shall have been delivered by the Company and subsequent disposition of them shall not require registration or qualification of them under the 1933 Act or any state securities or blue sky law then in effect or (5) such Holder is able to dispose of all of its Registrable Securities pursuant to Rule 144 without volume limitation or other restrictions on transfer thereunder and without any requirement that current public information be available with respect to the Company or that the Company has complied with public reporting requirements under the 1934 Act.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under the 1933 Act (or any successor Rule).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 Transfer</w:t>
      </w:r>
      <w:r>
        <w:rPr>
          <w:rFonts w:ascii="Times New Roman" w:cs="Times New Roman" w:eastAsia="Times New Roman" w:hAnsi="Times New Roman"/>
          <w:sz w:val="18"/>
          <w:szCs w:val="18"/>
          <w:color w:val="auto"/>
        </w:rPr>
        <w:t>” means any transfer for value conducted in accordance with Rule 144 (or any successor rule promulgated thereafter by the Commission).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4"/>
        </w:trPr>
        <w:tc>
          <w:tcPr>
            <w:tcW w:w="9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 The following terms are defined in the respective Sections set opposite each such term below</w:t>
            </w:r>
          </w:p>
        </w:tc>
        <w:tc>
          <w:tcPr>
            <w:tcW w:w="1560" w:type="dxa"/>
            <w:vAlign w:val="bottom"/>
          </w:tcPr>
          <w:p>
            <w:pPr>
              <w:spacing w:after="0"/>
              <w:rPr>
                <w:sz w:val="20"/>
                <w:szCs w:val="20"/>
                <w:color w:val="auto"/>
              </w:rPr>
            </w:pPr>
          </w:p>
        </w:tc>
      </w:tr>
      <w:tr>
        <w:trPr>
          <w:trHeight w:val="439"/>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Section</w:t>
            </w:r>
          </w:p>
        </w:tc>
      </w:tr>
      <w:tr>
        <w:trPr>
          <w:trHeight w:val="216"/>
        </w:trPr>
        <w:tc>
          <w:tcPr>
            <w:tcW w:w="9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Advice</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2.02</w:t>
            </w: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Blackout Period</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2.05</w:t>
            </w: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Filing Deadline</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2.01(a)</w:t>
            </w: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Default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2.01(e)</w:t>
            </w: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Default Payment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2.01(e)</w:t>
            </w: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Opt-Out Request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3.01</w:t>
            </w: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Shelf Registration</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2.01(a)</w:t>
            </w:r>
          </w:p>
        </w:tc>
      </w:tr>
      <w:tr>
        <w:trPr>
          <w:trHeight w:val="234"/>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Shelf Registration Statement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2.01(a)</w:t>
            </w:r>
          </w:p>
        </w:tc>
      </w:tr>
      <w:tr>
        <w:trPr>
          <w:trHeight w:val="391"/>
        </w:trPr>
        <w:tc>
          <w:tcPr>
            <w:tcW w:w="9680" w:type="dxa"/>
            <w:vAlign w:val="bottom"/>
            <w:gridSpan w:val="2"/>
          </w:tcPr>
          <w:p>
            <w:pPr>
              <w:ind w:left="5240"/>
              <w:spacing w:after="0"/>
              <w:rPr>
                <w:sz w:val="20"/>
                <w:szCs w:val="20"/>
                <w:color w:val="auto"/>
              </w:rPr>
            </w:pPr>
            <w:r>
              <w:rPr>
                <w:rFonts w:ascii="Times New Roman" w:cs="Times New Roman" w:eastAsia="Times New Roman" w:hAnsi="Times New Roman"/>
                <w:sz w:val="18"/>
                <w:szCs w:val="18"/>
                <w:b w:val="1"/>
                <w:bCs w:val="1"/>
                <w:color w:val="auto"/>
              </w:rPr>
              <w:t>Article II.</w:t>
            </w:r>
          </w:p>
        </w:tc>
        <w:tc>
          <w:tcPr>
            <w:tcW w:w="1560" w:type="dxa"/>
            <w:vAlign w:val="bottom"/>
          </w:tcPr>
          <w:p>
            <w:pPr>
              <w:spacing w:after="0"/>
              <w:rPr>
                <w:sz w:val="24"/>
                <w:szCs w:val="24"/>
                <w:color w:val="auto"/>
              </w:rPr>
            </w:pPr>
          </w:p>
        </w:tc>
      </w:tr>
      <w:tr>
        <w:trPr>
          <w:trHeight w:val="238"/>
        </w:trPr>
        <w:tc>
          <w:tcPr>
            <w:tcW w:w="9680" w:type="dxa"/>
            <w:vAlign w:val="bottom"/>
            <w:gridSpan w:val="2"/>
          </w:tcPr>
          <w:p>
            <w:pPr>
              <w:ind w:left="4560"/>
              <w:spacing w:after="0"/>
              <w:rPr>
                <w:sz w:val="20"/>
                <w:szCs w:val="20"/>
                <w:color w:val="auto"/>
              </w:rPr>
            </w:pPr>
            <w:r>
              <w:rPr>
                <w:rFonts w:ascii="Times New Roman" w:cs="Times New Roman" w:eastAsia="Times New Roman" w:hAnsi="Times New Roman"/>
                <w:sz w:val="18"/>
                <w:szCs w:val="18"/>
                <w:b w:val="1"/>
                <w:bCs w:val="1"/>
                <w:color w:val="auto"/>
              </w:rPr>
              <w:t>REGISTRATION RIGHTS</w:t>
            </w:r>
          </w:p>
        </w:tc>
        <w:tc>
          <w:tcPr>
            <w:tcW w:w="1560" w:type="dxa"/>
            <w:vAlign w:val="bottom"/>
          </w:tcPr>
          <w:p>
            <w:pPr>
              <w:spacing w:after="0"/>
              <w:rPr>
                <w:sz w:val="20"/>
                <w:szCs w:val="20"/>
                <w:color w:val="auto"/>
              </w:rPr>
            </w:pPr>
          </w:p>
        </w:tc>
      </w:tr>
      <w:tr>
        <w:trPr>
          <w:trHeight w:val="432"/>
        </w:trPr>
        <w:tc>
          <w:tcPr>
            <w:tcW w:w="9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2.01 RESALE SHELF REGISTRATION.</w:t>
            </w:r>
          </w:p>
        </w:tc>
        <w:tc>
          <w:tcPr>
            <w:tcW w:w="1560" w:type="dxa"/>
            <w:vAlign w:val="bottom"/>
          </w:tcPr>
          <w:p>
            <w:pPr>
              <w:spacing w:after="0"/>
              <w:rPr>
                <w:sz w:val="24"/>
                <w:szCs w:val="24"/>
                <w:color w:val="auto"/>
              </w:rPr>
            </w:pPr>
          </w:p>
        </w:tc>
      </w:tr>
    </w:tbl>
    <w:p>
      <w:pPr>
        <w:spacing w:after="0" w:line="198" w:lineRule="exact"/>
        <w:rPr>
          <w:sz w:val="20"/>
          <w:szCs w:val="20"/>
          <w:color w:val="auto"/>
        </w:rPr>
      </w:pPr>
    </w:p>
    <w:p>
      <w:pPr>
        <w:jc w:val="both"/>
        <w:ind w:firstLine="656"/>
        <w:spacing w:after="0" w:line="255" w:lineRule="auto"/>
        <w:tabs>
          <w:tab w:leader="none" w:pos="89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 file on the date hereof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a registration statement on Form S-3, including but not limited to by way of a prospectus supplement to an existing shelf registration statement of the Company, to register for resale from time to time the Registrable Securities of the Holders then outstanding on a delayed or continuous basis pursuant to Rule 415 under the 1933 Act or any successor rule thereto (such shelf registration, a “</w:t>
      </w:r>
      <w:r>
        <w:rPr>
          <w:rFonts w:ascii="Times New Roman" w:cs="Times New Roman" w:eastAsia="Times New Roman" w:hAnsi="Times New Roman"/>
          <w:sz w:val="18"/>
          <w:szCs w:val="18"/>
          <w:u w:val="single" w:color="auto"/>
          <w:color w:val="auto"/>
        </w:rPr>
        <w:t>Shelf 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w:t>
      </w:r>
      <w:r>
        <w:rPr>
          <w:rFonts w:ascii="Times New Roman" w:cs="Times New Roman" w:eastAsia="Times New Roman" w:hAnsi="Times New Roman"/>
          <w:sz w:val="18"/>
          <w:szCs w:val="18"/>
          <w:color w:val="auto"/>
        </w:rPr>
        <w:t>”, and such registration statement, a “</w:t>
      </w:r>
      <w:r>
        <w:rPr>
          <w:rFonts w:ascii="Times New Roman" w:cs="Times New Roman" w:eastAsia="Times New Roman" w:hAnsi="Times New Roman"/>
          <w:sz w:val="18"/>
          <w:szCs w:val="18"/>
          <w:u w:val="single" w:color="auto"/>
          <w:color w:val="auto"/>
        </w:rPr>
        <w:t>Shelf 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 Statement</w:t>
      </w:r>
      <w:r>
        <w:rPr>
          <w:rFonts w:ascii="Times New Roman" w:cs="Times New Roman" w:eastAsia="Times New Roman" w:hAnsi="Times New Roman"/>
          <w:sz w:val="18"/>
          <w:szCs w:val="18"/>
          <w:color w:val="auto"/>
        </w:rPr>
        <w:t>”) and (ii) use its reasonable best effort to maintain the</w:t>
      </w:r>
    </w:p>
    <w:p>
      <w:pPr>
        <w:spacing w:after="0" w:line="2"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effectiveness of such registration statement in accordance with clause (b) of this Section‎ 2.01. The Shelf Registration Statement shall be an “automatic shelf registration statement” as defined under Rule 405 of the 1933 Act and shall become effective upon filing with the Commission pursuant to Rule 462(e) under the 1933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is not eligible to use an “automatic shelf registration statement” as of the Filing Deadline, the Company shall nevertheless file a Shelf Registration Statement on Form S-3 (or such other appropriate form) on the Filing Deadline and shall use its reasonable best efforts to cause such Shelf Registration Statement to be declared effective by the Commission as soon as practicable after the filing thereof, but in no event later than the earlier of (i) sixty (60) calendar days following the Filing Deadline if the Commission notifies the Company that it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3689350</wp:posOffset>
            </wp:positionH>
            <wp:positionV relativeFrom="paragraph">
              <wp:posOffset>-709295</wp:posOffset>
            </wp:positionV>
            <wp:extent cx="5708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jc w:val="both"/>
        <w:spacing w:after="0" w:line="234" w:lineRule="auto"/>
        <w:rPr>
          <w:sz w:val="20"/>
          <w:szCs w:val="20"/>
          <w:color w:val="auto"/>
        </w:rPr>
      </w:pPr>
      <w:r>
        <w:rPr>
          <w:rFonts w:ascii="Times New Roman" w:cs="Times New Roman" w:eastAsia="Times New Roman" w:hAnsi="Times New Roman"/>
          <w:sz w:val="18"/>
          <w:szCs w:val="18"/>
          <w:color w:val="auto"/>
        </w:rPr>
        <w:t>“review” the Shelf Registration Statement and (ii)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the date the Company is notified (orally or in writing, whichever is earlier) by the Commission that the registration statement will not be “reviewed” or will not be subject to further review (such earlier time, the “</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The “Plan of Distribution” section of such Shelf Registration Statement shall permit all methods of distribution permitted by applicable law, including underwritten offerings, at-the-market transactions, brokerage transactions, Rule 144 sales, private transactions, “bought deals,” overnight underwritten offerings, block trades, trades through options, short sales, forward sales, puts, agented transactions, stock lending transactions, hedging and other derivative transactions and sales not involving a public offering by its pledgees, assignees, donees, transferees or successors-in-interest.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656"/>
        <w:spacing w:after="0" w:line="255" w:lineRule="auto"/>
        <w:tabs>
          <w:tab w:leader="none" w:pos="93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keep any Shelf Registration Statement continuously effective under the 1933 Act (including, if necessary, by renewing or refiling a Shelf Registration Statement prior to expiration of the existing Shelf Registration Statement or by filing with the Commission a post-effective amendment or a supplement to the Shelf Registration Statement or any document incorporated therein by reference or by filing any other required document or otherwise supplementing or amending the Shelf Registration Statement, if required by the rules, regulations or instructions applicable to the registration form used by the Company for such Shelf Registration Statement or by the 1933 Act, the 1934 Act, any state securities or blue sky laws, or any rules and regulations thereunder) in order to permit the prospectus forming a part thereof to be usable by Holders, as to such Registrable Securities, until the date as of which such securities cease to be Registrable Securities.</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89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use reasonable best efforts to remain eligible to use Form S-3. In the event that Form S-3 is not available for the registration of the resale of Registrable Securities hereunder, the Company shall (i) register the resale of the Registrable Securities on a continuous basis on another appropriate form reasonably acceptable to the Holders, including a Form S-1, and (ii) undertake to register the Registrable Securities on Form S-3 promptly;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maintain the effectiveness of the Registration Statement then in effect until such time as a Registration Statement on Form S-3 covering the Registrable Securities has been declared effective by the Commission.</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2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in the event that the Commission requires the Company to reduce the number of Registrable Securities to be included in a Shelf Registration Statement in order to allow the Company to rely on Rule 415 with respect to such Shelf Registration Statement, then the Company shall reduce the number of Registrable Securities to be included in such Shelf Registration Statement to the maximum number of securities as is permitted to be registered by the Commission. Any such reduction shall be allocated among the Holders on a pro rata basis based on the number of Registrable Securities held by each Holder relative to the aggregate number of Registrable Securities held by all Holders. In the event of any reduction in Registrable Securities pursuant to this paragraph, the Company shall use its reasonable best efforts to file one or more additional Shelf Registration Statements so as to cover all of the Registrable Securities not covered by such initial Shelf Registration Statement until such time as all Registrable Securities have been included in Shelf Registration Statements that have been declared effective and the prospectuses contained therein are available for use by the Holders, in each case as soon as practicable (taking into account any position of the staff of the Commission with respect to the date on which the Commission will permit such additional Shelf Registration Statement(s) to be filed and the rules and regulations of the Commission).</w:t>
      </w:r>
    </w:p>
    <w:p>
      <w:pPr>
        <w:spacing w:after="0" w:line="194" w:lineRule="exact"/>
        <w:rPr>
          <w:rFonts w:ascii="Times New Roman" w:cs="Times New Roman" w:eastAsia="Times New Roman" w:hAnsi="Times New Roman"/>
          <w:sz w:val="18"/>
          <w:szCs w:val="18"/>
          <w:color w:val="auto"/>
        </w:rPr>
      </w:pPr>
    </w:p>
    <w:p>
      <w:pPr>
        <w:jc w:val="both"/>
        <w:ind w:firstLine="656"/>
        <w:spacing w:after="0" w:line="252" w:lineRule="auto"/>
        <w:tabs>
          <w:tab w:leader="none" w:pos="92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the Shelf Registration Statement is not filed by the Filing Deadline (regardless of application of a Blackout Period), (ii) the Shelf Registration Statement has not been declared effective by the Effectiveness Deadline, (iii) after the Shelf Registration Statement has been declared effective, such Shelf Registration Statement ceases to be effective or the prospectus contained therein ceases to be usable for a period in excess of any Blackout Period permitted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or (iv) the Holders are otherwise unable to use the Shelf Registration Statement or the prospectus contained therein due to the operation of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xml:space="preserve"> or the last paragraph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(each such event, a “</w:t>
      </w:r>
      <w:r>
        <w:rPr>
          <w:rFonts w:ascii="Times New Roman" w:cs="Times New Roman" w:eastAsia="Times New Roman" w:hAnsi="Times New Roman"/>
          <w:sz w:val="18"/>
          <w:szCs w:val="18"/>
          <w:u w:val="single" w:color="auto"/>
          <w:color w:val="auto"/>
        </w:rPr>
        <w:t>Registration Default</w:t>
      </w:r>
      <w:r>
        <w:rPr>
          <w:rFonts w:ascii="Times New Roman" w:cs="Times New Roman" w:eastAsia="Times New Roman" w:hAnsi="Times New Roman"/>
          <w:sz w:val="18"/>
          <w:szCs w:val="18"/>
          <w:color w:val="auto"/>
        </w:rPr>
        <w:t>”), then the Company shall pay to each Holder, as liquidated damages and not as a penalty, an amount equal to 1.0% of such Holder’s pro rata portion, determined based on the Holder Shares (as defined in the Notes Restructuring Agreement) actually received by the Holder on the date hereof or transferred to the Holder in connection with an assignment pursuant to Section 3.05, of (x) the First Lien Holder Aggregate Stock Consideration Amount (as defined in the Notes Restructuring Agreement) or (y) the Second Lien Holder Aggregate Stock Consideration Amount (as defined in the Notes Restructuring Agreement), as applicable, constituting Registrable Securities subject to such Registration Default (the “</w:t>
      </w:r>
      <w:r>
        <w:rPr>
          <w:rFonts w:ascii="Times New Roman" w:cs="Times New Roman" w:eastAsia="Times New Roman" w:hAnsi="Times New Roman"/>
          <w:sz w:val="18"/>
          <w:szCs w:val="18"/>
          <w:u w:val="single" w:color="auto"/>
          <w:color w:val="auto"/>
        </w:rPr>
        <w:t>Consideration Amount</w:t>
      </w:r>
      <w:r>
        <w:rPr>
          <w:rFonts w:ascii="Times New Roman" w:cs="Times New Roman" w:eastAsia="Times New Roman" w:hAnsi="Times New Roman"/>
          <w:sz w:val="18"/>
          <w:szCs w:val="18"/>
          <w:color w:val="auto"/>
        </w:rPr>
        <w:t>”) for each 30-day period (or pro rata portion thereof) during which such Registration Default continues (each such payment, a “</w:t>
      </w:r>
      <w:r>
        <w:rPr>
          <w:rFonts w:ascii="Times New Roman" w:cs="Times New Roman" w:eastAsia="Times New Roman" w:hAnsi="Times New Roman"/>
          <w:sz w:val="18"/>
          <w:szCs w:val="18"/>
          <w:u w:val="single" w:color="auto"/>
          <w:color w:val="auto"/>
        </w:rPr>
        <w:t>Registration Delay Payment</w:t>
      </w:r>
      <w:r>
        <w:rPr>
          <w:rFonts w:ascii="Times New Roman" w:cs="Times New Roman" w:eastAsia="Times New Roman" w:hAnsi="Times New Roman"/>
          <w:sz w:val="18"/>
          <w:szCs w:val="18"/>
          <w:color w:val="auto"/>
        </w:rPr>
        <w:t>”). Registration Delay Payments shall be paid on the first Business Day following each 30-day period during which a Registration Default is continuing and shall accrue from and including the date on which the applicable Registration Default first occurs until such Registration Default is cured; provided that the aggregate Registration Delay Payments made to any Holder pursuant to this Agreement shall in no event exceed 3.0% of such Holder’s Consideration Amount. The Parties agree that the Registration Delay Payments represent a reasonable estimate of the damages that may be incurred by the Holders by reason of any Registration Default and shall not be deemed to constitute a penalty.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2.02 REGISTRATION PROCEDURES. with respect to any registration which includes registrable securities held by a holder, the company will, subject to ‎section 2.01,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1156970</wp:posOffset>
            </wp:positionH>
            <wp:positionV relativeFrom="paragraph">
              <wp:posOffset>-48260</wp:posOffset>
            </wp:positionV>
            <wp:extent cx="5518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1815" cy="8255"/>
                    </a:xfrm>
                    <a:prstGeom prst="rect">
                      <a:avLst/>
                    </a:prstGeom>
                    <a:noFill/>
                  </pic:spPr>
                </pic:pic>
              </a:graphicData>
            </a:graphic>
          </wp:anchor>
        </w:drawing>
      </w:r>
    </w:p>
    <w:p>
      <w:pPr>
        <w:spacing w:after="0" w:line="142" w:lineRule="exact"/>
        <w:rPr>
          <w:sz w:val="20"/>
          <w:szCs w:val="20"/>
          <w:color w:val="auto"/>
        </w:rPr>
      </w:pPr>
    </w:p>
    <w:p>
      <w:pPr>
        <w:ind w:left="940" w:hanging="284"/>
        <w:spacing w:after="0"/>
        <w:tabs>
          <w:tab w:leader="none" w:pos="9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Commission a registration statement on the appropriate form prescribed by the Commission and cause such</w:t>
      </w:r>
    </w:p>
    <w:p>
      <w:pPr>
        <w:spacing w:after="0" w:line="27"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to become effective, each in accordance with Section‎ 2.01, and to be maintained in effect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before filing a registration statement or prospectus or any amendments or supplements thereto (excluding any filings required to be made pursuant to the 1934 Act in the reasonable determination of the Company), the Company will furnish to the Holders covered by such registration statement and their counsel copies of or drafts of all such documents proposed to be filed, at least ten (10) Business Days prior to the filing thereof, which documents will be subject to the reasonable review of such Holders and their counsel. Each Holder will have the opportunity to object to any information pertaining to such Holder that is contained therein and the Company will make the corrections reasonably requested by such Holder with respect to such information two (2) Business Days prior to filing any registration statement or amendment thereto or any prospectus or any supplement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will not include on any registration statement or amendment thereto (excluding any filings required to be made pursuant to the 1934 Act in the reasonable determination of the Company) or any prospectus or any supplement thereto Registrable Securities of any Holder that objects in writing one (1) Business Days prior to such filing to such inclusion in such filing or to any description of it therein. In no event shall any Holder be identified as a statutory underwriter in the registration statement unless in response to a comment or request from the staff of the Commission or another regulatory agency;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Commission requests that a Holder be identified as a statutory underwriter in the registration statement, such Holder will have an opportunity to withdraw from the registration statement;</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2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Commission such amendments and post-effective amendments to such registration statement and any documents required to be incorporated by reference therein as may be necessary to keep the registration statement effective; cause the prospectus to be supplemented by any required prospectus supplement, and as so supplemented to be filed pursuant to Rule 424 under the 1933 Act; and comply with the provisions of the 1933 Act applicable to it with respect to the disposition of all Registrable Securities covered by such registration statement during the applicable period in accordance with the intended methods of disposition by the sellers thereof set forth in such registration statement or supplement to the prospectus;</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91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such Holder, without charge, such number of conformed copies of the registration statement and any post-effective amendment thereto, as such Holder may reasonably request, and such number of copies of the prospectus (including each preliminary prospectus) and any amendments or supplements thereto, and any documents incorporated by reference therein as the Holder may reasonably request in order to facilitate the disposition of the securities being sold by such Holder (it being understood that the Company consents in writing to the use by the Holder covered by the registration statement in connection with the offering and sale of the securities covered by the prospectus or any amendments or supplements thereto of the prospectus and any amendment or supplement thereto that is prepared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-3460750</wp:posOffset>
            </wp:positionV>
            <wp:extent cx="5797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firstLine="656"/>
        <w:spacing w:after="0" w:line="255" w:lineRule="auto"/>
        <w:tabs>
          <w:tab w:leader="none" w:pos="90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such Holder, at any time when a prospectus relating thereto is required to be delivered under the 1933 Act, when the Company becomes aware of the happening of any event as a result of which the prospectus included in such registration statement (as then in effect) contains any untrue statement of material fact or omits to state a material fact necessary to make the statements therein (in the case of the prospectus or any preliminary prospectus, in light of the circumstances under which they were made) not misleading and, as promptly as practicable thereafter, and in any event within five (5) Business Days of the Company becoming aware of such event, prepare and file with the Commission and furnish a supplement or amendment to such prospectus so that, as thereafter delivered to the investors of such securities, such prospectus will not contain any untrue statement of a material fact or omit to state a material fact necessary to make the statements therein, in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91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cause to be maintained a transfer agent and registrar for all such Registrable Securities not later than the effective date of the registration statement;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7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cause all securities included in such registration statement to be listed, by the date of the first sale of securities pursuant to such registration statement, on any national securities exchange, quotation system or other market on which the Common Stock is then listed or proposed to be listed by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generally available to its security holders an earnings statement, which need not be audited, satisfying the provisions of Section 11(a) of the 1933 Act as soon as reasonably practicable after the end of the twelve (12)-month period beginning with the first month of the Company’s first fiscal quarter commencing after the effective date of the registration statement, which statement shall cover said twelve (12)-month period;</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filing of a registration statement, (i) promptly notify each Holder covered by such registration statement of any stop order issued or, to the Company’s knowledge, threatened by the Commission and of the receipt by the Company of any notification with respect to the suspension of the qualification of any Registrable Securities for sale under the applicable securities or blue sky laws of any jurisdiction and (ii) take all reasonable actions to obtain the withdrawal of any order suspending the effectiveness of the registration statement or the qualification of any Registrable Securities at the earliest possible moment;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7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such Holder, promptly incorporate in a prospectus supplement or post-effective amendment such information as such Holder reasonably requests to be included therein; and make all required filings of such prospectus supplement or post-effective amendment as soon as practicable after being notified of the matters to be incorporated in such prospectus supplement or post-effective amendment;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656"/>
        <w:spacing w:after="0" w:line="255" w:lineRule="auto"/>
        <w:tabs>
          <w:tab w:leader="none" w:pos="89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on which the registration statement is declared effective, use its reasonable best efforts to register or qualify, and cooperate with such Holder and their counsel in connection with the registration or qualification of, the securities covered by the registration statement for offer and sale under the securities or blue sky laws of each state and other jurisdiction of the United States as such Holder requests in writing, to use reasonable best efforts to keep each such registration or qualification effective, including through new filings, or amendments or renewals, do any and all other acts or things necessary or advisable to enable the disposition in all such jurisdictions of the Registrable Securities covered by the applicable registration statement; provided that the Company will not be required to qualify generally to do business in any jurisdiction where it is not then so qualified or to take any action which would subject it to general service of process in any such jurisdiction where it is not then otherwise subject;</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such Holder if any, to facilitate the timely preparation and delivery of certificates or DRS or other book-entry statements (in each case not bearing any restrictive legends) representing securities to be sold under the registration statement, and enable such securities to be in such denominations and registered in such names as such Holder may request;</w:t>
      </w:r>
    </w:p>
    <w:p>
      <w:pPr>
        <w:spacing w:after="0" w:line="17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filing fee covering all Registrable Securities included in a registration statement at the time such registration statement is filed;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8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reasonable best efforts to take or cause to be taken all other actions necessary or reasonably advisable to effect the registration of such Registrable Securities contemplated by this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Holders, upon receipt of any notice from the Company of the happening of any event of the kind described in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xml:space="preserve">) will forthwith discontinue disposition of the securities until the Holders’ receipt of the copies of the supplemented or amended prospectus contemplated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2.02(d</w:t>
      </w:r>
      <w:r>
        <w:rPr>
          <w:rFonts w:ascii="Times New Roman" w:cs="Times New Roman" w:eastAsia="Times New Roman" w:hAnsi="Times New Roman"/>
          <w:sz w:val="18"/>
          <w:szCs w:val="18"/>
          <w:color w:val="auto"/>
        </w:rPr>
        <w:t>) or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prospectus may be resumed, and has received copies of any additional or supplemental filings which are incorporated by reference in the prospectus, and, if so directed by the Company, each Holder will deliver to the Company (at the Company’s sole expense) all copies, other than permanent file copies then in such Holder’s possession, of the prospectus covering such securities current at the time of receipt of such notice.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2.03 REGISTRATION EXPENSES.</w:t>
      </w:r>
    </w:p>
    <w:p>
      <w:pPr>
        <w:spacing w:after="0" w:line="225" w:lineRule="exact"/>
        <w:rPr>
          <w:sz w:val="20"/>
          <w:szCs w:val="20"/>
          <w:color w:val="auto"/>
        </w:rPr>
      </w:pPr>
    </w:p>
    <w:p>
      <w:pPr>
        <w:jc w:val="both"/>
        <w:ind w:firstLine="656"/>
        <w:spacing w:after="0" w:line="255" w:lineRule="auto"/>
        <w:tabs>
          <w:tab w:leader="none" w:pos="92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registration hereunder, the Company shall bear all expenses incident to the performance of or compliance with this Agreement, including all Commission filing fees and expenses, fees and expenses of listing any Registrable Securities on any securities exchange on which the shares of Common Stock are then listed, fees and expenses of compliance with securities or blue sky laws, the costs and charges of any transfer agent and any registrar, all expenses and application fees incurred in connection with any filing with, and clearance of an offering by, the Financial Industry Regulatory Authority, Inc., printing expenses, messenger, telephone and delivery expenses, fees and disbursements of counsel for the Company and all independent certified public accountants and subject to the limitations set forth in Schedule B hereto, the reasonable and documented fees and disbursements of counsel to the Holders.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2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 of the Company to bear the expenses described in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shall apply irrespective of whether a registration, once properly demanded, if applicable, becomes effective, is withdrawn or suspended or revoked, or is converted to another form of registration and irrespective of when any of the foregoing shall occur.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ind w:left="660"/>
        <w:spacing w:after="0"/>
        <w:rPr>
          <w:sz w:val="20"/>
          <w:szCs w:val="20"/>
          <w:color w:val="auto"/>
        </w:rPr>
      </w:pPr>
      <w:r>
        <w:rPr>
          <w:rFonts w:ascii="Times New Roman" w:cs="Times New Roman" w:eastAsia="Times New Roman" w:hAnsi="Times New Roman"/>
          <w:sz w:val="18"/>
          <w:szCs w:val="18"/>
          <w:color w:val="auto"/>
        </w:rPr>
        <w:t>SECTION 2.04 INDEMNIFICATION.</w:t>
      </w:r>
    </w:p>
    <w:p>
      <w:pPr>
        <w:spacing w:after="0" w:line="225" w:lineRule="exact"/>
        <w:rPr>
          <w:sz w:val="20"/>
          <w:szCs w:val="20"/>
          <w:color w:val="auto"/>
        </w:rPr>
      </w:pPr>
    </w:p>
    <w:p>
      <w:pPr>
        <w:jc w:val="both"/>
        <w:ind w:firstLine="656"/>
        <w:spacing w:after="0" w:line="252" w:lineRule="auto"/>
        <w:tabs>
          <w:tab w:leader="none" w:pos="892"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agrees to indemnify and hold harmless, to the fullest extent permitted by law, each Holder, its officers, directors, employees, stockholders, members, general and limited partners, Affiliates and agents and each Person who controls (within the meaning of the 1933 Act or the 1934 Act) the Holder, including any general partner or manager of any thereof, against all losses, claims, damages, actions, liabilities and expenses (including reasonable counsel fees and disbursements) arising out of or based upon (i) any untrue or alleged untrue statement of a material fact contained in or incorporated by reference in any registration statement, prospectus or preliminary prospectus, or any amendment thereof or supplement thereto, any “issuer free writing prospectus” (as defined in Rule 433 under the 1933 Act), any written communication undertaken in reliance on either Section 5(d) of, or Rule 163B under, the 1933 Act, in an offering of Registrable Securities in which such Holder participates, or in any document incorporated by reference therein or any omission or alleged omission to state therein a material fact required to be stated therein or necessary to make the statements therein (in the case of the prospectus or any preliminary prospectus, in light of the circumstances under which they were made) not misleading,</w:t>
      </w:r>
    </w:p>
    <w:p>
      <w:pPr>
        <w:spacing w:after="0" w:line="6" w:lineRule="exact"/>
        <w:rPr>
          <w:rFonts w:ascii="Times New Roman" w:cs="Times New Roman" w:eastAsia="Times New Roman" w:hAnsi="Times New Roman"/>
          <w:sz w:val="18"/>
          <w:szCs w:val="18"/>
          <w:color w:val="auto"/>
        </w:rPr>
      </w:pPr>
    </w:p>
    <w:p>
      <w:pPr>
        <w:jc w:val="both"/>
        <w:ind w:firstLine="8"/>
        <w:spacing w:after="0" w:line="252" w:lineRule="auto"/>
        <w:tabs>
          <w:tab w:leader="none" w:pos="29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in the information conveyed to any purchaser at the time of the sale to such purchaser, or the omission or alleged omission to state therein a material fact required to be stated therein, or (iii) any violation by the Company of any federal, state, common or other law, rule or regulation applicable to the Company in connection with such registration, including the 1933 Act, any state securities or “blue sky” laws or any rule or regulation thereunder in connection with such registration, except in each case insofar as the same are made in reliance on and in strict conformity with any information with respect to such Holder furnished in writing to the Company by such Holder expressly for use therein.</w:t>
      </w:r>
    </w:p>
    <w:p>
      <w:pPr>
        <w:spacing w:after="0" w:line="189"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Holders</w:t>
      </w:r>
      <w:r>
        <w:rPr>
          <w:rFonts w:ascii="Times New Roman" w:cs="Times New Roman" w:eastAsia="Times New Roman" w:hAnsi="Times New Roman"/>
          <w:sz w:val="18"/>
          <w:szCs w:val="18"/>
          <w:color w:val="auto"/>
        </w:rPr>
        <w:t xml:space="preserve">. In connection with any registration statement in which a Holder is participating, each such Holder will furnish to the Company in writing such information with respect to such Holder as the Company reasonably requests for use in connection with any registration statement or prospectus covering the Registrable Securities of such Holder and to the extent permitted by law agrees to indemnify and hold harmless the Company, its directors, officers and agents and each Person who controls (within the meaning of the 1933 Act or the 1934 Act) the Company and any other Holder, against any losses, claims, damages, liabilities and expenses arising out of or based upon any untrue statement of a material fact or any omission to state a material fact required to be stated therein or necessary to make the statements in the registration statement or prospectus or preliminary prospectus (in the case of the prospectus or preliminary prospectus, in light of the circumstances under which they were made) not misleading, to the extent, but only to the extent, that such untrue statement or omission is made in reliance on and in conformity with the written information or signed affidavit with respect to such Holder so furnished in writing by such Holder expressly for use in the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and the liability of each such Holder shall be in proportion to and limited to the net amount received by such Holder from the sale of Registrable Securities pursuant to a registration statement in accordance with the terms of this Agreement. The Company and the Holders hereby acknowledge and agree that, unless otherwise expressly agreed to in writing by the applicable Holders, the only information furnished or to be furnished to the Company for use in any registration statement or prospectus relating to the Registrable Securities or in any amendment, supplement or preliminary materials associated therewith are statements specifically relating to (a) the beneficial ownership of Registrable Securities by such Holder and its Affiliates and (b) the name and address of such Holder.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firstLine="656"/>
        <w:spacing w:after="0" w:line="252" w:lineRule="auto"/>
        <w:tabs>
          <w:tab w:leader="none" w:pos="93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xml:space="preserve">. Any Person entitled to indemnification hereunder will (i) give prompt written notice to the indemnifying party of any claim with respect to which it seeks indemnification and (ii) unless in such indemnified party’s reasonable judgment there may be one or more legal or equitable defenses available to such indemnified party which are in addition to or may conflict with those available to the indemnifying party with respect to such claim or unless such representation would present a conflict of interest, permit such indemnifying party to assume the defense of such claim with counsel reasonably satisfactory to the indemnified party. The failure to so notify the indemnifying party shall not relieve the indemnifying party from any liability hereunder with respect to the action, except to the extent that such indemnifying party is materially prejudiced by the failure to give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failure shall not relieve the indemnifying party from any other liability which it may have to any other party. No indemnifying party in the defense of any such claim or litigation, shall, except with the written consent of such indemnified party, which consent shall not be unreasonably withheld, conditioned or delayed, consent to entry of any judgment or enter into any settlement unless such judgment or settlement (i) includes as an unconditional term thereof the giving by the claimant or plaintiff to such indemnified party of a release from all liability in respect of such claim or litigation and (ii) does not include any statement as to or any admission of fault, culpability or a failure to act by or on behalf of such indemnified party An indemnifying party shall not be liable under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 conditioned or delayed. An indemnifying party who is not entitled to, or elects not to, assume the defense of a claim will not be obligated to pay the fees and expenses of more than one counsel for all parties indemnified by such indemnifying party with respect to such claim.</w:t>
      </w:r>
    </w:p>
    <w:p>
      <w:pPr>
        <w:spacing w:after="0" w:line="193" w:lineRule="exact"/>
        <w:rPr>
          <w:rFonts w:ascii="Times New Roman" w:cs="Times New Roman" w:eastAsia="Times New Roman" w:hAnsi="Times New Roman"/>
          <w:sz w:val="18"/>
          <w:szCs w:val="18"/>
          <w:color w:val="auto"/>
        </w:rPr>
      </w:pPr>
    </w:p>
    <w:p>
      <w:pPr>
        <w:jc w:val="both"/>
        <w:ind w:firstLine="656"/>
        <w:spacing w:after="0" w:line="254" w:lineRule="auto"/>
        <w:tabs>
          <w:tab w:leader="none" w:pos="90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Contribution. If for any reason the indemnification provided for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is unavailable to an indemnified party as contemplated by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then the indemnifying party shall contribute to the amount paid or payable by the indemnified party as a result of such loss, claim, damage or liability in such proportion as is appropriate to reflect not only the relative benefits received by the indemnified party and the indemnifying party, but also the relative fault of the indemnified party and the indemnifying party, as well as any other relevant equitable considerations. In no event shall the liability of any selling Holder be greater in amount than the amount of the net proceeds received by such Holder upon such sale or the amount for which such indemnifying party would have been obligated to pay by way of indemnification if the indemnification provided in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had been available. No Person guilty (as determined in a final non-appealable judgement) of fraudulent misrepresentation (within the meaning of the 1933 Act) shall be entitled to contribution from any Person who was not guilty of such fraudulent misrepresentation.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2.05 BLACKOUT PERIODS. Upon giving written notice to the Holders of Registrable Securities (which notice shall not, without the prior written consent of any Holder, disclose to such Holder any material non-public information), the Company shall be entitled to delay or suspend the filing or effectiveness of any registration statement or any amendment thereto or suspend the Holders’ use of any prospectus or any supplement thereto only to the extent reasonably necessary, if (a)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determines that a postponement is in the best interest of the Company and its stockholders generally due to a proposed transaction involving the Company and determines in good faith that the Company’s ability to pursue or consummate such a transaction would be materially and adversely affected by any required disclosure of such transaction in such registration statement, or (b) the Board determines such registration would render the Company unable to comply with applicable securities laws, in each case as certified in a certificate of the Chief Executive Officer or Chief Financial Officer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 the Company may not delay the filing or effectiveness of, or suspend, any registration statement for longer than forty-five (45) consecutive calendar days (such period, a “</w:t>
      </w:r>
      <w:r>
        <w:rPr>
          <w:rFonts w:ascii="Times New Roman" w:cs="Times New Roman" w:eastAsia="Times New Roman" w:hAnsi="Times New Roman"/>
          <w:sz w:val="18"/>
          <w:szCs w:val="18"/>
          <w:u w:val="single" w:color="auto"/>
          <w:color w:val="auto"/>
        </w:rPr>
        <w:t>Blackout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in excess of ninety (90) days in any 12-month period or more than two (2) times in any 12-month period, (ii) the Company may not commence a Blackout Period within twenty (20) calendar days after the expiration of a prior Blackout Period, (iii) the Company shall promptly notify the Holders in writing upon the termination of any Blackout Period, and (iv) the Company may not file any registration statement during a Blackout Period (other than on Form S-4 or Form S-8 or any similar successor forms or another form used for a purpose similar to the intended use for such forms).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2.06 PARTICIPATION IN REGISTRATIONS. No Holder may participate in any registration hereunder unless such Holder (a) agrees to sell its securities on the basis provided in the “Plan of Distribution”, and (b) completes and executes all questionnaires and other documents customarily required under the terms of such registration and provides such written information concerning itself as may be required for registration, including for inclusion in any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Holder shall be required to complete and execute such documents and provide such written information only to the extent the Holders of a majority of Registrable Securities participating in such registration shall also be required to complete and execute such documents and provide such written information.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2.07 RULE 144. The Company shall use its reasonable best efforts to timely file the reports required to be filed by it under the 1934 Act or the 1933 Act (including the reports under Sections 13 and 15(d) of the 1934 Act referred to in subparagraph (c)(1) of Rule 144), and shall take such further action as any Holder may reasonably request, all to the extent required from time to time to enable the Holders to sell Registrable Securities without registration under the 1933 Act within the limitations of the exemption provided by Rule 144. Promptly upon request, the Company shall deliver to any Holder a written statement as to whether it has complied with such requirements and any other documents reasonably requested to remove restrictive legends or sell shares under Rule 144. The Company shall instruct the transfer agent to remove any legend, notation or similar designation restricting transferability of the Registrable Securities from the certificates or book-entries evidencing Registrable Securities if (a) such shares of Common Stock are sold pursuant to an effective registration statement under the 1933 Act; (b) a registration statement covering the resale of such shares of Common Stock is effective under the 1933 Act and the applicable Holder and any broker-dealer in custody of such securities delivers to the Company a “will comply” representation letter reasonably acceptable to the Company and its counsel; (c) such shares of Common Stock are sold or transferred pursuant to Rule 144 or (d) such shares of Common Stock are eligible for sale under Rule 144 without the requirement that the Company has complied with the public reporting requirements of the 1934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each of subsections (a) through (d), the Company and its transfer agent have timely received from Holder and any broker-dealer in custody of such securities customary representation and other documentation reasonably acceptable to the Company and the transfer agent in connection therewith. The Company shall bear all reasonable fees and expenses, including any legal opinion fees, reasonable and documented legal fees and expenses of counsel to the Holders subject to the limitations set forth in Schedule B hereto, transfer agent fees, and other out-of-pocket costs, incurred in connection with the removal of such legends.</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2.08 FURTHER ASSURANCE. Each Holder hereby agrees to take any and all reasonable actions required to be taken hereunder to ensure the performance by it of its obligations pursuant to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3.01 NOTICES. All notices, requests, demands, and other communications under this Agreement shall be sent by email and shall be deemed to have been duly given upon confirmation of receipt, including by a “read receipt requested” function, and can also (in addition to email) be delivered personally or sent by overnight courier to the Parties at the addresses set forth on the signature pages or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or at such other address as a Party may designate by notice to the other Parties and shall be deemed to have been duly given one (1) Business Day after being sent.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3.02 BINDING EFFECT; BENEFITS; ENTIRE AGREEMENT. This Agreement shall be binding upon and inure to the benefit of the Parties to this Agreement and their respective successors and permitted assigns. Nothing in this Agreement, express or implied, is intended or shall be construed to give any Person other than the Parties to this Agreement or their respective successors or permitted assigns any legal or equitable right, remedy or claim under or in respect of any agreement or any provision contained herein. This Agreement and the other agreements referred to in this Agreement embody the complete agreement and understanding among the Parties to this Agreement with respect to the subject matter of this Agreement and supersedes and preempts any prior understandings, agreements or representations by or among the Parties, written or oral, which may have related to the subject matter of this Agreement in any way.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3.03 NO WAIVER. No action taken pursuant to this Agreement, including any investigation by or on behalf of any Party, shall be deemed to constitute a waiver by the Party taking such action of compliance with any representations, warranties, covenants or agreements contained herein. The waiver by any Party hereto of a breach of any provision of this Agreement shall not operate or be construed as a waiver of any preceding or succeeding breach and no failure by any Party to exercise any right or privilege hereunder shall be deemed a waiver of such Party’s rights or privileges hereunder or shall be deemed a waiver of such Party’s rights to exercise the same at any subsequent time or times hereunder.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3.04 AMENDMENT. No amendment, modification, or waiver of any provision of this Agreement shall be effective unless in writing and signed by (a) in the case of any amendment, the Company, Lynrock Lake Master Fund LP and the Holders that beneficially own a majority of Registrable Securities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amendment that disproportionately and adversely affects any individual Holder shall be effective without that Holder’s written consent, and (b) in the case of a waiver, the Party waiving its rights hereunder. No failure or delay by any Party in exercising any right, power, or privilege under this Agreement shall operate as a waiver thereof, nor shall any single or partial exercise thereof preclude any other or further exercise thereof or the exercise of any other right, power, or privilege.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3.05 ASSIGNABILITY. This Agreement and the rights and obligations of any Holder hereunder may be assigned or transferred, in whole or in part, (a) to any Affiliate of such Holder or (b) to any transferee of Registrable Securities who acquires such securities from such Holder (including by way of (i) sales to third parties or (ii) distributions or other transfers to partners, members, or shareholders of such Holder, or to any investment fund or other entity controlled by, controlling, or under common control with such Holder) and is unable to immediately sell, without limitations (including, but not limited to, any limitation on volume or manner of sale) or restrictions under Rule 144 (including, for the avoidance of doubt, any requirement that current public information be available with respect to the Company or that the Company to be in compliance with public reporting requirements under the 1934 Act), all Registrable Securities held by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transferee executes and delivers a Joinder Agreement in the form attached hereto as Exhibit A, agreeing to be bound by the terms and conditions of this Agreement as a “Holder” and, for any transfer under clause (b) of this section, other than a transfer contemplated by clause (b)(ii), the aggregate value of the Registrable Securities being transferred to such transferee in such transaction is equal to or greater than five million dollars ($5,000,000). Any such permitted assignment or transfer shall not be deemed to terminate or otherwise affect any rights or obligations under this Agreement, and all references herein to the “Holder” shall be deemed to include such permitted assignees.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3.06 TERMINATION; SURVIVAL. Except for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of this Agreement, which shall survive any such termination, (i) this Agreement shall terminate, with respect to any Holder, automatically when such Holder no longer holds any Registrable Securities, and (ii) this Agreement shall terminate as to all Parties when no Holder holds any Registrable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3.07 APPLICABLE LAW.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the conflicts of laws principles of the State of Delaware. Each of the Parties irrevocably and unconditionally submits, for itself and its property, to the exclusive jurisdiction of the Court of Chancery of the State of Delaware or, solely if such court does not have subject matter jurisdiction, the Superior Court of the State of Delaware (Complex Commercial Division), or if subject matter jurisdiction over the applicable matter is vested exclusively in the federal courts of the United States of America, the Federal court of the United States of America sitting in the district of Delaware, and any appellate court from any thereof, with regard to any such action or proceeding arising out of or relating to this Agreement and the transactions contemplated hereby (and agrees not to commence any action, suit or proceeding relating thereto except in such courts). Each of the Parties further agrees to accept service of process in any manner permitted by such court.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above-named courts for any reason other than the failure lawfully to serve process, (b) that it or its property is exempt or immune from jurisdiction of any such court or from any legal process commenced in such court (whether through service of notice, attachment prior to judgment, attachment in aid of execution of judgment, execution of judgment or otherwise) and (c) to the fullest extent permitted by law, that (i) the suit, action or proceeding in any such court is brought in an inconvenient forum, (ii) the venue of such suit, action or proceeding is improper or (iii) this Agreement, or the subject matter hereof, may not be enforced in or by such courts.</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3.08 SPECIFIC PERFORMANCE. The Parties hereto agree that irreparable damage would occur in the event that any of the provisions of this Agreement were not performed in accordance with their specific terms or were otherwise breached. It is accordingly agreed that the Parties hereto shall be entitled to an injunction or injunctions to prevent breaches of the provisions of this Agreement and to enforce specifically the terms and provisions hereof in any state or federal court (this being in addition to any other remedy to which they are entitled at law or in equity), and each Party hereto agrees to waive in any action for such enforcement the defense that a remedy at law would be adequate. The non-prevailing party to such proceeding shall reimburse the prevailing party for the reasonable costs of and expenses for counsel for such prevailing party incurred in connection with any such proceeding.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3.09 SEVERABILITY. If any provision of this Agreement is declared by any court of competent jurisdiction to be illegal, void or unenforceable, all other provisions of the Agreement will not be affected and will remain in full force and effect.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3.10 SECTION AND OTHER HEADINGS; INTERPRETATION. The section and other headings contained in this Agreement are for reference purposes only and shall not affect the meaning or interpretation of this Agreement. Whenever the words “include”, “includes” or “including” are used in this Agreement, they shall be deemed to be followed by the words “without limitation”. The term “or” is not exclusive and shall have the meaning represented by the term “and/or”. The word “extent” in the phrase “to the extent” shall mean the degree to which a subject or other thing extends, and such phrase shall not mean simply “if”. Whenever the context requires, any pronouns used herein shall include the corresponding masculine, feminine or neuter forms.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3.11 COUNTERPARTS. This Agreement may be executed in any number of counterparts, each of which shall be deemed to be an original and all of which together shall be deemed to be one and the same instrument. A facsimile, Portable Document Format (PDF) or other reproduction of this Agreement may be executed by one or more Parties hereto, and an executed copy of this Agreement may be delivered by one or more Parties hereto by facsimile, PDF or similar instantaneous electronic transmission device pursuant to which the signature of or on behalf of such Party can be seen, and such execution and delivery shall be considered valid, binding and effective for all purposes. At the request of any Party hereto, all Parties hereto agree to execute an original of this Agreement as well as any facsimile, PDF or other reproduction hereof.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color w:val="auto"/>
        </w:rPr>
        <w:t>IN WITNESS WHEREOF, the undersigned have caused this Agreement to be executed as of the date first written above.</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4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8890</wp:posOffset>
            </wp:positionV>
            <wp:extent cx="263144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Notice Address:</w:t>
      </w:r>
    </w:p>
    <w:p>
      <w:pPr>
        <w:spacing w:after="0" w:line="22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Email:</w:t>
      </w:r>
    </w:p>
    <w:p>
      <w:pPr>
        <w:spacing w:after="0" w:line="2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and Notice Information of Holders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20" w:type="dxa"/>
            <w:vAlign w:val="bottom"/>
            <w:tcBorders>
              <w:top w:val="single" w:sz="8" w:color="auto"/>
              <w:left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40" w:type="dxa"/>
            <w:vAlign w:val="bottom"/>
            <w:tcBorders>
              <w:top w:val="single" w:sz="8" w:color="auto"/>
              <w:right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00" w:type="dxa"/>
            <w:vAlign w:val="bottom"/>
            <w:tcBorders>
              <w:top w:val="single" w:sz="8" w:color="auto"/>
              <w:right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780" w:type="dxa"/>
            <w:vAlign w:val="bottom"/>
            <w:tcBorders>
              <w:top w:val="single" w:sz="8" w:color="auto"/>
              <w:right w:val="single" w:sz="8" w:color="auto"/>
            </w:tcBorders>
            <w:gridSpan w:val="6"/>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Signature of</w:t>
            </w:r>
          </w:p>
        </w:tc>
        <w:tc>
          <w:tcPr>
            <w:tcW w:w="7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7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right w:val="single" w:sz="8" w:color="auto"/>
            </w:tcBorders>
            <w:gridSpan w:val="3"/>
            <w:vMerge w:val="restart"/>
          </w:tcPr>
          <w:p>
            <w:pPr>
              <w:ind w:left="820"/>
              <w:spacing w:after="0"/>
              <w:rPr>
                <w:sz w:val="20"/>
                <w:szCs w:val="20"/>
                <w:color w:val="auto"/>
              </w:rPr>
            </w:pPr>
            <w:r>
              <w:rPr>
                <w:rFonts w:ascii="Times New Roman" w:cs="Times New Roman" w:eastAsia="Times New Roman" w:hAnsi="Times New Roman"/>
                <w:sz w:val="18"/>
                <w:szCs w:val="18"/>
                <w:b w:val="1"/>
                <w:bCs w:val="1"/>
                <w:color w:val="auto"/>
              </w:rPr>
              <w:t>Holder</w:t>
            </w:r>
          </w:p>
        </w:tc>
        <w:tc>
          <w:tcPr>
            <w:tcW w:w="800" w:type="dxa"/>
            <w:vAlign w:val="bottom"/>
          </w:tcPr>
          <w:p>
            <w:pPr>
              <w:spacing w:after="0"/>
              <w:rPr>
                <w:sz w:val="17"/>
                <w:szCs w:val="17"/>
                <w:color w:val="auto"/>
              </w:rPr>
            </w:pPr>
          </w:p>
        </w:tc>
        <w:tc>
          <w:tcPr>
            <w:tcW w:w="146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1900" w:type="dxa"/>
            <w:vAlign w:val="bottom"/>
            <w:tcBorders>
              <w:right w:val="single" w:sz="8" w:color="auto"/>
            </w:tcBorders>
            <w:gridSpan w:val="3"/>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Email Address</w:t>
            </w:r>
          </w:p>
        </w:tc>
        <w:tc>
          <w:tcPr>
            <w:tcW w:w="800" w:type="dxa"/>
            <w:vAlign w:val="bottom"/>
          </w:tcPr>
          <w:p>
            <w:pPr>
              <w:spacing w:after="0"/>
              <w:rPr>
                <w:sz w:val="17"/>
                <w:szCs w:val="17"/>
                <w:color w:val="auto"/>
              </w:rPr>
            </w:pPr>
          </w:p>
        </w:tc>
        <w:tc>
          <w:tcPr>
            <w:tcW w:w="940" w:type="dxa"/>
            <w:vAlign w:val="bottom"/>
            <w:tcBorders>
              <w:top w:val="single" w:sz="8" w:color="auto"/>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Authorized</w:t>
            </w:r>
          </w:p>
        </w:tc>
        <w:tc>
          <w:tcPr>
            <w:tcW w:w="84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Name/Title</w:t>
            </w: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right w:val="single" w:sz="8" w:color="auto"/>
            </w:tcBorders>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Borders>
              <w:right w:val="single" w:sz="8" w:color="auto"/>
            </w:tcBorders>
            <w:gridSpan w:val="2"/>
            <w:vMerge w:val="continue"/>
          </w:tcPr>
          <w:p>
            <w:pPr>
              <w:spacing w:after="0"/>
              <w:rPr>
                <w:sz w:val="17"/>
                <w:szCs w:val="17"/>
                <w:color w:val="auto"/>
              </w:rPr>
            </w:pPr>
          </w:p>
        </w:tc>
        <w:tc>
          <w:tcPr>
            <w:tcW w:w="1900" w:type="dxa"/>
            <w:vAlign w:val="bottom"/>
            <w:tcBorders>
              <w:right w:val="single" w:sz="8" w:color="auto"/>
            </w:tcBorders>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Signatory</w:t>
            </w:r>
          </w:p>
        </w:tc>
        <w:tc>
          <w:tcPr>
            <w:tcW w:w="900" w:type="dxa"/>
            <w:vAlign w:val="bottom"/>
            <w:tcBorders>
              <w:right w:val="single" w:sz="8" w:color="auto"/>
            </w:tcBorders>
            <w:gridSpan w:val="2"/>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20" w:type="dxa"/>
            <w:vAlign w:val="bottom"/>
            <w:tcBorders>
              <w:left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20" w:type="dxa"/>
            <w:vAlign w:val="bottom"/>
            <w:tcBorders>
              <w:left w:val="single" w:sz="8" w:color="auto"/>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reimbursement of reasonable and documented fees and disbursements of counsel to the Holders set forth in Section 2.03 and 2.07 hereto shall not exceed, in the aggregate for Section 2.03 and 2.07, $10,000 per Holder (or $10,000 per group of Holders, to the extent any such Holders are affiliated and inclusive of any transferees pursuant to Section 3.05). Such Holders shall keep the Company reasonably apprised of the amount of any such expenses incurred in advance of the invoicing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AND JOINDER AGREEMENT TO REGISTRATION RIGHTS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By executing and delivering this Signature Page and Joinder Agreement, the undersigned hereby agrees, to (i) become a party to that certain Registration Rights Agreement, dated [•], 2026 (as amended, modified or supplemented from time to time in accordance with the terms thereof,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by and among SoundHound AI, Inc., a Delaware corporation, and the other parties thereto and (ii) be deemed to be and be bound as a Holder (as defined in the Registration Rights Agreement) with such rights (and related obligations and liabilities) in respect of the Registrable Securities (as defined in the Registration Rights Agreement) being acquired by the undersigned in connection with the execution of this Signature Page and Joinder Agreement and subject to the terms and conditions of the Registration Rights Agreement as if an original party thereto.</w:t>
      </w:r>
    </w:p>
    <w:p>
      <w:pPr>
        <w:spacing w:after="0" w:line="20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Notice Address:</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3" w:name="page144"/>
    <w:bookmarkEnd w:id="14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SoundHound AI To Acquire LivePerson, Combining Proprietary Voice Agentic AI and Digital Messaging to Create a World Leading End-to-End Omnichannel Conversational AI Platform</w:t>
      </w:r>
    </w:p>
    <w:p>
      <w:pPr>
        <w:spacing w:after="0" w:line="157" w:lineRule="exact"/>
        <w:rPr>
          <w:sz w:val="20"/>
          <w:szCs w:val="20"/>
          <w:color w:val="auto"/>
        </w:rPr>
      </w:pPr>
    </w:p>
    <w:p>
      <w:pPr>
        <w:ind w:left="660" w:right="20" w:hanging="328"/>
        <w:spacing w:after="0" w:line="284"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 results in one of the most comprehensive enterprise customer footprints in the conversational AI sector, including 25 of the Fortune 100</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Combined company expects a $500M revenue opportunity, accelerated path to profitability, strong balance sheet, and no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155575</wp:posOffset>
            </wp:positionV>
            <wp:extent cx="5349240" cy="2674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4924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SANTA CLARA, Calif., and NEW YORK, April 21, 2026 – SoundHound AI, Inc. (Nasdaq: SOUN), a global leader in voice and conversational AI, and LivePerson (Nasdaq: LPSN), a pioneer in enterprise conversational AI serving hundreds of enterprise and mid-market brands, today announced they have entered into a definitive agreement under which SoundHound will acquire LivePerson. The combination unifies SoundHound’s industry-leading voice and agentic AI platform with LivePerson’s digital engagement capabilities, which power one billion customer messages per month. The acquisition will also deliver additional revenue and scale to SoundHound AI, enhancing the company’s leadership position as a provider of voice and agentic AI to many of the world’s premier enterprise businesses.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combined company will work with enterprise customers across 30+ countries, including 12 of the top 15 global banks, 4 of the top 5 global airlines, 4 of the top 5 global automakers, and 10+ of the leading global telecommunications providers. LivePerson brings hundreds of long-tenured enterprise relationships, many spanning over a decade, adding to SoundHound’s expanding customer roster which includes thousands of restaurants, leading global automakers, and enterprise customers across financial services, healthcare, insurance, energy, and retail.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auto"/>
        </w:rPr>
        <w:t>Combined with LivePerson’s customers, the transaction creates one of the most comprehensive customer footprints in the conversational AI sector.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will also mark SoundHound’s further expansion into AI-driven digital customer service, building out the company’s omnichannel capabilities across text and chat-based applications. LivePerson’s Conversational Cloud brings deeply rooted integrations across enterprise systems, with proven capabilities in messaging, chat, and digital orchestration spanning web, mobile, and social channels.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combined platform will offer enterprise customers a single, end-to-end integrated solution for managing the full lifecycle of customer conversations across both voice and digital channels - addressing one of the most consistent requests from both companies’ customer bases.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“This transformational combination brings together two complementary conversational AI pioneers. SoundHound and LivePerson will define the future of agentic customer service, helping businesses replace fragmented legacy technologies with best-in-class multimodal experiences for the AI-driven era ahead of us,” </w:t>
      </w:r>
      <w:r>
        <w:rPr>
          <w:rFonts w:ascii="Times New Roman" w:cs="Times New Roman" w:eastAsia="Times New Roman" w:hAnsi="Times New Roman"/>
          <w:sz w:val="18"/>
          <w:szCs w:val="18"/>
          <w:b w:val="1"/>
          <w:bCs w:val="1"/>
          <w:color w:val="auto"/>
        </w:rPr>
        <w:t>said Keyvan Mohajer, CEO and Co-Founder of SoundHound AI.</w:t>
      </w:r>
      <w:r>
        <w:rPr>
          <w:rFonts w:ascii="Times New Roman" w:cs="Times New Roman" w:eastAsia="Times New Roman" w:hAnsi="Times New Roman"/>
          <w:sz w:val="18"/>
          <w:szCs w:val="18"/>
          <w:i w:val="1"/>
          <w:iCs w:val="1"/>
          <w:color w:val="auto"/>
        </w:rPr>
        <w:t xml:space="preserve"> “Our combined customers will realize immediate value through expanded capabilities and enhanced scale. And by leveraging our unified conversational datasets, we are accelerating the evolution of our already powerful agentic AI platform to ensure impressive precision and market-leading performance.”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artificial boundaries between ‘talking’ and ‘typing’ are disappearing. Consumers expect to start a complex request over the phone and finish it seamlessly via text or web messaging, without ever repeating themselves or losing context,” </w:t>
      </w:r>
      <w:r>
        <w:rPr>
          <w:rFonts w:ascii="Times New Roman" w:cs="Times New Roman" w:eastAsia="Times New Roman" w:hAnsi="Times New Roman"/>
          <w:sz w:val="18"/>
          <w:szCs w:val="18"/>
          <w:b w:val="1"/>
          <w:bCs w:val="1"/>
          <w:color w:val="auto"/>
        </w:rPr>
        <w:t>said John Sabino, CEO of LivePerson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“Historically, orchestrating a strategy across both voice and digital channels meant juggling multiple specialized vendors. This acquisition changes that dynamic. By bringing SoundHound’s cutting-edge, proprietary voice AI and LivePerson’s premier digital messaging together under one roof, we will offer the industry’s most complete portfolio of customer engagement solutions.”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Combination Business Highlights:</w:t>
      </w:r>
    </w:p>
    <w:p>
      <w:pPr>
        <w:spacing w:after="0" w:line="225" w:lineRule="exact"/>
        <w:rPr>
          <w:sz w:val="20"/>
          <w:szCs w:val="20"/>
          <w:color w:val="auto"/>
        </w:rPr>
      </w:pPr>
    </w:p>
    <w:p>
      <w:pPr>
        <w:jc w:val="both"/>
        <w:ind w:left="660" w:hanging="328"/>
        <w:spacing w:after="0" w:line="268"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Unified Voice and Digital Platform: </w:t>
      </w:r>
      <w:r>
        <w:rPr>
          <w:rFonts w:ascii="Times New Roman" w:cs="Times New Roman" w:eastAsia="Times New Roman" w:hAnsi="Times New Roman"/>
          <w:sz w:val="18"/>
          <w:szCs w:val="18"/>
          <w:color w:val="auto"/>
        </w:rPr>
        <w:t>Combining the complementary strengths of SoundHound’s agentic voice AI and LivePerson’s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Conversational Cloud creates the world’s leading end-to-end omnichannel conversational AI platform, supporting the full customer lifecycle across hundreds of prominent enterprise brands.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AI Capabilities for LivePerson Customers: </w:t>
      </w:r>
      <w:r>
        <w:rPr>
          <w:rFonts w:ascii="Times New Roman" w:cs="Times New Roman" w:eastAsia="Times New Roman" w:hAnsi="Times New Roman"/>
          <w:sz w:val="18"/>
          <w:szCs w:val="18"/>
          <w:color w:val="auto"/>
        </w:rPr>
        <w:t>SoundHound’s fully agentic platform and AI models will deliver improvements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user experience, containment, and overall customer health across LivePerson’s enterprise customer base spanning digital and voice channels.</w:t>
      </w:r>
    </w:p>
    <w:p>
      <w:pPr>
        <w:spacing w:after="0" w:line="170"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Expanded Customer Base and Vertical Diversification: </w:t>
      </w:r>
      <w:r>
        <w:rPr>
          <w:rFonts w:ascii="Times New Roman" w:cs="Times New Roman" w:eastAsia="Times New Roman" w:hAnsi="Times New Roman"/>
          <w:sz w:val="18"/>
          <w:szCs w:val="18"/>
          <w:color w:val="auto"/>
        </w:rPr>
        <w:t>The combination brings together two highly complementary customer bases, creating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of the most comprehensive enterprise customer footprints in the sector — deepening SoundHound’s presence in core verticals like financial services, telecommunications, and healthcare while extending its reach into verticals including travel, hospitality, and retail.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ind w:left="660" w:hanging="328"/>
        <w:spacing w:after="0" w:line="286"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Upsell and Cross-Sell Opportunities: </w:t>
      </w:r>
      <w:r>
        <w:rPr>
          <w:rFonts w:ascii="Times New Roman" w:cs="Times New Roman" w:eastAsia="Times New Roman" w:hAnsi="Times New Roman"/>
          <w:sz w:val="18"/>
          <w:szCs w:val="18"/>
          <w:color w:val="auto"/>
        </w:rPr>
        <w:t>SoundHound’s voice AI will be offered to LivePerson’s digital customers, one of the most frequently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requested capabilities from LivePerson’s customer base.</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Strengthening the Combined Business: </w:t>
      </w:r>
      <w:r>
        <w:rPr>
          <w:rFonts w:ascii="Times New Roman" w:cs="Times New Roman" w:eastAsia="Times New Roman" w:hAnsi="Times New Roman"/>
          <w:sz w:val="18"/>
          <w:szCs w:val="18"/>
          <w:color w:val="auto"/>
        </w:rPr>
        <w:t>SoundHound’s strong balance sheet, engineering scale, and proven AI innovation will strengthen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combined business by reinforcing the long-term financial stability enterprise customers require from mission critical technology partners, accelerating platform modernization initiatives already underway, and ensuring the continued AI innovation required to stay ahead of evolving enterprise customer needs.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Data Advantage: </w:t>
      </w:r>
      <w:r>
        <w:rPr>
          <w:rFonts w:ascii="Times New Roman" w:cs="Times New Roman" w:eastAsia="Times New Roman" w:hAnsi="Times New Roman"/>
          <w:sz w:val="18"/>
          <w:szCs w:val="18"/>
          <w:color w:val="auto"/>
        </w:rPr>
        <w:t>Combining SoundHound’s billions of voice interactions annually with LivePerson’s one billion digital messages per month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creates a combined data foundation of tens of billions of customer interactions annually — strengthening model performance, orchestration, and enterprise-grade automation outcomes.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Proven Acquisition Track Record: </w:t>
      </w:r>
      <w:r>
        <w:rPr>
          <w:rFonts w:ascii="Times New Roman" w:cs="Times New Roman" w:eastAsia="Times New Roman" w:hAnsi="Times New Roman"/>
          <w:sz w:val="18"/>
          <w:szCs w:val="18"/>
          <w:color w:val="auto"/>
        </w:rPr>
        <w:t>LivePerson marks SoundHound’s fifth strategic acquisition, continuing a disciplined approach to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purpose-built full-service enterprise AI business following successful integrations of Amelia, Interactions, and others, accumulating over 120 years of combined customer relationships and enterprise integrations.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Financials:</w:t>
      </w:r>
    </w:p>
    <w:p>
      <w:pPr>
        <w:spacing w:after="0" w:line="229" w:lineRule="exact"/>
        <w:rPr>
          <w:sz w:val="20"/>
          <w:szCs w:val="20"/>
          <w:color w:val="auto"/>
        </w:rPr>
      </w:pPr>
    </w:p>
    <w:p>
      <w:pPr>
        <w:ind w:left="660" w:hanging="328"/>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is acquiring LivePerson for an equity value of $43M, representing approximately a 22% premium over the corresponding 30-day volume-weighted average value.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SoundHound expects to receive $74M of LivePerson’s cash balance prior to repayment of the 2026 Convertible Senior Notes. After taking into account significant discounts on LivePerson’s remaining debt, the transaction implies a total enterprise value of $250M.</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SoundHound will retire the discounted debt with a mix of cash and equity, at SoundHound’s discretion. The combined company is expected to have a strong balance sheet with no debt.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expects its 2027 revenue range will be, at minimum, $350M-$400M, with at least $100M of growable contribution from LivePerson’s long-tenured customers.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offering SoundHound’s voice AI to LivePerson’s customers, and the unified digital and voice omnichannel solution to SoundHound’s customers, the combined business is expected to reach $500M, based on the existing customer base alone.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is expected to close in the second half of 2026, subject to customary regulatory approvals and closing conditions.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is serving as financial advisor to SoundHound AI, and Latham &amp; Watkins LLP is serving as legal advisor.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Lazard is serving as financial advisor to LivePerson, with Fried, Frank, Harris, Shriver &amp; Jacobson LLP serving as legal advisor.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more about SoundHound AI here.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SoundHound AI</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SoundHound AI (Nasdaq: SOUN), a global leader in voice and conversational AI, delivers solutions that allow businesses to offer superior experiences to their customers. Built on proprietary technology, SoundHound’s voice AI delivers best-in-class speed and accuracy in numerous languages to product creators and service providers across retail, financial services, healthcare, automotive, telecom, smart devices, and restaurants. The company’s groundbreaking AI-driven products include Smart Answering, Smart Ordering, Dynamic Drive-Thru, and the Amelia Platform, which powers AI Agents for enterprise. In addition, SoundHound’s Agentic AI for Automotive and Autonomics, a category-leading operations platform that automates IT processes, have enabled SoundHound to power millions of products and services, and process billions of interactions each year for world-class businesses. www.soundhound.com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-965200</wp:posOffset>
            </wp:positionV>
            <wp:extent cx="7132320" cy="1920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LivePerson.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LivePerson (NASDAQ: LPSN) is the enterprise leader in predictable conversational AI. The world’s leading brands use our award-winning Conversational Cloud and Syntrix platforms to connect with millions of customers. We power nearly a billion messages every month, providing uniquely rich data analytics, agent training, and AI evaluation tools to unlock the power of conversational AI for better business outcomes. Learn more at liveperson.com.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Fiona McEvoy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PR@SoundHound.com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Riah Lawry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pr@liveperson.com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 looking statements” within the meaning of the U.S. federal securities laws about the expectations, beliefs, plans, intentions, prospects, financial results and strategies relating to SoundHound AI’s proposed acquisition of LivePerson. Such forward looking statements include, among others, statements regarding future product capabilities and offerings, expected benefits to SoundHound AI and LivePerson and their customers arising from and in relation to the proposed acquisition, the timing of closing of the proposed acquisition, SoundHound AI’s plans for future operations and anticipated product offerings after the closing of the proposed acquisition, the parties’ expectations for value creation and strategic advantages, market and growth opportunities, SoundHound AI’s anticipated revenue growth and profitability, future financial condition and performance and expected financial impacts of the proposed acquisition, and the parties’ expectations, intentions, strategies, assumptions or beliefs about future events, results of operations or performance or that do not solely relate to historical or current facts.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7" w:name="page148"/>
    <w:bookmarkEnd w:id="147"/>
    <w:p>
      <w:pPr>
        <w:jc w:val="both"/>
        <w:spacing w:after="0" w:line="251" w:lineRule="auto"/>
        <w:rPr>
          <w:sz w:val="20"/>
          <w:szCs w:val="20"/>
          <w:color w:val="auto"/>
        </w:rPr>
      </w:pPr>
      <w:r>
        <w:rPr>
          <w:rFonts w:ascii="Times New Roman" w:cs="Times New Roman" w:eastAsia="Times New Roman" w:hAnsi="Times New Roman"/>
          <w:sz w:val="18"/>
          <w:szCs w:val="18"/>
          <w:color w:val="auto"/>
        </w:rPr>
        <w:t>These forward-looking statements generally are identified by the words “believe,” “project,” “expect,” “anticipate,” “estimate,” “intend,” “strategy,” “future,” “opportunity,” “potential,” “plan,” “may,” “should,” “will,” “would,” “will be,” “will continue,” “will likely result,” and similar expressions.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communication. Factors that may cause actual results to differ materially from those in any forward looking statements include, without limitation, challenges with completion of the proposed acquisition as anticipated, including obtaining regulatory approvals and other conditions to the completion of the proposed acquisition; the effect of the announcement or pendency of the proposed acquisition on SoundHound AI’s or LivePerson’s business, operating results, and relationships with customers, suppliers, competitors and others; risks that the proposed acquisition may disrupt SoundHound AI’s or LivePerson’s current plans and business operations; the occurrence of any event, change or other circumstances that could give rise to the termination of the definitive agreement; the failure by the parties to satisfy the conditions to the consummation of the definitive agreement, including the approval of LivePerson’s stockholders; the outcome of any legal proceedings related to the proposed acquisition; restrictions during the pendency of the proposed acquisition that may impact LivePerson’s ability to pursue certain business opportunities or strategic transactions; failure to realize the anticipated benefits of the proposed acquisition; challenges or delays in assimilating or integrating LivePerson’s technology into SoundHound AI’s platform; challenges retaining employees of LivePerson after the proposed acquisition closes; unanticipated obligations or liabilities related to LivePerson’s legacy business; potential adverse tax consequences and the potential effects on the accounting of the proposed acquisition; changes in applicable laws or regulations and extensive and evolving government regulations that impact SoundHound AI’s or LivePerson’s operations and business; investigations, claims, disputes, enforcement actions, litigation and/or other regulatory or legal proceedings, including with respect to AI technology; risks that SoundHound AI may not be able to manage strains associated with its growth; dependence on key personnel; stock price volatility; SoundHound AI’s and LivePerson’s ability to protect their intellectual property and related litigation risks; the risk that LivePerson’s usage patterns, customer renewals, customer outcomes and similar metrics differ from expectations; the risk of cybersecurity incidents or breaches impacting LivePerson’s business; risks related to the use and regulation of artificial intelligence and machine learning; changes in business, market, financial, political and regulatory conditions; and disruption to SoundHound AI’s business and diversion of our management’s attention and other resources. The foregoing list of risk factors is not exhaustive. Further information on factors that could affect our financial and other results is included in the filings that SoundHound AI and/or LivePerson filed, or that will be filed, with the U.S. Securities and Exchange Commission, including as will be set forth in the registration statement to be filed with the U.S. Securities and Exchange Commission in connection with the proposed acquisition and the Proxy Statement/Prospectus contained therein.</w:t>
      </w: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forward-looking statements are based on information available to SoundHound AI as of the date hereof, and SoundHound AI assumes no obligation to update any forward-looking statements, except as may be required under applicable securities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proposed transaction, SoundHound AI intends to file with the U.S. Securities and Exchange Commission (the “SEC”) a registration statement on Form S-4 (the “Form S-4”) that will include a proxy statement of LivePerson and that will also constitute a prospectus of SoundHound AI with respect to the shares of the SoundHound AI common stock to be issued in the proposed transaction (the “proxy statement/prospectus”). The definitive proxy statement/prospectus (if and when available) will be filed with the SEC by, and mailed to shareholders of, LivePerson. Each of SoundHound AI and LivePerson may also file other relevant documents with the SEC regarding the proposed transaction.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is not a substitute for the Form S-4, the proxy statement/prospectus or any other document that SoundHound AI or LivePerson may file with the SEC in connection with the proposed transaction. INVESTORS AND SECURITY HOLDERS OF SOUNDHOUND AI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AI and LivePerson, free of charge on the SEC’s website at www.sec.gov. Copies of the documents filed with, or furnished to, the SEC by the Company will be available free of charge on SoundHound AI’s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 AI’s or LivePerson’s website is not incorporated by reference into this communication.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SoundHound AI, LivePerson and their respective directors and executive officers may be deemed to be participants in the solicitation of proxies with respect to the proposed transaction under the rules of the SEC. Information about the directors and executive officers of SoundHound AI, including a description of their direct or indirect interests, by security holdings or otherwise, is set forth in the SoundHound AI’s definitive proxy statement for its 2026 annual meeting of stockholders under the heading “Proposal 1 – Election of Directors”, which was filed with the SEC on April 9, 2026 and is available at https://www.sec.gov/ix?doc=/Archives/edgar/data/0001840856/000121390026041978/ea0285618-01.htm. Information about the directors and executive officers of LivePerson, including a description of their direct or indirect interests, by security holdings or otherwise, is set forth in LivePerson’s Annual Report on Form 10-K for the year ended December 31, 2025 under the headings “Directors, Executive Officers and Corporate Governance”, “Executive Compensation”, “Security Ownership of Certain Beneficial Owners and Management and Related Stockholder Matters” and “Certain Relationships and Related Transactions, and Director Independence”, which was filed with the SEC on March 16, 2025 and is available at https://www.sec.gov/ix? doc=/Archives/edgar/data/0001102993/000110299326000014/lpsn-20251231.htm. To the extent holdings of LivePerson securities by its directors and executive officers have changed since the amounts set forth in LivePerson’s Annual Report on Form 10-K for the year ended December 31, 2025,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Additional information regarding the interests of the participants in the solicitation of proxies will be included in the Form S-4, the proxy statement/prospectus and other relevant materials to be filed with the SEC if and when they become available. You should read the Form S-4 and the proxy statement/prospectus carefully when available before making any voting or investment decisions. You may obtain free copies of these documents using the sources indicated above.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1)"/>
      <w:numFmt w:val="lowerLetter"/>
      <w:start w:val="3"/>
    </w:lvl>
  </w:abstractNum>
  <w:abstractNum w:abstractNumId="3">
    <w:nsid w:val="100F8FCA"/>
    <w:multiLevelType w:val="hybridMultilevel"/>
    <w:lvl w:ilvl="0">
      <w:lvlJc w:val="left"/>
      <w:lvlText w:val="(%1)"/>
      <w:numFmt w:val="lowerRoman"/>
      <w:start w:val="2"/>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1)"/>
      <w:numFmt w:val="lowerLetter"/>
      <w:start w:val="1"/>
    </w:lvl>
  </w:abstractNum>
  <w:abstractNum w:abstractNumId="6">
    <w:nsid w:val="5F5E7FD0"/>
    <w:multiLevelType w:val="hybridMultilevel"/>
    <w:lvl w:ilvl="0">
      <w:lvlJc w:val="left"/>
      <w:lvlText w:val="(%1)"/>
      <w:numFmt w:val="lowerLetter"/>
      <w:start w:val="1"/>
    </w:lvl>
  </w:abstractNum>
  <w:abstractNum w:abstractNumId="7">
    <w:nsid w:val="98A3148"/>
    <w:multiLevelType w:val="hybridMultilevel"/>
    <w:lvl w:ilvl="0">
      <w:lvlJc w:val="left"/>
      <w:lvlText w:val="(%1)"/>
      <w:numFmt w:val="lowerLetter"/>
      <w:start w:val="1"/>
    </w:lvl>
    <w:lvl w:ilvl="1">
      <w:lvlJc w:val="left"/>
      <w:lvlText w:val="(%2)"/>
      <w:numFmt w:val="lowerRoman"/>
      <w:start w:val="1"/>
    </w:lvl>
  </w:abstractNum>
  <w:abstractNum w:abstractNumId="8">
    <w:nsid w:val="799D0247"/>
    <w:multiLevelType w:val="hybridMultilevel"/>
    <w:lvl w:ilvl="0">
      <w:lvlJc w:val="left"/>
      <w:lvlText w:val="%1"/>
      <w:numFmt w:val="lowerLetter"/>
      <w:start w:val="1"/>
    </w:lvl>
    <w:lvl w:ilvl="1">
      <w:lvlJc w:val="left"/>
      <w:lvlText w:val="(%2)"/>
      <w:numFmt w:val="lowerRoman"/>
      <w:start w:val="4"/>
    </w:lvl>
  </w:abstractNum>
  <w:abstractNum w:abstractNumId="9">
    <w:nsid w:val="6B94764"/>
    <w:multiLevelType w:val="hybridMultilevel"/>
    <w:lvl w:ilvl="0">
      <w:lvlJc w:val="left"/>
      <w:lvlText w:val="(%1)"/>
      <w:numFmt w:val="lowerLetter"/>
      <w:start w:val="2"/>
    </w:lvl>
    <w:lvl w:ilvl="1">
      <w:lvlJc w:val="left"/>
      <w:lvlText w:val="%2"/>
      <w:numFmt w:val="lowerRoman"/>
      <w:start w:val="1"/>
    </w:lvl>
  </w:abstractNum>
  <w:abstractNum w:abstractNumId="10">
    <w:nsid w:val="42C296BD"/>
    <w:multiLevelType w:val="hybridMultilevel"/>
    <w:lvl w:ilvl="0">
      <w:lvlJc w:val="left"/>
      <w:lvlText w:val="(%1)"/>
      <w:numFmt w:val="lowerLetter"/>
      <w:start w:val="1"/>
    </w:lvl>
  </w:abstractNum>
  <w:abstractNum w:abstractNumId="11">
    <w:nsid w:val="168E121F"/>
    <w:multiLevelType w:val="hybridMultilevel"/>
    <w:lvl w:ilvl="0">
      <w:lvlJc w:val="left"/>
      <w:lvlText w:val="(%1)"/>
      <w:numFmt w:val="lowerLetter"/>
      <w:start w:val="2"/>
    </w:lvl>
    <w:lvl w:ilvl="1">
      <w:lvlJc w:val="left"/>
      <w:lvlText w:val="(%2)"/>
      <w:numFmt w:val="lowerLetter"/>
      <w:start w:val="9"/>
    </w:lvl>
  </w:abstractNum>
  <w:abstractNum w:abstractNumId="12">
    <w:nsid w:val="1EBA5D23"/>
    <w:multiLevelType w:val="hybridMultilevel"/>
    <w:lvl w:ilvl="0">
      <w:lvlJc w:val="left"/>
      <w:lvlText w:val="%1"/>
      <w:numFmt w:val="lowerLetter"/>
      <w:start w:val="1"/>
    </w:lvl>
    <w:lvl w:ilvl="1">
      <w:lvlJc w:val="left"/>
      <w:lvlText w:val="(%2)"/>
      <w:numFmt w:val="lowerLetter"/>
      <w:start w:val="35"/>
    </w:lvl>
  </w:abstractNum>
  <w:abstractNum w:abstractNumId="13">
    <w:nsid w:val="661E3F1E"/>
    <w:multiLevelType w:val="hybridMultilevel"/>
    <w:lvl w:ilvl="0">
      <w:lvlJc w:val="left"/>
      <w:lvlText w:val="(%1)"/>
      <w:numFmt w:val="lowerLetter"/>
      <w:start w:val="3"/>
    </w:lvl>
    <w:lvl w:ilvl="1">
      <w:lvlJc w:val="left"/>
      <w:lvlText w:val="%2"/>
      <w:numFmt w:val="lowerLetter"/>
      <w:start w:val="1"/>
    </w:lvl>
  </w:abstractNum>
  <w:abstractNum w:abstractNumId="14">
    <w:nsid w:val="5DC79EA8"/>
    <w:multiLevelType w:val="hybridMultilevel"/>
    <w:lvl w:ilvl="0">
      <w:lvlJc w:val="left"/>
      <w:lvlText w:val="(%1)"/>
      <w:numFmt w:val="lowerLetter"/>
      <w:start w:val="4"/>
    </w:lvl>
  </w:abstractNum>
  <w:abstractNum w:abstractNumId="15">
    <w:nsid w:val="540A471C"/>
    <w:multiLevelType w:val="hybridMultilevel"/>
    <w:lvl w:ilvl="0">
      <w:lvlJc w:val="left"/>
      <w:lvlText w:val="(%1)"/>
      <w:numFmt w:val="lowerLetter"/>
      <w:start w:val="1"/>
    </w:lvl>
    <w:lvl w:ilvl="1">
      <w:lvlJc w:val="left"/>
      <w:lvlText w:val="(%2)"/>
      <w:numFmt w:val="lowerLetter"/>
      <w:start w:val="9"/>
    </w:lvl>
  </w:abstractNum>
  <w:abstractNum w:abstractNumId="16">
    <w:nsid w:val="7BD3EE7B"/>
    <w:multiLevelType w:val="hybridMultilevel"/>
    <w:lvl w:ilvl="0">
      <w:lvlJc w:val="left"/>
      <w:lvlText w:val="%1"/>
      <w:numFmt w:val="lowerLetter"/>
      <w:start w:val="1"/>
    </w:lvl>
    <w:lvl w:ilvl="1">
      <w:lvlJc w:val="left"/>
      <w:lvlText w:val="(%2)"/>
      <w:numFmt w:val="lowerRoman"/>
      <w:start w:val="2"/>
    </w:lvl>
  </w:abstractNum>
  <w:abstractNum w:abstractNumId="17">
    <w:nsid w:val="51D9C564"/>
    <w:multiLevelType w:val="hybridMultilevel"/>
    <w:lvl w:ilvl="0">
      <w:lvlJc w:val="left"/>
      <w:lvlText w:val="(%1)"/>
      <w:numFmt w:val="lowerLetter"/>
      <w:start w:val="2"/>
    </w:lvl>
    <w:lvl w:ilvl="1">
      <w:lvlJc w:val="left"/>
      <w:lvlText w:val="(%2)"/>
      <w:numFmt w:val="lowerRoman"/>
      <w:start w:val="1"/>
    </w:lvl>
  </w:abstractNum>
  <w:abstractNum w:abstractNumId="18">
    <w:nsid w:val="613EFDC5"/>
    <w:multiLevelType w:val="hybridMultilevel"/>
    <w:lvl w:ilvl="0">
      <w:lvlJc w:val="left"/>
      <w:lvlText w:val="(%1)"/>
      <w:numFmt w:val="lowerLetter"/>
      <w:start w:val="3"/>
    </w:lvl>
    <w:lvl w:ilvl="1">
      <w:lvlJc w:val="left"/>
      <w:lvlText w:val="(%2)"/>
      <w:numFmt w:val="lowerRoman"/>
      <w:start w:val="1"/>
    </w:lvl>
  </w:abstractNum>
  <w:abstractNum w:abstractNumId="19">
    <w:nsid w:val="BF72B14"/>
    <w:multiLevelType w:val="hybridMultilevel"/>
    <w:lvl w:ilvl="0">
      <w:lvlJc w:val="left"/>
      <w:lvlText w:val="%1"/>
      <w:numFmt w:val="lowerLetter"/>
      <w:start w:val="1"/>
    </w:lvl>
    <w:lvl w:ilvl="1">
      <w:lvlJc w:val="left"/>
      <w:lvlText w:val="(%2)"/>
      <w:numFmt w:val="lowerLetter"/>
      <w:start w:val="1"/>
    </w:lvl>
  </w:abstractNum>
  <w:abstractNum w:abstractNumId="20">
    <w:nsid w:val="11447B73"/>
    <w:multiLevelType w:val="hybridMultilevel"/>
    <w:lvl w:ilvl="0">
      <w:lvlJc w:val="left"/>
      <w:lvlText w:val="(%1)"/>
      <w:numFmt w:val="lowerLetter"/>
      <w:start w:val="35"/>
    </w:lvl>
    <w:lvl w:ilvl="1">
      <w:lvlJc w:val="left"/>
      <w:lvlText w:val="%2"/>
      <w:numFmt w:val="lowerLetter"/>
      <w:start w:val="1"/>
    </w:lvl>
  </w:abstractNum>
  <w:abstractNum w:abstractNumId="21">
    <w:nsid w:val="42963E5A"/>
    <w:multiLevelType w:val="hybridMultilevel"/>
    <w:lvl w:ilvl="0">
      <w:lvlJc w:val="left"/>
      <w:lvlText w:val="(%1)"/>
      <w:numFmt w:val="lowerLetter"/>
      <w:start w:val="3"/>
    </w:lvl>
  </w:abstractNum>
  <w:abstractNum w:abstractNumId="22">
    <w:nsid w:val="A0382C5"/>
    <w:multiLevelType w:val="hybridMultilevel"/>
    <w:lvl w:ilvl="0">
      <w:lvlJc w:val="left"/>
      <w:lvlText w:val="%1"/>
      <w:numFmt w:val="decimal"/>
      <w:start w:val="1"/>
    </w:lvl>
    <w:lvl w:ilvl="1">
      <w:lvlJc w:val="left"/>
      <w:lvlText w:val="(%2)"/>
      <w:numFmt w:val="lowerLetter"/>
      <w:start w:val="1"/>
    </w:lvl>
  </w:abstractNum>
  <w:abstractNum w:abstractNumId="23">
    <w:nsid w:val="8F2B15E"/>
    <w:multiLevelType w:val="hybridMultilevel"/>
    <w:lvl w:ilvl="0">
      <w:lvlJc w:val="left"/>
      <w:lvlText w:val="(%1)"/>
      <w:numFmt w:val="decimal"/>
      <w:start w:val="7"/>
    </w:lvl>
    <w:lvl w:ilvl="1">
      <w:lvlJc w:val="left"/>
      <w:lvlText w:val="%2"/>
      <w:numFmt w:val="lowerLetter"/>
      <w:start w:val="1"/>
    </w:lvl>
  </w:abstractNum>
  <w:abstractNum w:abstractNumId="24">
    <w:nsid w:val="1A32234B"/>
    <w:multiLevelType w:val="hybridMultilevel"/>
    <w:lvl w:ilvl="0">
      <w:lvlJc w:val="left"/>
      <w:lvlText w:val="(%1)"/>
      <w:numFmt w:val="lowerLetter"/>
      <w:start w:val="3"/>
    </w:lvl>
  </w:abstractNum>
  <w:abstractNum w:abstractNumId="25">
    <w:nsid w:val="3B0FD379"/>
    <w:multiLevelType w:val="hybridMultilevel"/>
    <w:lvl w:ilvl="0">
      <w:lvlJc w:val="left"/>
      <w:lvlText w:val="(%1)"/>
      <w:numFmt w:val="lowerLetter"/>
      <w:start w:val="1"/>
    </w:lvl>
  </w:abstractNum>
  <w:abstractNum w:abstractNumId="26">
    <w:nsid w:val="68EB2F63"/>
    <w:multiLevelType w:val="hybridMultilevel"/>
    <w:lvl w:ilvl="0">
      <w:lvlJc w:val="left"/>
      <w:lvlText w:val="(%1)"/>
      <w:numFmt w:val="lowerLetter"/>
      <w:start w:val="2"/>
    </w:lvl>
  </w:abstractNum>
  <w:abstractNum w:abstractNumId="27">
    <w:nsid w:val="4962813B"/>
    <w:multiLevelType w:val="hybridMultilevel"/>
    <w:lvl w:ilvl="0">
      <w:lvlJc w:val="left"/>
      <w:lvlText w:val="(%1)"/>
      <w:numFmt w:val="lowerLetter"/>
      <w:start w:val="1"/>
    </w:lvl>
  </w:abstractNum>
  <w:abstractNum w:abstractNumId="28">
    <w:nsid w:val="60B6DF70"/>
    <w:multiLevelType w:val="hybridMultilevel"/>
    <w:lvl w:ilvl="0">
      <w:lvlJc w:val="left"/>
      <w:lvlText w:val="(%1)"/>
      <w:numFmt w:val="lowerLetter"/>
      <w:start w:val="4"/>
    </w:lvl>
  </w:abstractNum>
  <w:abstractNum w:abstractNumId="29">
    <w:nsid w:val="6A5EE64"/>
    <w:multiLevelType w:val="hybridMultilevel"/>
    <w:lvl w:ilvl="0">
      <w:lvlJc w:val="left"/>
      <w:lvlText w:val="(%1)"/>
      <w:numFmt w:val="lowerLetter"/>
      <w:start w:val="1"/>
    </w:lvl>
  </w:abstractNum>
  <w:abstractNum w:abstractNumId="30">
    <w:nsid w:val="14330624"/>
    <w:multiLevelType w:val="hybridMultilevel"/>
    <w:lvl w:ilvl="0">
      <w:lvlJc w:val="left"/>
      <w:lvlText w:val="(%1)"/>
      <w:numFmt w:val="lowerLetter"/>
      <w:start w:val="2"/>
    </w:lvl>
  </w:abstractNum>
  <w:abstractNum w:abstractNumId="31">
    <w:nsid w:val="7FFFCA11"/>
    <w:multiLevelType w:val="hybridMultilevel"/>
    <w:lvl w:ilvl="0">
      <w:lvlJc w:val="left"/>
      <w:lvlText w:val="(%1)"/>
      <w:numFmt w:val="lowerLetter"/>
      <w:start w:val="1"/>
    </w:lvl>
  </w:abstractNum>
  <w:abstractNum w:abstractNumId="32">
    <w:nsid w:val="1A27709E"/>
    <w:multiLevelType w:val="hybridMultilevel"/>
    <w:lvl w:ilvl="0">
      <w:lvlJc w:val="left"/>
      <w:lvlText w:val="(%1)"/>
      <w:numFmt w:val="lowerLetter"/>
      <w:start w:val="3"/>
    </w:lvl>
  </w:abstractNum>
  <w:abstractNum w:abstractNumId="33">
    <w:nsid w:val="71EA1109"/>
    <w:multiLevelType w:val="hybridMultilevel"/>
    <w:lvl w:ilvl="0">
      <w:lvlJc w:val="left"/>
      <w:lvlText w:val="(%1)"/>
      <w:numFmt w:val="lowerLetter"/>
      <w:start w:val="8"/>
    </w:lvl>
  </w:abstractNum>
  <w:abstractNum w:abstractNumId="34">
    <w:nsid w:val="100F59DC"/>
    <w:multiLevelType w:val="hybridMultilevel"/>
    <w:lvl w:ilvl="0">
      <w:lvlJc w:val="left"/>
      <w:lvlText w:val="(%1)"/>
      <w:numFmt w:val="lowerLetter"/>
      <w:start w:val="1"/>
    </w:lvl>
  </w:abstractNum>
  <w:abstractNum w:abstractNumId="35">
    <w:nsid w:val="7FB7E0AA"/>
    <w:multiLevelType w:val="hybridMultilevel"/>
    <w:lvl w:ilvl="0">
      <w:lvlJc w:val="left"/>
      <w:lvlText w:val="(%1)"/>
      <w:numFmt w:val="lowerLetter"/>
      <w:start w:val="4"/>
    </w:lvl>
  </w:abstractNum>
  <w:abstractNum w:abstractNumId="36">
    <w:nsid w:val="6EB5BD4"/>
    <w:multiLevelType w:val="hybridMultilevel"/>
    <w:lvl w:ilvl="0">
      <w:lvlJc w:val="left"/>
      <w:lvlText w:val="(%1)"/>
      <w:numFmt w:val="lowerLetter"/>
      <w:start w:val="7"/>
    </w:lvl>
  </w:abstractNum>
  <w:abstractNum w:abstractNumId="37">
    <w:nsid w:val="6F6DD9AC"/>
    <w:multiLevelType w:val="hybridMultilevel"/>
    <w:lvl w:ilvl="0">
      <w:lvlJc w:val="left"/>
      <w:lvlText w:val="(%1)"/>
      <w:numFmt w:val="lowerLetter"/>
      <w:start w:val="1"/>
    </w:lvl>
    <w:lvl w:ilvl="1">
      <w:lvlJc w:val="left"/>
      <w:lvlText w:val="(%2)"/>
      <w:numFmt w:val="lowerRoman"/>
      <w:start w:val="1"/>
    </w:lvl>
  </w:abstractNum>
  <w:abstractNum w:abstractNumId="38">
    <w:nsid w:val="94211F2"/>
    <w:multiLevelType w:val="hybridMultilevel"/>
    <w:lvl w:ilvl="0">
      <w:lvlJc w:val="left"/>
      <w:lvlText w:val="(%1)"/>
      <w:numFmt w:val="lowerRoman"/>
      <w:start w:val="6"/>
    </w:lvl>
  </w:abstractNum>
  <w:abstractNum w:abstractNumId="39">
    <w:nsid w:val="885E1B"/>
    <w:multiLevelType w:val="hybridMultilevel"/>
    <w:lvl w:ilvl="0">
      <w:lvlJc w:val="left"/>
      <w:lvlText w:val="(%1)"/>
      <w:numFmt w:val="lowerRoman"/>
      <w:start w:val="14"/>
    </w:lvl>
  </w:abstractNum>
  <w:abstractNum w:abstractNumId="40">
    <w:nsid w:val="76272110"/>
    <w:multiLevelType w:val="hybridMultilevel"/>
    <w:lvl w:ilvl="0">
      <w:lvlJc w:val="left"/>
      <w:lvlText w:val="(%1)"/>
      <w:numFmt w:val="lowerLetter"/>
      <w:start w:val="2"/>
    </w:lvl>
  </w:abstractNum>
  <w:abstractNum w:abstractNumId="41">
    <w:nsid w:val="4C04A8AF"/>
    <w:multiLevelType w:val="hybridMultilevel"/>
    <w:lvl w:ilvl="0">
      <w:lvlJc w:val="left"/>
      <w:lvlText w:val="(%1)"/>
      <w:numFmt w:val="lowerLetter"/>
      <w:start w:val="4"/>
    </w:lvl>
  </w:abstractNum>
  <w:abstractNum w:abstractNumId="42">
    <w:nsid w:val="1716703B"/>
    <w:multiLevelType w:val="hybridMultilevel"/>
    <w:lvl w:ilvl="0">
      <w:lvlJc w:val="left"/>
      <w:lvlText w:val="%1"/>
      <w:numFmt w:val="lowerLetter"/>
      <w:start w:val="1"/>
    </w:lvl>
    <w:lvl w:ilvl="1">
      <w:lvlJc w:val="left"/>
      <w:lvlText w:val="(%2)"/>
      <w:numFmt w:val="lowerLetter"/>
      <w:start w:val="1"/>
    </w:lvl>
  </w:abstractNum>
  <w:abstractNum w:abstractNumId="43">
    <w:nsid w:val="14E17E33"/>
    <w:multiLevelType w:val="hybridMultilevel"/>
    <w:lvl w:ilvl="0">
      <w:lvlJc w:val="left"/>
      <w:lvlText w:val="(%1)"/>
      <w:numFmt w:val="lowerLetter"/>
      <w:start w:val="9"/>
    </w:lvl>
    <w:lvl w:ilvl="1">
      <w:lvlJc w:val="left"/>
      <w:lvlText w:val="%2"/>
      <w:numFmt w:val="lowerLetter"/>
      <w:start w:val="1"/>
    </w:lvl>
  </w:abstractNum>
  <w:abstractNum w:abstractNumId="44">
    <w:nsid w:val="3222E7CD"/>
    <w:multiLevelType w:val="hybridMultilevel"/>
    <w:lvl w:ilvl="0">
      <w:lvlJc w:val="left"/>
      <w:lvlText w:val="%1"/>
      <w:numFmt w:val="lowerLetter"/>
      <w:start w:val="1"/>
    </w:lvl>
    <w:lvl w:ilvl="1">
      <w:lvlJc w:val="left"/>
      <w:lvlText w:val="(%2)"/>
      <w:numFmt w:val="lowerLetter"/>
      <w:start w:val="3"/>
    </w:lvl>
  </w:abstractNum>
  <w:abstractNum w:abstractNumId="45">
    <w:nsid w:val="74DE0EE3"/>
    <w:multiLevelType w:val="hybridMultilevel"/>
    <w:lvl w:ilvl="0">
      <w:lvlJc w:val="left"/>
      <w:lvlText w:val="(%1)"/>
      <w:numFmt w:val="lowerLetter"/>
      <w:start w:val="9"/>
    </w:lvl>
    <w:lvl w:ilvl="1">
      <w:lvlJc w:val="left"/>
      <w:lvlText w:val="%2"/>
      <w:numFmt w:val="lowerLetter"/>
      <w:start w:val="1"/>
    </w:lvl>
  </w:abstractNum>
  <w:abstractNum w:abstractNumId="46">
    <w:nsid w:val="68EBC550"/>
    <w:multiLevelType w:val="hybridMultilevel"/>
    <w:lvl w:ilvl="0">
      <w:lvlJc w:val="left"/>
      <w:lvlText w:val="%1"/>
      <w:numFmt w:val="lowerLetter"/>
      <w:start w:val="1"/>
    </w:lvl>
    <w:lvl w:ilvl="1">
      <w:lvlJc w:val="left"/>
      <w:lvlText w:val="(%2)"/>
      <w:numFmt w:val="lowerLetter"/>
      <w:start w:val="6"/>
    </w:lvl>
  </w:abstractNum>
  <w:abstractNum w:abstractNumId="47">
    <w:nsid w:val="2DF6D648"/>
    <w:multiLevelType w:val="hybridMultilevel"/>
    <w:lvl w:ilvl="0">
      <w:lvlJc w:val="left"/>
      <w:lvlText w:val="(%1)"/>
      <w:numFmt w:val="lowerLetter"/>
      <w:start w:val="9"/>
    </w:lvl>
    <w:lvl w:ilvl="1">
      <w:lvlJc w:val="left"/>
      <w:lvlText w:val="(%2)"/>
      <w:numFmt w:val="lowerLetter"/>
      <w:start w:val="8"/>
    </w:lvl>
  </w:abstractNum>
  <w:abstractNum w:abstractNumId="48">
    <w:nsid w:val="46B7D447"/>
    <w:multiLevelType w:val="hybridMultilevel"/>
    <w:lvl w:ilvl="0">
      <w:lvlJc w:val="left"/>
      <w:lvlText w:val="(%1)"/>
      <w:numFmt w:val="lowerLetter"/>
      <w:start w:val="12"/>
    </w:lvl>
  </w:abstractNum>
  <w:abstractNum w:abstractNumId="49">
    <w:nsid w:val="4A2AC315"/>
    <w:multiLevelType w:val="hybridMultilevel"/>
    <w:lvl w:ilvl="0">
      <w:lvlJc w:val="left"/>
      <w:lvlText w:val="%1"/>
      <w:numFmt w:val="lowerLetter"/>
      <w:start w:val="1"/>
    </w:lvl>
    <w:lvl w:ilvl="1">
      <w:lvlJc w:val="left"/>
      <w:lvlText w:val="(%2)"/>
      <w:numFmt w:val="lowerLetter"/>
      <w:start w:val="1"/>
    </w:lvl>
  </w:abstractNum>
  <w:abstractNum w:abstractNumId="50">
    <w:nsid w:val="39EE015C"/>
    <w:multiLevelType w:val="hybridMultilevel"/>
    <w:lvl w:ilvl="0">
      <w:lvlJc w:val="left"/>
      <w:lvlText w:val="(%1)"/>
      <w:numFmt w:val="lowerLetter"/>
      <w:start w:val="35"/>
    </w:lvl>
    <w:lvl w:ilvl="1">
      <w:lvlJc w:val="left"/>
      <w:lvlText w:val="(%2)"/>
      <w:numFmt w:val="lowerLetter"/>
      <w:start w:val="2"/>
    </w:lvl>
  </w:abstractNum>
  <w:abstractNum w:abstractNumId="51">
    <w:nsid w:val="57FC4FBB"/>
    <w:multiLevelType w:val="hybridMultilevel"/>
    <w:lvl w:ilvl="0">
      <w:lvlJc w:val="left"/>
      <w:lvlText w:val="(%1)"/>
      <w:numFmt w:val="lowerLetter"/>
      <w:start w:val="3"/>
    </w:lvl>
  </w:abstractNum>
  <w:abstractNum w:abstractNumId="52">
    <w:nsid w:val="CC1016F"/>
    <w:multiLevelType w:val="hybridMultilevel"/>
    <w:lvl w:ilvl="0">
      <w:lvlJc w:val="left"/>
      <w:lvlText w:val="(%1)"/>
      <w:numFmt w:val="lowerRoman"/>
      <w:start w:val="1"/>
    </w:lvl>
  </w:abstractNum>
  <w:abstractNum w:abstractNumId="53">
    <w:nsid w:val="43F18422"/>
    <w:multiLevelType w:val="hybridMultilevel"/>
    <w:lvl w:ilvl="0">
      <w:lvlJc w:val="left"/>
      <w:lvlText w:val="(%1)"/>
      <w:numFmt w:val="lowerRoman"/>
      <w:start w:val="3"/>
    </w:lvl>
  </w:abstractNum>
  <w:abstractNum w:abstractNumId="54">
    <w:nsid w:val="60EF0119"/>
    <w:multiLevelType w:val="hybridMultilevel"/>
    <w:lvl w:ilvl="0">
      <w:lvlJc w:val="left"/>
      <w:lvlText w:val="%1"/>
      <w:numFmt w:val="lowerLetter"/>
      <w:start w:val="1"/>
    </w:lvl>
    <w:lvl w:ilvl="1">
      <w:lvlJc w:val="left"/>
      <w:lvlText w:val="(%2)"/>
      <w:numFmt w:val="lowerRoman"/>
      <w:start w:val="10"/>
    </w:lvl>
  </w:abstractNum>
  <w:abstractNum w:abstractNumId="55">
    <w:nsid w:val="26F324BA"/>
    <w:multiLevelType w:val="hybridMultilevel"/>
    <w:lvl w:ilvl="0">
      <w:lvlJc w:val="left"/>
      <w:lvlText w:val="(%1)"/>
      <w:numFmt w:val="lowerLetter"/>
      <w:start w:val="2"/>
    </w:lvl>
    <w:lvl w:ilvl="1">
      <w:lvlJc w:val="left"/>
      <w:lvlText w:val="%2"/>
      <w:numFmt w:val="lowerRoman"/>
      <w:start w:val="1"/>
    </w:lvl>
  </w:abstractNum>
  <w:abstractNum w:abstractNumId="56">
    <w:nsid w:val="7F01579B"/>
    <w:multiLevelType w:val="hybridMultilevel"/>
    <w:lvl w:ilvl="0">
      <w:lvlJc w:val="left"/>
      <w:lvlText w:val="(%1)"/>
      <w:numFmt w:val="lowerLetter"/>
      <w:start w:val="1"/>
    </w:lvl>
  </w:abstractNum>
  <w:abstractNum w:abstractNumId="57">
    <w:nsid w:val="49DA307D"/>
    <w:multiLevelType w:val="hybridMultilevel"/>
    <w:lvl w:ilvl="0">
      <w:lvlJc w:val="left"/>
      <w:lvlText w:val="(%1)"/>
      <w:numFmt w:val="lowerLetter"/>
      <w:start w:val="1"/>
    </w:lvl>
  </w:abstractNum>
  <w:abstractNum w:abstractNumId="58">
    <w:nsid w:val="7055A5F5"/>
    <w:multiLevelType w:val="hybridMultilevel"/>
    <w:lvl w:ilvl="0">
      <w:lvlJc w:val="left"/>
      <w:lvlText w:val="(%1)"/>
      <w:numFmt w:val="lowerLetter"/>
      <w:start w:val="3"/>
    </w:lvl>
  </w:abstractNum>
  <w:abstractNum w:abstractNumId="59">
    <w:nsid w:val="5FB8370B"/>
    <w:multiLevelType w:val="hybridMultilevel"/>
    <w:lvl w:ilvl="0">
      <w:lvlJc w:val="left"/>
      <w:lvlText w:val="(%1)"/>
      <w:numFmt w:val="lowerLetter"/>
      <w:start w:val="1"/>
    </w:lvl>
  </w:abstractNum>
  <w:abstractNum w:abstractNumId="60">
    <w:nsid w:val="50801EE1"/>
    <w:multiLevelType w:val="hybridMultilevel"/>
    <w:lvl w:ilvl="0">
      <w:lvlJc w:val="left"/>
      <w:lvlText w:val="(%1)"/>
      <w:numFmt w:val="lowerLetter"/>
      <w:start w:val="4"/>
    </w:lvl>
  </w:abstractNum>
  <w:abstractNum w:abstractNumId="61">
    <w:nsid w:val="488AC1A"/>
    <w:multiLevelType w:val="hybridMultilevel"/>
    <w:lvl w:ilvl="0">
      <w:lvlJc w:val="left"/>
      <w:lvlText w:val="(%1)"/>
      <w:numFmt w:val="lowerLetter"/>
      <w:start w:val="1"/>
    </w:lvl>
  </w:abstractNum>
  <w:abstractNum w:abstractNumId="62">
    <w:nsid w:val="5FB8011C"/>
    <w:multiLevelType w:val="hybridMultilevel"/>
    <w:lvl w:ilvl="0">
      <w:lvlJc w:val="left"/>
      <w:lvlText w:val="(%1)"/>
      <w:numFmt w:val="lowerLetter"/>
      <w:start w:val="4"/>
    </w:lvl>
  </w:abstractNum>
  <w:abstractNum w:abstractNumId="63">
    <w:nsid w:val="6AA78F7F"/>
    <w:multiLevelType w:val="hybridMultilevel"/>
    <w:lvl w:ilvl="0">
      <w:lvlJc w:val="left"/>
      <w:lvlText w:val="(%1)"/>
      <w:numFmt w:val="lowerLetter"/>
      <w:start w:val="1"/>
    </w:lvl>
  </w:abstractNum>
  <w:abstractNum w:abstractNumId="64">
    <w:nsid w:val="7672BD23"/>
    <w:multiLevelType w:val="hybridMultilevel"/>
    <w:lvl w:ilvl="0">
      <w:lvlJc w:val="left"/>
      <w:lvlText w:val="%1"/>
      <w:numFmt w:val="lowerLetter"/>
      <w:start w:val="1"/>
    </w:lvl>
    <w:lvl w:ilvl="1">
      <w:lvlJc w:val="left"/>
      <w:lvlText w:val="(%2)"/>
      <w:numFmt w:val="lowerLetter"/>
      <w:start w:val="4"/>
    </w:lvl>
  </w:abstractNum>
  <w:abstractNum w:abstractNumId="65">
    <w:nsid w:val="6FC75AF8"/>
    <w:multiLevelType w:val="hybridMultilevel"/>
    <w:lvl w:ilvl="0">
      <w:lvlJc w:val="left"/>
      <w:lvlText w:val="(%1)"/>
      <w:numFmt w:val="lowerLetter"/>
      <w:start w:val="35"/>
    </w:lvl>
    <w:lvl w:ilvl="1">
      <w:lvlJc w:val="left"/>
      <w:lvlText w:val="%2"/>
      <w:numFmt w:val="lowerLetter"/>
      <w:start w:val="1"/>
    </w:lvl>
  </w:abstractNum>
  <w:abstractNum w:abstractNumId="66">
    <w:nsid w:val="6A5F7029"/>
    <w:multiLevelType w:val="hybridMultilevel"/>
    <w:lvl w:ilvl="0">
      <w:lvlJc w:val="left"/>
      <w:lvlText w:val="(%1)"/>
      <w:numFmt w:val="lowerLetter"/>
      <w:start w:val="11"/>
    </w:lvl>
  </w:abstractNum>
  <w:abstractNum w:abstractNumId="67">
    <w:nsid w:val="7D5E18F8"/>
    <w:multiLevelType w:val="hybridMultilevel"/>
    <w:lvl w:ilvl="0">
      <w:lvlJc w:val="left"/>
      <w:lvlText w:val="(%1)"/>
      <w:numFmt w:val="lowerLetter"/>
      <w:start w:val="17"/>
    </w:lvl>
  </w:abstractNum>
  <w:abstractNum w:abstractNumId="68">
    <w:nsid w:val="5F3534A4"/>
    <w:multiLevelType w:val="hybridMultilevel"/>
    <w:lvl w:ilvl="0">
      <w:lvlJc w:val="left"/>
      <w:lvlText w:val="(%1)"/>
      <w:numFmt w:val="lowerLetter"/>
      <w:start w:val="22"/>
    </w:lvl>
  </w:abstractNum>
  <w:abstractNum w:abstractNumId="69">
    <w:nsid w:val="73A1821B"/>
    <w:multiLevelType w:val="hybridMultilevel"/>
    <w:lvl w:ilvl="0">
      <w:lvlJc w:val="left"/>
      <w:lvlText w:val="(%1)"/>
      <w:numFmt w:val="lowerLetter"/>
      <w:start w:val="1"/>
    </w:lvl>
  </w:abstractNum>
  <w:abstractNum w:abstractNumId="70">
    <w:nsid w:val="7DE67713"/>
    <w:multiLevelType w:val="hybridMultilevel"/>
    <w:lvl w:ilvl="0">
      <w:lvlJc w:val="left"/>
      <w:lvlText w:val="%1"/>
      <w:numFmt w:val="lowerLetter"/>
      <w:start w:val="1"/>
    </w:lvl>
    <w:lvl w:ilvl="1">
      <w:lvlJc w:val="left"/>
      <w:lvlText w:val="(%2)"/>
      <w:numFmt w:val="lowerLetter"/>
      <w:start w:val="3"/>
    </w:lvl>
  </w:abstractNum>
  <w:abstractNum w:abstractNumId="71">
    <w:nsid w:val="555C55B5"/>
    <w:multiLevelType w:val="hybridMultilevel"/>
    <w:lvl w:ilvl="0">
      <w:lvlJc w:val="left"/>
      <w:lvlText w:val="(%1)"/>
      <w:numFmt w:val="lowerLetter"/>
      <w:start w:val="35"/>
    </w:lvl>
    <w:lvl w:ilvl="1">
      <w:lvlJc w:val="left"/>
      <w:lvlText w:val="%2"/>
      <w:numFmt w:val="lowerLetter"/>
      <w:start w:val="1"/>
    </w:lvl>
  </w:abstractNum>
  <w:abstractNum w:abstractNumId="72">
    <w:nsid w:val="3FA62ACA"/>
    <w:multiLevelType w:val="hybridMultilevel"/>
    <w:lvl w:ilvl="0">
      <w:lvlJc w:val="left"/>
      <w:lvlText w:val="%1"/>
      <w:numFmt w:val="lowerLetter"/>
      <w:start w:val="1"/>
    </w:lvl>
    <w:lvl w:ilvl="1">
      <w:lvlJc w:val="left"/>
      <w:lvlText w:val="(%2)"/>
      <w:numFmt w:val="lowerLetter"/>
      <w:start w:val="4"/>
    </w:lvl>
  </w:abstractNum>
  <w:abstractNum w:abstractNumId="73">
    <w:nsid w:val="14FCE74E"/>
    <w:multiLevelType w:val="hybridMultilevel"/>
    <w:lvl w:ilvl="0">
      <w:lvlJc w:val="left"/>
      <w:lvlText w:val="(%1)"/>
      <w:numFmt w:val="lowerLetter"/>
      <w:start w:val="35"/>
    </w:lvl>
    <w:lvl w:ilvl="1">
      <w:lvlJc w:val="left"/>
      <w:lvlText w:val="%2"/>
      <w:numFmt w:val="lowerLetter"/>
      <w:start w:val="1"/>
    </w:lvl>
  </w:abstractNum>
  <w:abstractNum w:abstractNumId="74">
    <w:nsid w:val="6A3DD3E8"/>
    <w:multiLevelType w:val="hybridMultilevel"/>
    <w:lvl w:ilvl="0">
      <w:lvlJc w:val="left"/>
      <w:lvlText w:val="(%1)"/>
      <w:numFmt w:val="lowerLetter"/>
      <w:start w:val="1"/>
    </w:lvl>
  </w:abstractNum>
  <w:abstractNum w:abstractNumId="75">
    <w:nsid w:val="71C91298"/>
    <w:multiLevelType w:val="hybridMultilevel"/>
    <w:lvl w:ilvl="0">
      <w:lvlJc w:val="left"/>
      <w:lvlText w:val="(%1)"/>
      <w:numFmt w:val="lowerLetter"/>
      <w:start w:val="1"/>
    </w:lvl>
  </w:abstractNum>
  <w:abstractNum w:abstractNumId="76">
    <w:nsid w:val="9DAF632"/>
    <w:multiLevelType w:val="hybridMultilevel"/>
    <w:lvl w:ilvl="0">
      <w:lvlJc w:val="left"/>
      <w:lvlText w:val="%1"/>
      <w:numFmt w:val="lowerLetter"/>
      <w:start w:val="1"/>
    </w:lvl>
    <w:lvl w:ilvl="1">
      <w:lvlJc w:val="left"/>
      <w:lvlText w:val="(%2)"/>
      <w:numFmt w:val="lowerLetter"/>
      <w:start w:val="2"/>
    </w:lvl>
  </w:abstractNum>
  <w:abstractNum w:abstractNumId="77">
    <w:nsid w:val="53299938"/>
    <w:multiLevelType w:val="hybridMultilevel"/>
    <w:lvl w:ilvl="0">
      <w:lvlJc w:val="left"/>
      <w:lvlText w:val="(%1)"/>
      <w:numFmt w:val="lowerLetter"/>
      <w:start w:val="35"/>
    </w:lvl>
    <w:lvl w:ilvl="1">
      <w:lvlJc w:val="left"/>
      <w:lvlText w:val="(%2)"/>
      <w:numFmt w:val="lowerLetter"/>
      <w:start w:val="3"/>
    </w:lvl>
  </w:abstractNum>
  <w:abstractNum w:abstractNumId="78">
    <w:nsid w:val="1FBFE8E0"/>
    <w:multiLevelType w:val="hybridMultilevel"/>
    <w:lvl w:ilvl="0">
      <w:lvlJc w:val="left"/>
      <w:lvlText w:val="(%1)"/>
      <w:numFmt w:val="lowerLetter"/>
      <w:start w:val="4"/>
    </w:lvl>
    <w:lvl w:ilvl="1">
      <w:lvlJc w:val="left"/>
      <w:lvlText w:val="(%2)"/>
      <w:numFmt w:val="lowerRoman"/>
      <w:start w:val="1"/>
    </w:lvl>
  </w:abstractNum>
  <w:abstractNum w:abstractNumId="79">
    <w:nsid w:val="5092CA79"/>
    <w:multiLevelType w:val="hybridMultilevel"/>
    <w:lvl w:ilvl="0">
      <w:lvlJc w:val="left"/>
      <w:lvlText w:val="%1"/>
      <w:numFmt w:val="lowerRoman"/>
      <w:start w:val="1"/>
    </w:lvl>
    <w:lvl w:ilvl="1">
      <w:lvlJc w:val="left"/>
      <w:lvlText w:val="(%2)"/>
      <w:numFmt w:val="lowerLetter"/>
      <w:start w:val="6"/>
    </w:lvl>
  </w:abstractNum>
  <w:abstractNum w:abstractNumId="80">
    <w:nsid w:val="1D545C4D"/>
    <w:multiLevelType w:val="hybridMultilevel"/>
    <w:lvl w:ilvl="0">
      <w:lvlJc w:val="left"/>
      <w:lvlText w:val="(%1)"/>
      <w:numFmt w:val="lowerRoman"/>
      <w:start w:val="1"/>
    </w:lvl>
    <w:lvl w:ilvl="1">
      <w:lvlJc w:val="left"/>
      <w:lvlText w:val="(%2)"/>
      <w:numFmt w:val="lowerLetter"/>
      <w:start w:val="8"/>
    </w:lvl>
  </w:abstractNum>
  <w:abstractNum w:abstractNumId="81">
    <w:nsid w:val="59ADEA3D"/>
    <w:multiLevelType w:val="hybridMultilevel"/>
    <w:lvl w:ilvl="0">
      <w:lvlJc w:val="left"/>
      <w:lvlText w:val="%1"/>
      <w:numFmt w:val="lowerLetter"/>
      <w:start w:val="1"/>
    </w:lvl>
    <w:lvl w:ilvl="1">
      <w:lvlJc w:val="left"/>
      <w:lvlText w:val="(%2)"/>
      <w:numFmt w:val="lowerLetter"/>
      <w:start w:val="1"/>
    </w:lvl>
  </w:abstractNum>
  <w:abstractNum w:abstractNumId="82">
    <w:nsid w:val="288F1A34"/>
    <w:multiLevelType w:val="hybridMultilevel"/>
    <w:lvl w:ilvl="0">
      <w:lvlJc w:val="left"/>
      <w:lvlText w:val="(%1)"/>
      <w:numFmt w:val="lowerLetter"/>
      <w:start w:val="25"/>
    </w:lvl>
    <w:lvl w:ilvl="1">
      <w:lvlJc w:val="left"/>
      <w:lvlText w:val="%2"/>
      <w:numFmt w:val="lowerLetter"/>
      <w:start w:val="1"/>
    </w:lvl>
  </w:abstractNum>
  <w:abstractNum w:abstractNumId="83">
    <w:nsid w:val="2A155DBC"/>
    <w:multiLevelType w:val="hybridMultilevel"/>
    <w:lvl w:ilvl="0">
      <w:lvlJc w:val="left"/>
      <w:lvlText w:val="(%1)"/>
      <w:numFmt w:val="lowerLetter"/>
      <w:start w:val="2"/>
    </w:lvl>
  </w:abstractNum>
  <w:abstractNum w:abstractNumId="84">
    <w:nsid w:val="1D9F6E5F"/>
    <w:multiLevelType w:val="hybridMultilevel"/>
    <w:lvl w:ilvl="0">
      <w:lvlJc w:val="left"/>
      <w:lvlText w:val="(%1)"/>
      <w:numFmt w:val="lowerLetter"/>
      <w:start w:val="1"/>
    </w:lvl>
  </w:abstractNum>
  <w:abstractNum w:abstractNumId="85">
    <w:nsid w:val="97E1B4E"/>
    <w:multiLevelType w:val="hybridMultilevel"/>
    <w:lvl w:ilvl="0">
      <w:lvlJc w:val="left"/>
      <w:lvlText w:val="(%1)"/>
      <w:numFmt w:val="lowerLetter"/>
      <w:start w:val="1"/>
    </w:lvl>
  </w:abstractNum>
  <w:abstractNum w:abstractNumId="86">
    <w:nsid w:val="51088277"/>
    <w:multiLevelType w:val="hybridMultilevel"/>
    <w:lvl w:ilvl="0">
      <w:lvlJc w:val="left"/>
      <w:lvlText w:val="(%1)"/>
      <w:numFmt w:val="lowerLetter"/>
      <w:start w:val="3"/>
    </w:lvl>
  </w:abstractNum>
  <w:abstractNum w:abstractNumId="87">
    <w:nsid w:val="1CA0C5FA"/>
    <w:multiLevelType w:val="hybridMultilevel"/>
    <w:lvl w:ilvl="0">
      <w:lvlJc w:val="left"/>
      <w:lvlText w:val="(%1)"/>
      <w:numFmt w:val="lowerLetter"/>
      <w:start w:val="1"/>
    </w:lvl>
  </w:abstractNum>
  <w:abstractNum w:abstractNumId="88">
    <w:nsid w:val="53584BCB"/>
    <w:multiLevelType w:val="hybridMultilevel"/>
    <w:lvl w:ilvl="0">
      <w:lvlJc w:val="left"/>
      <w:lvlText w:val="(%1)"/>
      <w:numFmt w:val="lowerLetter"/>
      <w:start w:val="3"/>
    </w:lvl>
  </w:abstractNum>
  <w:abstractNum w:abstractNumId="89">
    <w:nsid w:val="415E286C"/>
    <w:multiLevelType w:val="hybridMultilevel"/>
    <w:lvl w:ilvl="0">
      <w:lvlJc w:val="left"/>
      <w:lvlText w:val="(%1)"/>
      <w:numFmt w:val="lowerLetter"/>
      <w:start w:val="1"/>
    </w:lvl>
  </w:abstractNum>
  <w:abstractNum w:abstractNumId="90">
    <w:nsid w:val="7C58FD05"/>
    <w:multiLevelType w:val="hybridMultilevel"/>
    <w:lvl w:ilvl="0">
      <w:lvlJc w:val="left"/>
      <w:lvlText w:val="(%1)"/>
      <w:numFmt w:val="lowerLetter"/>
      <w:start w:val="1"/>
    </w:lvl>
  </w:abstractNum>
  <w:abstractNum w:abstractNumId="91">
    <w:nsid w:val="23D86AAC"/>
    <w:multiLevelType w:val="hybridMultilevel"/>
    <w:lvl w:ilvl="0">
      <w:lvlJc w:val="left"/>
      <w:lvlText w:val="(%1)"/>
      <w:numFmt w:val="lowerLetter"/>
      <w:start w:val="2"/>
    </w:lvl>
  </w:abstractNum>
  <w:abstractNum w:abstractNumId="92">
    <w:nsid w:val="45E6D486"/>
    <w:multiLevelType w:val="hybridMultilevel"/>
    <w:lvl w:ilvl="0">
      <w:lvlJc w:val="left"/>
      <w:lvlText w:val="(%1)"/>
      <w:numFmt w:val="lowerLetter"/>
      <w:start w:val="1"/>
    </w:lvl>
  </w:abstractNum>
  <w:abstractNum w:abstractNumId="93">
    <w:nsid w:val="5C10FE21"/>
    <w:multiLevelType w:val="hybridMultilevel"/>
    <w:lvl w:ilvl="0">
      <w:lvlJc w:val="left"/>
      <w:lvlText w:val="(%1)"/>
      <w:numFmt w:val="lowerLetter"/>
      <w:start w:val="2"/>
    </w:lvl>
  </w:abstractNum>
  <w:abstractNum w:abstractNumId="94">
    <w:nsid w:val="E7FFA2B"/>
    <w:multiLevelType w:val="hybridMultilevel"/>
    <w:lvl w:ilvl="0">
      <w:lvlJc w:val="left"/>
      <w:lvlText w:val="(%1)"/>
      <w:numFmt w:val="lowerLetter"/>
      <w:start w:val="1"/>
    </w:lvl>
  </w:abstractNum>
  <w:abstractNum w:abstractNumId="95">
    <w:nsid w:val="3C5991AA"/>
    <w:multiLevelType w:val="hybridMultilevel"/>
    <w:lvl w:ilvl="0">
      <w:lvlJc w:val="left"/>
      <w:lvlText w:val="(%1)"/>
      <w:numFmt w:val="lowerLetter"/>
      <w:start w:val="6"/>
    </w:lvl>
  </w:abstractNum>
  <w:abstractNum w:abstractNumId="96">
    <w:nsid w:val="4BD8591A"/>
    <w:multiLevelType w:val="hybridMultilevel"/>
    <w:lvl w:ilvl="0">
      <w:lvlJc w:val="left"/>
      <w:lvlText w:val="(%1)"/>
      <w:numFmt w:val="lowerLetter"/>
      <w:start w:val="1"/>
    </w:lvl>
  </w:abstractNum>
  <w:abstractNum w:abstractNumId="97">
    <w:nsid w:val="78DF6A55"/>
    <w:multiLevelType w:val="hybridMultilevel"/>
    <w:lvl w:ilvl="0">
      <w:lvlJc w:val="left"/>
      <w:lvlText w:val="(%1)"/>
      <w:numFmt w:val="lowerLetter"/>
      <w:start w:val="4"/>
    </w:lvl>
  </w:abstractNum>
  <w:abstractNum w:abstractNumId="98">
    <w:nsid w:val="39B7AAA2"/>
    <w:multiLevelType w:val="hybridMultilevel"/>
    <w:lvl w:ilvl="0">
      <w:lvlJc w:val="left"/>
      <w:lvlText w:val="(%1)"/>
      <w:numFmt w:val="lowerLetter"/>
      <w:start w:val="7"/>
    </w:lvl>
  </w:abstractNum>
  <w:abstractNum w:abstractNumId="99">
    <w:nsid w:val="2B0D8DBE"/>
    <w:multiLevelType w:val="hybridMultilevel"/>
    <w:lvl w:ilvl="0">
      <w:lvlJc w:val="left"/>
      <w:lvlText w:val="(%1)"/>
      <w:numFmt w:val="lowerRoman"/>
      <w:start w:val="2"/>
    </w:lvl>
  </w:abstractNum>
  <w:abstractNum w:abstractNumId="100">
    <w:nsid w:val="6C80EC70"/>
    <w:multiLevelType w:val="hybridMultilevel"/>
    <w:lvl w:ilvl="0">
      <w:lvlJc w:val="left"/>
      <w:lvlText w:val="(%1)"/>
      <w:numFmt w:val="lowerLetter"/>
      <w:start w:val="6"/>
    </w:lvl>
  </w:abstractNum>
  <w:abstractNum w:abstractNumId="101">
    <w:nsid w:val="379E21B5"/>
    <w:multiLevelType w:val="hybridMultilevel"/>
    <w:lvl w:ilvl="0">
      <w:lvlJc w:val="left"/>
      <w:lvlText w:val="(%1)"/>
      <w:numFmt w:val="lowerLetter"/>
      <w:start w:val="2"/>
    </w:lvl>
  </w:abstractNum>
  <w:abstractNum w:abstractNumId="102">
    <w:nsid w:val="69E373"/>
    <w:multiLevelType w:val="hybridMultilevel"/>
    <w:lvl w:ilvl="0">
      <w:lvlJc w:val="left"/>
      <w:lvlText w:val="(%1)"/>
      <w:numFmt w:val="lowerLetter"/>
      <w:start w:val="2"/>
    </w:lvl>
  </w:abstractNum>
  <w:abstractNum w:abstractNumId="103">
    <w:nsid w:val="2C27173B"/>
    <w:multiLevelType w:val="hybridMultilevel"/>
    <w:lvl w:ilvl="0">
      <w:lvlJc w:val="left"/>
      <w:lvlText w:val="(%1)"/>
      <w:numFmt w:val="lowerLetter"/>
      <w:start w:val="1"/>
    </w:lvl>
  </w:abstractNum>
  <w:abstractNum w:abstractNumId="104">
    <w:nsid w:val="4C9B0904"/>
    <w:multiLevelType w:val="hybridMultilevel"/>
    <w:lvl w:ilvl="0">
      <w:lvlJc w:val="left"/>
      <w:lvlText w:val="%1"/>
      <w:numFmt w:val="upperLetter"/>
      <w:start w:val="1"/>
    </w:lvl>
    <w:lvl w:ilvl="1">
      <w:lvlJc w:val="left"/>
      <w:lvlText w:val="(%2)"/>
      <w:numFmt w:val="lowerLetter"/>
      <w:start w:val="2"/>
    </w:lvl>
  </w:abstractNum>
  <w:abstractNum w:abstractNumId="105">
    <w:nsid w:val="6AA7B75C"/>
    <w:multiLevelType w:val="hybridMultilevel"/>
    <w:lvl w:ilvl="0">
      <w:lvlJc w:val="left"/>
      <w:lvlText w:val="(%1)"/>
      <w:numFmt w:val="upperLetter"/>
      <w:start w:val="9"/>
    </w:lvl>
    <w:lvl w:ilvl="1">
      <w:lvlJc w:val="left"/>
      <w:lvlText w:val="%2"/>
      <w:numFmt w:val="lowerLetter"/>
      <w:start w:val="1"/>
    </w:lvl>
  </w:abstractNum>
  <w:abstractNum w:abstractNumId="106">
    <w:nsid w:val="1DF029D3"/>
    <w:multiLevelType w:val="hybridMultilevel"/>
    <w:lvl w:ilvl="0">
      <w:lvlJc w:val="left"/>
      <w:lvlText w:val="(%1)"/>
      <w:numFmt w:val="lowerLetter"/>
      <w:start w:val="2"/>
    </w:lvl>
  </w:abstractNum>
  <w:abstractNum w:abstractNumId="107">
    <w:nsid w:val="5675FF36"/>
    <w:multiLevelType w:val="hybridMultilevel"/>
    <w:lvl w:ilvl="0">
      <w:lvlJc w:val="left"/>
      <w:lvlText w:val="(%1)"/>
      <w:numFmt w:val="lowerLetter"/>
      <w:start w:val="1"/>
    </w:lvl>
  </w:abstractNum>
  <w:abstractNum w:abstractNumId="108">
    <w:nsid w:val="3DD15094"/>
    <w:multiLevelType w:val="hybridMultilevel"/>
    <w:lvl w:ilvl="0">
      <w:lvlJc w:val="left"/>
      <w:lvlText w:val="(%1)"/>
      <w:numFmt w:val="lowerLetter"/>
      <w:start w:val="1"/>
    </w:lvl>
  </w:abstractNum>
  <w:abstractNum w:abstractNumId="109">
    <w:nsid w:val="3DB012B3"/>
    <w:multiLevelType w:val="hybridMultilevel"/>
    <w:lvl w:ilvl="0">
      <w:lvlJc w:val="left"/>
      <w:lvlText w:val="(%1)"/>
      <w:numFmt w:val="lowerLetter"/>
      <w:start w:val="1"/>
    </w:lvl>
  </w:abstractNum>
  <w:abstractNum w:abstractNumId="110">
    <w:nsid w:val="2708C9AF"/>
    <w:multiLevelType w:val="hybridMultilevel"/>
    <w:lvl w:ilvl="0">
      <w:lvlJc w:val="left"/>
      <w:lvlText w:val="(%1)"/>
      <w:numFmt w:val="lowerLetter"/>
      <w:start w:val="1"/>
    </w:lvl>
  </w:abstractNum>
  <w:abstractNum w:abstractNumId="111">
    <w:nsid w:val="5B25ACE2"/>
    <w:multiLevelType w:val="hybridMultilevel"/>
    <w:lvl w:ilvl="0">
      <w:lvlJc w:val="left"/>
      <w:lvlText w:val="(%1)"/>
      <w:numFmt w:val="lowerLetter"/>
      <w:start w:val="1"/>
    </w:lvl>
  </w:abstractNum>
  <w:abstractNum w:abstractNumId="112">
    <w:nsid w:val="175DFCF0"/>
    <w:multiLevelType w:val="hybridMultilevel"/>
    <w:lvl w:ilvl="0">
      <w:lvlJc w:val="left"/>
      <w:lvlText w:val="(%1)"/>
      <w:numFmt w:val="lowerLetter"/>
      <w:start w:val="3"/>
    </w:lvl>
  </w:abstractNum>
  <w:abstractNum w:abstractNumId="113">
    <w:nsid w:val="4F97E3E4"/>
    <w:multiLevelType w:val="hybridMultilevel"/>
    <w:lvl w:ilvl="0">
      <w:lvlJc w:val="left"/>
      <w:lvlText w:val="(%1)"/>
      <w:numFmt w:val="lowerLetter"/>
      <w:start w:val="1"/>
    </w:lvl>
  </w:abstractNum>
  <w:abstractNum w:abstractNumId="114">
    <w:nsid w:val="53B0A9E"/>
    <w:multiLevelType w:val="hybridMultilevel"/>
    <w:lvl w:ilvl="0">
      <w:lvlJc w:val="left"/>
      <w:lvlText w:val="(%1)"/>
      <w:numFmt w:val="lowerLetter"/>
      <w:start w:val="6"/>
    </w:lvl>
  </w:abstractNum>
  <w:abstractNum w:abstractNumId="115">
    <w:nsid w:val="34FD6B4F"/>
    <w:multiLevelType w:val="hybridMultilevel"/>
    <w:lvl w:ilvl="0">
      <w:lvlJc w:val="left"/>
      <w:lvlText w:val="(%1)"/>
      <w:numFmt w:val="lowerLetter"/>
      <w:start w:val="1"/>
    </w:lvl>
  </w:abstractNum>
  <w:abstractNum w:abstractNumId="116">
    <w:nsid w:val="5915FF32"/>
    <w:multiLevelType w:val="hybridMultilevel"/>
    <w:lvl w:ilvl="0">
      <w:lvlJc w:val="left"/>
      <w:lvlText w:val="(%1)"/>
      <w:numFmt w:val="lowerLetter"/>
      <w:start w:val="1"/>
    </w:lvl>
    <w:lvl w:ilvl="1">
      <w:lvlJc w:val="left"/>
      <w:lvlText w:val="(%2)"/>
      <w:numFmt w:val="lowerLetter"/>
      <w:start w:val="35"/>
    </w:lvl>
  </w:abstractNum>
  <w:abstractNum w:abstractNumId="117">
    <w:nsid w:val="56438D15"/>
    <w:multiLevelType w:val="hybridMultilevel"/>
    <w:lvl w:ilvl="0">
      <w:lvlJc w:val="left"/>
      <w:lvlText w:val="(%1)"/>
      <w:numFmt w:val="lowerLetter"/>
      <w:start w:val="1"/>
    </w:lvl>
  </w:abstractNum>
  <w:abstractNum w:abstractNumId="118">
    <w:nsid w:val="519E3149"/>
    <w:multiLevelType w:val="hybridMultilevel"/>
    <w:lvl w:ilvl="0">
      <w:lvlJc w:val="left"/>
      <w:lvlText w:val="(%1)"/>
      <w:numFmt w:val="lowerLetter"/>
      <w:start w:val="1"/>
    </w:lvl>
  </w:abstractNum>
  <w:abstractNum w:abstractNumId="119">
    <w:nsid w:val="2C6E4AFD"/>
    <w:multiLevelType w:val="hybridMultilevel"/>
    <w:lvl w:ilvl="0">
      <w:lvlJc w:val="left"/>
      <w:lvlText w:val="(%1)"/>
      <w:numFmt w:val="lowerLetter"/>
      <w:start w:val="1"/>
    </w:lvl>
  </w:abstractNum>
  <w:abstractNum w:abstractNumId="120">
    <w:nsid w:val="17A1B582"/>
    <w:multiLevelType w:val="hybridMultilevel"/>
    <w:lvl w:ilvl="0">
      <w:lvlJc w:val="left"/>
      <w:lvlText w:val="(%1)"/>
      <w:numFmt w:val="lowerLetter"/>
      <w:start w:val="1"/>
    </w:lvl>
  </w:abstractNum>
  <w:abstractNum w:abstractNumId="121">
    <w:nsid w:val="4DF72E4E"/>
    <w:multiLevelType w:val="hybridMultilevel"/>
    <w:lvl w:ilvl="0">
      <w:lvlJc w:val="left"/>
      <w:lvlText w:val="(%1)"/>
      <w:numFmt w:val="lowerLetter"/>
      <w:start w:val="2"/>
    </w:lvl>
  </w:abstractNum>
  <w:abstractNum w:abstractNumId="122">
    <w:nsid w:val="5046B5A9"/>
    <w:multiLevelType w:val="hybridMultilevel"/>
    <w:lvl w:ilvl="0">
      <w:lvlJc w:val="left"/>
      <w:lvlText w:val="(%1)"/>
      <w:numFmt w:val="lowerLetter"/>
      <w:start w:val="1"/>
    </w:lvl>
  </w:abstractNum>
  <w:abstractNum w:abstractNumId="123">
    <w:nsid w:val="5D888A08"/>
    <w:multiLevelType w:val="hybridMultilevel"/>
    <w:lvl w:ilvl="0">
      <w:lvlJc w:val="left"/>
      <w:lvlText w:val="(%1)"/>
      <w:numFmt w:val="lowerLetter"/>
      <w:start w:val="4"/>
    </w:lvl>
  </w:abstractNum>
  <w:abstractNum w:abstractNumId="124">
    <w:nsid w:val="2A082C70"/>
    <w:multiLevelType w:val="hybridMultilevel"/>
    <w:lvl w:ilvl="0">
      <w:lvlJc w:val="left"/>
      <w:lvlText w:val="(%1)"/>
      <w:numFmt w:val="lowerLetter"/>
      <w:start w:val="10"/>
    </w:lvl>
  </w:abstractNum>
  <w:abstractNum w:abstractNumId="125">
    <w:nsid w:val="5EC6AFD4"/>
    <w:multiLevelType w:val="hybridMultilevel"/>
    <w:lvl w:ilvl="0">
      <w:lvlJc w:val="left"/>
      <w:lvlText w:val="(%1)"/>
      <w:numFmt w:val="lowerLetter"/>
      <w:start w:val="1"/>
    </w:lvl>
  </w:abstractNum>
  <w:abstractNum w:abstractNumId="126">
    <w:nsid w:val="19E21BB2"/>
    <w:multiLevelType w:val="hybridMultilevel"/>
    <w:lvl w:ilvl="0">
      <w:lvlJc w:val="left"/>
      <w:lvlText w:val="%1"/>
      <w:numFmt w:val="lowerLetter"/>
      <w:start w:val="1"/>
    </w:lvl>
    <w:lvl w:ilvl="1">
      <w:lvlJc w:val="left"/>
      <w:lvlText w:val="(%2)"/>
      <w:numFmt w:val="lowerLetter"/>
      <w:start w:val="1"/>
    </w:lvl>
  </w:abstractNum>
  <w:abstractNum w:abstractNumId="127">
    <w:nsid w:val="75E0858A"/>
    <w:multiLevelType w:val="hybridMultilevel"/>
    <w:lvl w:ilvl="0">
      <w:lvlJc w:val="left"/>
      <w:lvlText w:val="(%1)"/>
      <w:numFmt w:val="lowerLetter"/>
      <w:start w:val="35"/>
    </w:lvl>
    <w:lvl w:ilvl="1">
      <w:lvlJc w:val="left"/>
      <w:lvlText w:val="(%2)"/>
      <w:numFmt w:val="lowerLetter"/>
      <w:start w:val="2"/>
    </w:lvl>
  </w:abstractNum>
  <w:abstractNum w:abstractNumId="128">
    <w:nsid w:val="57A61A29"/>
    <w:multiLevelType w:val="hybridMultilevel"/>
    <w:lvl w:ilvl="0">
      <w:lvlJc w:val="left"/>
      <w:lvlText w:val="(%1)"/>
      <w:numFmt w:val="lowerLetter"/>
      <w:start w:val="3"/>
    </w:lvl>
  </w:abstractNum>
  <w:abstractNum w:abstractNumId="129">
    <w:nsid w:val="5399C654"/>
    <w:multiLevelType w:val="hybridMultilevel"/>
    <w:lvl w:ilvl="0">
      <w:lvlJc w:val="left"/>
      <w:lvlText w:val="●"/>
      <w:numFmt w:val="bullet"/>
      <w:start w:val="1"/>
    </w:lvl>
  </w:abstractNum>
  <w:abstractNum w:abstractNumId="130">
    <w:nsid w:val="20EE1348"/>
    <w:multiLevelType w:val="hybridMultilevel"/>
    <w:lvl w:ilvl="0">
      <w:lvlJc w:val="left"/>
      <w:lvlText w:val="●"/>
      <w:numFmt w:val="bullet"/>
      <w:start w:val="1"/>
    </w:lvl>
  </w:abstractNum>
  <w:abstractNum w:abstractNumId="131">
    <w:nsid w:val="4427069A"/>
    <w:multiLevelType w:val="hybridMultilevel"/>
    <w:lvl w:ilvl="0">
      <w:lvlJc w:val="left"/>
      <w:lvlText w:val="●"/>
      <w:numFmt w:val="bullet"/>
      <w:start w:val="1"/>
    </w:lvl>
  </w:abstractNum>
  <w:abstractNum w:abstractNumId="132">
    <w:nsid w:val="B37E80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2026-04-21T11:25:25Z</dcterms:created>
  <dcterms:modified xsi:type="dcterms:W3CDTF">2026-04-21T11:25:25Z</dcterms:modified>
</cp:coreProperties>
</file>