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UNITED STATES</w:t>
      </w:r>
    </w:p>
    <w:p>
      <w:pPr>
        <w:pStyle w:val="TextBody"/>
        <w:bidi w:val="0"/>
        <w:spacing w:lineRule="auto" w:line="288" w:before="0" w:after="0"/>
        <w:jc w:val="center"/>
        <w:rPr>
          <w:rFonts w:ascii="Times New Roman;sans-serif" w:hAnsi="Times New Roman;sans-serif"/>
          <w:b/>
          <w:color w:val="212529"/>
          <w:sz w:val="22"/>
        </w:rPr>
      </w:pPr>
      <w:r>
        <w:rPr>
          <w:rFonts w:ascii="Times New Roman;sans-serif" w:hAnsi="Times New Roman;sans-serif"/>
          <w:b/>
          <w:color w:val="212529"/>
          <w:sz w:val="22"/>
        </w:rPr>
        <w:t>SECURITIES AND EXCHANGE COMMISSION</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200" w:after="283"/>
        <w:jc w:val="center"/>
        <w:rPr>
          <w:rFonts w:ascii="Times New Roman;sans-serif" w:hAnsi="Times New Roman;sans-serif"/>
          <w:b/>
          <w:color w:val="212529"/>
          <w:sz w:val="24"/>
        </w:rPr>
      </w:pPr>
      <w:r>
        <w:rPr>
          <w:rFonts w:ascii="Times New Roman;sans-serif" w:hAnsi="Times New Roman;sans-serif"/>
          <w:b/>
          <w:color w:val="212529"/>
          <w:sz w:val="24"/>
        </w:rPr>
        <w:t>FORM 8-K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CURRENT REPORT</w:t>
      </w:r>
    </w:p>
    <w:p>
      <w:pPr>
        <w:pStyle w:val="TextBody"/>
        <w:bidi w:val="0"/>
        <w:spacing w:lineRule="auto" w:line="288" w:before="120" w:after="283"/>
        <w:jc w:val="center"/>
        <w:rPr>
          <w:rFonts w:ascii="Times New Roman;sans-serif" w:hAnsi="Times New Roman;sans-serif"/>
          <w:b/>
          <w:color w:val="212529"/>
          <w:sz w:val="20"/>
        </w:rPr>
      </w:pPr>
      <w:r>
        <w:rPr>
          <w:rFonts w:ascii="Times New Roman;sans-serif" w:hAnsi="Times New Roman;sans-serif"/>
          <w:b/>
          <w:color w:val="212529"/>
          <w:sz w:val="20"/>
        </w:rPr>
        <w:t>Pursuant to Section 13 or 15(d)</w:t>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of the Securities Exchange Act of 1934</w:t>
      </w:r>
    </w:p>
    <w:p>
      <w:pPr>
        <w:pStyle w:val="TextBody"/>
        <w:bidi w:val="0"/>
        <w:spacing w:lineRule="auto" w:line="288" w:before="120" w:after="283"/>
        <w:jc w:val="center"/>
        <w:rPr/>
      </w:pPr>
      <w:r>
        <w:rPr>
          <w:rFonts w:ascii="Times New Roman;sans-serif" w:hAnsi="Times New Roman;sans-serif"/>
          <w:b w:val="false"/>
          <w:color w:val="212529"/>
          <w:sz w:val="20"/>
        </w:rPr>
        <w:t>Date of Report (Date of earliest event reported): </w:t>
      </w:r>
      <w:r>
        <w:rPr>
          <w:rFonts w:ascii="Times New Roman;sans-serif" w:hAnsi="Times New Roman;sans-serif"/>
          <w:b/>
          <w:color w:val="212529"/>
          <w:sz w:val="20"/>
        </w:rPr>
        <w:t>August 8,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center"/>
        <w:rPr>
          <w:rFonts w:ascii="Times New Roman;sans-serif" w:hAnsi="Times New Roman;sans-serif"/>
          <w:b/>
          <w:color w:val="212529"/>
          <w:sz w:val="22"/>
        </w:rPr>
      </w:pPr>
      <w:r>
        <w:rPr>
          <w:rFonts w:ascii="Times New Roman;sans-serif" w:hAnsi="Times New Roman;sans-serif"/>
          <w:b/>
          <w:color w:val="212529"/>
          <w:sz w:val="22"/>
        </w:rPr>
        <w:t>SOUNDHOUND AI, INC.</w:t>
      </w:r>
    </w:p>
    <w:p>
      <w:pPr>
        <w:pStyle w:val="TextBody"/>
        <w:bidi w:val="0"/>
        <w:spacing w:lineRule="auto" w:line="288" w:before="0" w:after="0"/>
        <w:jc w:val="center"/>
        <w:rPr>
          <w:rFonts w:ascii="Times New Roman;sans-serif" w:hAnsi="Times New Roman;sans-serif"/>
          <w:b w:val="false"/>
          <w:color w:val="212529"/>
          <w:sz w:val="20"/>
        </w:rPr>
      </w:pPr>
      <w:r>
        <w:rPr>
          <w:rFonts w:ascii="Times New Roman;sans-serif" w:hAnsi="Times New Roman;sans-serif"/>
          <w:b w:val="false"/>
          <w:color w:val="212529"/>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Betsy Ross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Registrant’s telephone number, including area code: (408) 441-3200</w:t>
      </w:r>
    </w:p>
    <w:p>
      <w:pPr>
        <w:pStyle w:val="TextBody"/>
        <w:bidi w:val="0"/>
        <w:spacing w:lineRule="auto" w:line="288" w:before="120" w:after="283"/>
        <w:jc w:val="center"/>
        <w:rPr>
          <w:rFonts w:ascii="Times New Roman;sans-serif" w:hAnsi="Times New Roman;sans-serif"/>
          <w:b w:val="false"/>
          <w:color w:val="212529"/>
          <w:sz w:val="20"/>
        </w:rPr>
      </w:pPr>
      <w:r>
        <w:rPr>
          <w:rFonts w:ascii="Times New Roman;sans-serif" w:hAnsi="Times New Roman;sans-serif"/>
          <w:b w:val="false"/>
          <w:color w:val="212529"/>
          <w:sz w:val="20"/>
        </w:rPr>
        <w:t>(Former name or former address,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rFonts w:ascii="Times New Roman;sans-serif" w:hAnsi="Times New Roman;sans-serif"/>
          <w:b w:val="false"/>
          <w:color w:val="212529"/>
          <w:sz w:val="20"/>
        </w:rPr>
      </w:pPr>
      <w:r>
        <w:rPr>
          <w:rFonts w:ascii="Times New Roman;sans-serif" w:hAnsi="Times New Roman;sans-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212529"/>
          <w:sz w:val="20"/>
        </w:rPr>
        <w:t>Emerging growth company </w:t>
      </w:r>
      <w:r>
        <w:rPr>
          <w:rFonts w:ascii="Wingdings;sans-serif" w:hAnsi="Wingdings;sans-serif"/>
          <w:b w:val="false"/>
          <w:color w:val="212529"/>
          <w:sz w:val="20"/>
        </w:rPr>
        <w:t>x</w:t>
      </w:r>
    </w:p>
    <w:p>
      <w:pPr>
        <w:pStyle w:val="TextBody"/>
        <w:bidi w:val="0"/>
        <w:spacing w:lineRule="auto" w:line="288" w:before="120" w:after="283"/>
        <w:jc w:val="both"/>
        <w:rPr/>
      </w:pPr>
      <w:r>
        <w:rPr>
          <w:rFonts w:ascii="Times New Roman;sans-serif" w:hAnsi="Times New Roman;sans-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00" w:after="283"/>
        <w:jc w:val="left"/>
        <w:rPr>
          <w:rFonts w:ascii="Times New Roman;sans-serif" w:hAnsi="Times New Roman;sans-serif"/>
          <w:b w:val="false"/>
          <w:color w:val="212529"/>
          <w:sz w:val="20"/>
        </w:rPr>
      </w:pPr>
      <w:r>
        <w:rPr>
          <w:rFonts w:ascii="Times New Roman;sans-serif" w:hAnsi="Times New Roman;sans-serif"/>
          <w:b w:val="false"/>
          <w:color w:val="212529"/>
          <w:sz w:val="20"/>
        </w:rPr>
        <w:t>On August 8, 2023, SoundHound AI, Inc. issued a press release announcing financial results and operational highlights for the second quarter ended June 30, 2023. A copy of the press release is furnished as Exhibit 99.1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 and Exhibits.</w:t>
      </w:r>
    </w:p>
    <w:tbl>
      <w:tblPr>
        <w:tblW w:w="683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468"/>
        <w:gridCol w:w="1468"/>
        <w:gridCol w:w="208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30808ex991.htm">
              <w:r>
                <w:rPr>
                  <w:rStyle w:val="InternetLink"/>
                  <w:rFonts w:ascii="Times New Roman;sans-serif" w:hAnsi="Times New Roman;sans-serif"/>
                  <w:b w:val="false"/>
                  <w:color w:val="0000FF"/>
                  <w:sz w:val="20"/>
                  <w:u w:val="single"/>
                </w:rPr>
                <w:t>Press Release, dated August 8, 2023</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212529"/>
          <w:sz w:val="20"/>
        </w:rPr>
      </w:pPr>
      <w:r>
        <w:rPr>
          <w:rFonts w:ascii="Times New Roman;sans-serif" w:hAnsi="Times New Roman;sans-serif"/>
          <w:b/>
          <w:color w:val="212529"/>
          <w:sz w:val="20"/>
        </w:rPr>
        <w:t>SIGNATURE</w:t>
      </w:r>
    </w:p>
    <w:p>
      <w:pPr>
        <w:pStyle w:val="TextBody"/>
        <w:bidi w:val="0"/>
        <w:spacing w:lineRule="auto" w:line="288" w:before="200" w:after="283"/>
        <w:jc w:val="both"/>
        <w:rPr>
          <w:rFonts w:ascii="Times New Roman;sans-serif" w:hAnsi="Times New Roman;sans-serif"/>
          <w:b w:val="false"/>
          <w:color w:val="212529"/>
          <w:sz w:val="20"/>
        </w:rPr>
      </w:pPr>
      <w:r>
        <w:rPr>
          <w:rFonts w:ascii="Times New Roman;sans-serif" w:hAnsi="Times New Roman;sans-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5420" w:type="dxa"/>
        <w:jc w:val="left"/>
        <w:tblInd w:w="0" w:type="dxa"/>
        <w:tblLayout w:type="fixed"/>
        <w:tblCellMar>
          <w:top w:w="28" w:type="dxa"/>
          <w:left w:w="28" w:type="dxa"/>
          <w:bottom w:w="28" w:type="dxa"/>
          <w:right w:w="28" w:type="dxa"/>
        </w:tblCellMar>
      </w:tblPr>
      <w:tblGrid>
        <w:gridCol w:w="705"/>
        <w:gridCol w:w="619"/>
        <w:gridCol w:w="625"/>
        <w:gridCol w:w="196"/>
        <w:gridCol w:w="196"/>
        <w:gridCol w:w="196"/>
        <w:gridCol w:w="271"/>
        <w:gridCol w:w="271"/>
        <w:gridCol w:w="271"/>
        <w:gridCol w:w="597"/>
        <w:gridCol w:w="597"/>
        <w:gridCol w:w="87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SoundHound AI,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Keyvan Mohajer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Keyvan Mohajer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Exhibit 99.1</w:t>
      </w:r>
    </w:p>
    <w:p>
      <w:pPr>
        <w:pStyle w:val="TextBody"/>
        <w:bidi w:val="0"/>
        <w:spacing w:lineRule="auto" w:line="276" w:before="0" w:after="0"/>
        <w:jc w:val="left"/>
        <w:rPr>
          <w:rFonts w:ascii="Times New Roman;sans-serif" w:hAnsi="Times New Roman;sans-serif"/>
          <w:b/>
          <w:color w:val="000000"/>
          <w:sz w:val="24"/>
          <w:shd w:fill="FEFEFE" w:val="clear"/>
        </w:rPr>
      </w:pPr>
      <w:r>
        <w:rPr>
          <w:rFonts w:ascii="Times New Roman;sans-serif" w:hAnsi="Times New Roman;sans-serif"/>
          <w:b/>
          <w:color w:val="000000"/>
          <w:sz w:val="24"/>
          <w:shd w:fill="FEFEFE" w:val="clear"/>
        </w:rPr>
        <w:t>SoundHound AI Reports Second Quarter Revenue Increase of 42%, Adjusted EBITDA Improves 50%, Strong Increase in Cash Position, Investment in Generative AI Foundation Model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EFEFE" w:val="clear"/>
        </w:rPr>
      </w:pPr>
      <w:r>
        <w:rPr>
          <w:rFonts w:ascii="Times New Roman;sans-serif" w:hAnsi="Times New Roman;sans-serif"/>
          <w:b w:val="false"/>
          <w:color w:val="000000"/>
          <w:sz w:val="20"/>
          <w:shd w:fill="FEFEFE" w:val="clear"/>
        </w:rPr>
        <w:t>SANTA CLARA, Calif.--(BUSINESS WIRE)--SoundHound AI, Inc. (Nasdaq: SOUN), a global leader in voice artificial intelligence, today reported its financial results for the second quarter of 2023.</w:t>
      </w:r>
    </w:p>
    <w:p>
      <w:pPr>
        <w:pStyle w:val="TextBody"/>
        <w:bidi w:val="0"/>
        <w:spacing w:before="0" w:after="0"/>
        <w:jc w:val="left"/>
        <w:rPr/>
      </w:pPr>
      <w:r>
        <w:rPr/>
      </w:r>
    </w:p>
    <w:p>
      <w:pPr>
        <w:pStyle w:val="TextBody"/>
        <w:bidi w:val="0"/>
        <w:spacing w:lineRule="auto" w:line="276" w:before="0" w:after="0"/>
        <w:jc w:val="left"/>
        <w:rPr>
          <w:color w:val="1D1C1D"/>
        </w:rPr>
      </w:pPr>
      <w:r>
        <w:rPr>
          <w:color w:val="1D1C1D"/>
        </w:rPr>
        <w:t>“</w:t>
      </w:r>
      <w:r>
        <w:rPr>
          <w:rFonts w:ascii="Times New Roman;sans-serif" w:hAnsi="Times New Roman;sans-serif"/>
          <w:b w:val="false"/>
          <w:i/>
          <w:color w:val="1D1C1D"/>
          <w:sz w:val="20"/>
        </w:rPr>
        <w:t xml:space="preserve">We mark another quarter of strong growth, with our AI powering millions of devices and services and billions of successful interactions per year. We expect our unique Generative AI integration will result in faster adoption and even greater capabilities,” said Keyvan Mohajer, CEO and Co-Founder of SoundHound. “And now, we are combining our vast amounts of experience and data to create the first of its kind, multimodal foundation model, supporting speech-to-meaning and enabling incredible new experiences.” </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Financial Highlights</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Reported revenue was $8.8 million, an increase of 42% year-over-year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Gross margin was 79%, an improvement of approximately 1,900 basis points compared to 60% in the prior year</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Operating loss was $16.4 million, an improvement of 43% year over year</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Net loss was $21.9 million, an improvement of 28% year over year</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Earnings per share was a net loss of ($0.10), compared to ($0.19) in the previous year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Adjusted EBITDA (non-GAAP) was a loss of ($9.9) million, a year-over-year improvement of 50%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Significantly strengthened balance sheet, the company has approximately $130 million in total cash as of June 30, 2023</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ans-serif" w:hAnsi="Times New Roman;sans-serif"/>
          <w:b w:val="false"/>
          <w:i/>
          <w:color w:val="000000"/>
          <w:sz w:val="20"/>
        </w:rPr>
        <w:t>In the second quarter we significantly improved our liquidity position and continued our strong growth trajectory, all while making the business more efficient,” said Nitesh Sharan, CFO of SoundHound. “We are judiciously balancing between our profit objectives and the massive growth opportunities in front of us.”</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Business Highlights - Second Quarter and Recent Highlights</w:t>
      </w:r>
    </w:p>
    <w:p>
      <w:pPr>
        <w:pStyle w:val="TextBody"/>
        <w:bidi w:val="0"/>
        <w:spacing w:lineRule="auto" w:line="276" w:before="0" w:after="0"/>
        <w:ind w:left="0" w:right="0" w:hanging="360"/>
        <w:jc w:val="both"/>
        <w:rPr/>
      </w:pPr>
      <w:r>
        <w:rPr>
          <w:color w:val="1D2228"/>
        </w:rPr>
        <w:t>•</w:t>
      </w:r>
      <w:r>
        <w:rPr>
          <w:rFonts w:ascii="Times New Roman;sans-serif" w:hAnsi="Times New Roman;sans-serif"/>
          <w:b w:val="false"/>
          <w:color w:val="1D2228"/>
          <w:sz w:val="20"/>
        </w:rPr>
        <w:t>Generative AI Foundation Model: training an innovative multi-modal foundation model supporting both audio and text, combining the power of Large Language Models with SoundHound’s Speech-to-Meaning® technology using over a million hours of field data and billions of conversations in tens of languages</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Announced a significant expansion of White Castle partnership, including plans to rollout voice AI drive-thru service to over 100 lanes by the end of 2024</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Strong customer adoption of Smart Ordering. Examples include: Beef O’Bradys, Kneaders bakeries, Hot Table, Naz’s Halal, Slim &amp; Husky’s, Crust Pizza, Kumori Sushi, Noi Thai, Bozelli’s Italian Deli and Dialog Cafe, among many others, adding to the hundreds of others already signed up</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Dynamic Interaction: Rolling out Dynamic Interaction with a fast growing large privately held hospitality and foodservice franchiser that operates in 30 states and has over 200 restaurants</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Introduced SoundHound Chat AI for Automotive, giving drivers and passengers seamless access to a vast array of information domains enabled by complex conversational capabilities, generative AI, and live content domains</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Multiple automotive brands began live pilots of SoundHound Chat AI for Automotive, with the goal of upgrading by the end of the year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Announced that SoundHound’s voice AI technology will be available on, and can be integrated with, Oracle MICROS Simphony Point-of-Sale for Restaurants</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Joined with Meta on its Llama 2 announcement, partnering to support an open and responsible approach to AI innovation</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Joined the Russell 2000 and 3000 Indexes</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Attended National Restaurant Association conference and named by Nation’s Restaurant News as one of the most exciting companies on the show floor</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Ranked among Technology Magazine’s top 10 companies advancing Natural Language Processing </w:t>
      </w:r>
    </w:p>
    <w:p>
      <w:pPr>
        <w:pStyle w:val="TextBody"/>
        <w:bidi w:val="0"/>
        <w:spacing w:lineRule="auto" w:line="276" w:before="0" w:after="0"/>
        <w:ind w:left="0" w:right="0" w:hanging="360"/>
        <w:jc w:val="left"/>
        <w:rPr/>
      </w:pPr>
      <w:r>
        <w:rPr>
          <w:color w:val="1D2228"/>
        </w:rPr>
        <w:t>•</w:t>
      </w:r>
      <w:r>
        <w:rPr>
          <w:rFonts w:ascii="Times New Roman;sans-serif" w:hAnsi="Times New Roman;sans-serif"/>
          <w:b w:val="false"/>
          <w:color w:val="1D2228"/>
          <w:sz w:val="20"/>
        </w:rPr>
        <w:t xml:space="preserve">Named as a finalist at Webby Awards: “Best Use of Voice Technology”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Financial Results in Detail</w:t>
      </w:r>
    </w:p>
    <w:p>
      <w:pPr>
        <w:pStyle w:val="TextBody"/>
        <w:bidi w:val="0"/>
        <w:spacing w:before="0" w:after="0"/>
        <w:jc w:val="left"/>
        <w:rPr/>
      </w:pPr>
      <w:r>
        <w:rPr/>
      </w:r>
    </w:p>
    <w:p>
      <w:pPr>
        <w:pStyle w:val="TextBody"/>
        <w:bidi w:val="0"/>
        <w:spacing w:lineRule="auto" w:line="288"/>
        <w:jc w:val="left"/>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Second Quarter 2023 Financial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624" w:type="dxa"/>
        <w:jc w:val="left"/>
        <w:tblInd w:w="0" w:type="dxa"/>
        <w:tblLayout w:type="fixed"/>
        <w:tblCellMar>
          <w:top w:w="28" w:type="dxa"/>
          <w:left w:w="28" w:type="dxa"/>
          <w:bottom w:w="28" w:type="dxa"/>
          <w:right w:w="28" w:type="dxa"/>
        </w:tblCellMar>
      </w:tblPr>
      <w:tblGrid>
        <w:gridCol w:w="1033"/>
        <w:gridCol w:w="906"/>
        <w:gridCol w:w="911"/>
        <w:gridCol w:w="231"/>
        <w:gridCol w:w="924"/>
        <w:gridCol w:w="119"/>
        <w:gridCol w:w="109"/>
        <w:gridCol w:w="109"/>
        <w:gridCol w:w="109"/>
        <w:gridCol w:w="231"/>
        <w:gridCol w:w="924"/>
        <w:gridCol w:w="119"/>
        <w:gridCol w:w="109"/>
        <w:gridCol w:w="109"/>
        <w:gridCol w:w="109"/>
        <w:gridCol w:w="244"/>
        <w:gridCol w:w="608"/>
        <w:gridCol w:w="348"/>
        <w:gridCol w:w="109"/>
        <w:gridCol w:w="109"/>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 except per share data)</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Cumulative bookings backlog</w:t>
            </w:r>
            <w:r>
              <w:rPr>
                <w:rFonts w:ascii="Times New Roman;sans-serif" w:hAnsi="Times New Roman;sans-serif"/>
                <w:b/>
                <w:color w:val="000000"/>
                <w:sz w:val="13"/>
              </w:rPr>
              <w:t>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339,207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283,431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8,751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#DIV/0!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25,187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35,082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(16,436)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(28,930)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(21,932)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(30,668)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0.09</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EBITDA</w:t>
            </w:r>
            <w:r>
              <w:rPr>
                <w:rFonts w:ascii="Times New Roman;sans-serif" w:hAnsi="Times New Roman;sans-serif"/>
                <w:b/>
                <w:color w:val="000000"/>
                <w:sz w:val="13"/>
              </w:rPr>
              <w:t>2</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(9,926)</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(20,015)</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w:t>
            </w:r>
          </w:p>
        </w:tc>
        <w:tc>
          <w:tcPr>
            <w:tcW w:w="3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1)Cumulative bookings backlog is prior quarter end balance plus new bookings in the current quarter minus associated revenue recognized. Bookings are derived from committed customer contracts and reflect revenue expected to be realized over the life of such contracts.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2)Please see table below for a reconciliation from GAAP to non-GAAP.</w:t>
      </w:r>
    </w:p>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Summary of Liquidity and Cash Flows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total cash was approximately $130 million at June 30, 2023. In April, SoundHound secured $100 million of minimally dilutive debt financing. The company also raised $43 million through its committed equity facility in the second quarter.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Condensed Cash Flow Statement</w:t>
      </w:r>
    </w:p>
    <w:tbl>
      <w:tblPr>
        <w:tblW w:w="6114" w:type="dxa"/>
        <w:jc w:val="left"/>
        <w:tblInd w:w="0" w:type="dxa"/>
        <w:tblLayout w:type="fixed"/>
        <w:tblCellMar>
          <w:top w:w="28" w:type="dxa"/>
          <w:left w:w="28" w:type="dxa"/>
          <w:bottom w:w="28" w:type="dxa"/>
          <w:right w:w="28" w:type="dxa"/>
        </w:tblCellMar>
      </w:tblPr>
      <w:tblGrid>
        <w:gridCol w:w="1252"/>
        <w:gridCol w:w="1103"/>
        <w:gridCol w:w="1110"/>
        <w:gridCol w:w="211"/>
        <w:gridCol w:w="841"/>
        <w:gridCol w:w="109"/>
        <w:gridCol w:w="109"/>
        <w:gridCol w:w="109"/>
        <w:gridCol w:w="109"/>
        <w:gridCol w:w="211"/>
        <w:gridCol w:w="79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2022</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120,064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42,418</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Business Outlook 2023</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shd w:fill="FEFEFE" w:val="clear"/>
        </w:rPr>
      </w:pPr>
      <w:r>
        <w:rPr>
          <w:rFonts w:ascii="Times New Roman;sans-serif" w:hAnsi="Times New Roman;sans-serif"/>
          <w:b w:val="false"/>
          <w:color w:val="000000"/>
          <w:sz w:val="20"/>
          <w:shd w:fill="FEFEFE" w:val="clear"/>
        </w:rPr>
        <w:t>SoundHound continues to expect 2023 revenue to be in a range of $43 to $50 million. The company also continues to expect to be adjusted EBITDA positive in the fourth quarter of 2023.</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Additional Information</w:t>
      </w:r>
    </w:p>
    <w:p>
      <w:pPr>
        <w:pStyle w:val="TextBody"/>
        <w:bidi w:val="0"/>
        <w:spacing w:lineRule="auto" w:line="276"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SoundHound expects to file its Form 10-Q for second quarter 2023, by August 14, 2023. For more information please see the company’s SEC filings which can be obtained on the company’s website at investors.soundhound.com.</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Conference Call and Webcast</w:t>
      </w:r>
    </w:p>
    <w:p>
      <w:pPr>
        <w:pStyle w:val="TextBody"/>
        <w:bidi w:val="0"/>
        <w:spacing w:before="0" w:after="0"/>
        <w:jc w:val="left"/>
        <w:rPr/>
      </w:pPr>
      <w:r>
        <w:rPr/>
      </w:r>
    </w:p>
    <w:p>
      <w:pPr>
        <w:pStyle w:val="TextBody"/>
        <w:bidi w:val="0"/>
        <w:spacing w:lineRule="auto" w:line="27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Keyvan Mohajer, Co-Founder and CEO, and Nitesh Sharan, CFO will host a live audio conference call and webcast today at 2:30 p.m. Pacific Time/5:30 p.m. Eastern Time. A live webcast will also be accessible at investors.soundhound.com and a replay of the webcast will be available for 90 days following the session.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About SoundHound</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SoundHound (Nasdaq: SOUN), a global leader in conversational intelligence, offers voice AI solutions that let businesses offer incredible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Forward Looking Statements</w:t>
      </w:r>
    </w:p>
    <w:p>
      <w:pPr>
        <w:pStyle w:val="TextBody"/>
        <w:bidi w:val="0"/>
        <w:spacing w:lineRule="auto" w:line="276" w:before="0" w:after="0"/>
        <w:jc w:val="left"/>
        <w:rPr>
          <w:rFonts w:ascii="Times New Roman;sans-serif" w:hAnsi="Times New Roman;sans-serif"/>
          <w:b w:val="false"/>
          <w:color w:val="000000"/>
          <w:sz w:val="20"/>
          <w:shd w:fill="FEFEFE" w:val="clear"/>
        </w:rPr>
      </w:pPr>
      <w:r>
        <w:rPr>
          <w:rFonts w:ascii="Times New Roman;sans-serif" w:hAnsi="Times New Roman;sans-serif"/>
          <w:b w:val="false"/>
          <w:color w:val="000000"/>
          <w:sz w:val="20"/>
          <w:shd w:fill="FEFEFE" w:val="clear"/>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including our ability to improve our Generative AI Foundation Model, expand our White Castle partnership and roll out our AI drive thru service, roll out our Dynamic Interaction, Chat AI for Automotive, and expand the number of platforms on which our voice AI technology will be available, the potential utility of and market for our products and services, our ability to achieve revenue from our bookings backlog, guidance for financial results for 2023 and our ability to timely file our quarterly report on Form 10-Q.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ability to develop the bespoke products and services required under the contracts included in our bookings backlog, including, but not limited to, our ability to convert customer adoption of Smart Ordering into realized revenue, our ability to predict or measure supply chain disruptions at our customers, our market opportunity and our ability to acquire new customers and retain existing customers, the timing and impact of our growth initiatives, level of product service failures that could lead our customers to use competitors’ services, the impact of our announced restructuring, our ability to predict direct and indirect customer demand for our existing and future products,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Measures of Financial Performance</w:t>
      </w:r>
    </w:p>
    <w:p>
      <w:pPr>
        <w:pStyle w:val="TextBody"/>
        <w:bidi w:val="0"/>
        <w:spacing w:lineRule="auto" w:line="276"/>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supplement the company’s financial statements, which are presented on the basis of U.S. generally accepted accounting principles (GAAP), the following non-GAAP measure of financial performance is included in this release: adjusted EBITDA. We define Adjusted EBITDA as the company’s GAAP net loss excluding (i) interest and other expense, net, (ii) depreciation and amortization expense, (iii) income taxes, (iv) stock-based compensation, and (v) restructuring expense. A reconciliation of GAAP to this adjusted non-GAAP financial measure is included below. When analyzing the company's operating results, investors should not consider non-GAAP measures as substitutes for the comparable financial measures prepared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83"/>
        <w:jc w:val="both"/>
        <w:rPr>
          <w:rFonts w:ascii="Times New Roman;sans-serif" w:hAnsi="Times New Roman;sans-serif"/>
          <w:b/>
          <w:color w:val="000000"/>
          <w:sz w:val="20"/>
          <w:shd w:fill="FEFEFE" w:val="clear"/>
        </w:rPr>
      </w:pPr>
      <w:r>
        <w:rPr>
          <w:rFonts w:ascii="Times New Roman;sans-serif" w:hAnsi="Times New Roman;sans-serif"/>
          <w:b/>
          <w:color w:val="000000"/>
          <w:sz w:val="20"/>
          <w:shd w:fill="FEFEFE" w:val="clear"/>
        </w:rPr>
        <w:t>Reconciliation of GAAP Net Loss to Non-GAAP Adjusted EBITDA</w:t>
      </w:r>
    </w:p>
    <w:tbl>
      <w:tblPr>
        <w:tblW w:w="5526" w:type="dxa"/>
        <w:jc w:val="left"/>
        <w:tblInd w:w="0" w:type="dxa"/>
        <w:tblLayout w:type="fixed"/>
        <w:tblCellMar>
          <w:top w:w="28" w:type="dxa"/>
          <w:left w:w="28" w:type="dxa"/>
          <w:bottom w:w="28" w:type="dxa"/>
          <w:right w:w="28" w:type="dxa"/>
        </w:tblCellMar>
      </w:tblPr>
      <w:tblGrid>
        <w:gridCol w:w="938"/>
        <w:gridCol w:w="826"/>
        <w:gridCol w:w="831"/>
        <w:gridCol w:w="211"/>
        <w:gridCol w:w="796"/>
        <w:gridCol w:w="109"/>
        <w:gridCol w:w="109"/>
        <w:gridCol w:w="109"/>
        <w:gridCol w:w="109"/>
        <w:gridCol w:w="211"/>
        <w:gridCol w:w="796"/>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net profit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EBITDA</w:t>
            </w:r>
            <w:r>
              <w:rPr>
                <w:rFonts w:ascii="Times New Roman;sans-serif" w:hAnsi="Times New Roman;sans-serif"/>
                <w:b/>
                <w:color w:val="000000"/>
                <w:sz w:val="13"/>
              </w:rPr>
              <w:t>1</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(9,926)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(20,015)</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other income/(expense) of $0.5 and $0.2 million for the three months ended June 30, 2023 and 2022, respectively.</w:t>
      </w:r>
    </w:p>
    <w:p>
      <w:pPr>
        <w:pStyle w:val="TextBody"/>
        <w:bidi w:val="0"/>
        <w:spacing w:before="20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2206</Words>
  <Characters>12571</Characters>
  <CharactersWithSpaces>14571</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