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5620" w:type="dxa"/>
        <w:tblCellMar>
          <w:top w:w="0" w:type="dxa"/>
          <w:left w:w="0" w:type="dxa"/>
          <w:bottom w:w="0" w:type="dxa"/>
          <w:right w:w="0" w:type="dxa"/>
        </w:tblCellMar>
      </w:tblPr>
      <w:tr>
        <w:trPr>
          <w:trHeight w:val="216"/>
        </w:trPr>
        <w:tc>
          <w:tcPr>
            <w:tcW w:w="2200" w:type="dxa"/>
            <w:vAlign w:val="bottom"/>
          </w:tcPr>
          <w:p>
            <w:pPr>
              <w:spacing w:after="0"/>
              <w:rPr>
                <w:sz w:val="20"/>
                <w:szCs w:val="20"/>
                <w:color w:val="auto"/>
              </w:rPr>
            </w:pPr>
            <w:r>
              <w:rPr>
                <w:rFonts w:ascii="Arial" w:cs="Arial" w:eastAsia="Arial" w:hAnsi="Arial"/>
                <w:sz w:val="18"/>
                <w:szCs w:val="18"/>
                <w:b w:val="1"/>
                <w:bCs w:val="1"/>
                <w:color w:val="auto"/>
              </w:rPr>
              <w:t>G</w:t>
            </w:r>
            <w:r>
              <w:rPr>
                <w:rFonts w:ascii="Arial" w:cs="Arial" w:eastAsia="Arial" w:hAnsi="Arial"/>
                <w:sz w:val="12"/>
                <w:szCs w:val="12"/>
                <w:b w:val="1"/>
                <w:bCs w:val="1"/>
                <w:color w:val="auto"/>
              </w:rPr>
              <w:t>IOVANNI</w:t>
            </w:r>
            <w:r>
              <w:rPr>
                <w:rFonts w:ascii="Arial" w:cs="Arial" w:eastAsia="Arial" w:hAnsi="Arial"/>
                <w:sz w:val="18"/>
                <w:szCs w:val="18"/>
                <w:b w:val="1"/>
                <w:bCs w:val="1"/>
                <w:color w:val="auto"/>
              </w:rPr>
              <w:t xml:space="preserve"> C</w:t>
            </w:r>
            <w:r>
              <w:rPr>
                <w:rFonts w:ascii="Arial" w:cs="Arial" w:eastAsia="Arial" w:hAnsi="Arial"/>
                <w:sz w:val="12"/>
                <w:szCs w:val="12"/>
                <w:b w:val="1"/>
                <w:bCs w:val="1"/>
                <w:color w:val="auto"/>
              </w:rPr>
              <w:t>ARUSO</w:t>
            </w:r>
          </w:p>
        </w:tc>
        <w:tc>
          <w:tcPr>
            <w:tcW w:w="1160" w:type="dxa"/>
            <w:vAlign w:val="bottom"/>
          </w:tcPr>
          <w:p>
            <w:pPr>
              <w:ind w:left="620"/>
              <w:spacing w:after="0"/>
              <w:rPr>
                <w:sz w:val="20"/>
                <w:szCs w:val="20"/>
                <w:color w:val="auto"/>
              </w:rPr>
            </w:pPr>
            <w:r>
              <w:rPr>
                <w:rFonts w:ascii="Arial" w:cs="Arial" w:eastAsia="Arial" w:hAnsi="Arial"/>
                <w:sz w:val="18"/>
                <w:szCs w:val="18"/>
                <w:b w:val="1"/>
                <w:bCs w:val="1"/>
                <w:color w:val="auto"/>
              </w:rPr>
              <w:t>Direct</w:t>
            </w:r>
          </w:p>
        </w:tc>
        <w:tc>
          <w:tcPr>
            <w:tcW w:w="1100" w:type="dxa"/>
            <w:vAlign w:val="bottom"/>
          </w:tcPr>
          <w:p>
            <w:pPr>
              <w:jc w:val="right"/>
              <w:spacing w:after="0"/>
              <w:rPr>
                <w:sz w:val="20"/>
                <w:szCs w:val="20"/>
                <w:color w:val="auto"/>
              </w:rPr>
            </w:pPr>
            <w:r>
              <w:rPr>
                <w:rFonts w:ascii="Arial" w:cs="Arial" w:eastAsia="Arial" w:hAnsi="Arial"/>
                <w:sz w:val="18"/>
                <w:szCs w:val="18"/>
                <w:color w:val="auto"/>
                <w:w w:val="94"/>
              </w:rPr>
              <w:t>212.407.4866</w:t>
            </w:r>
          </w:p>
        </w:tc>
      </w:tr>
      <w:tr>
        <w:trPr>
          <w:trHeight w:val="216"/>
        </w:trPr>
        <w:tc>
          <w:tcPr>
            <w:tcW w:w="2200" w:type="dxa"/>
            <w:vAlign w:val="bottom"/>
          </w:tcPr>
          <w:p>
            <w:pPr>
              <w:spacing w:after="0"/>
              <w:rPr>
                <w:sz w:val="20"/>
                <w:szCs w:val="20"/>
                <w:color w:val="auto"/>
              </w:rPr>
            </w:pPr>
            <w:r>
              <w:rPr>
                <w:rFonts w:ascii="Arial" w:cs="Arial" w:eastAsia="Arial" w:hAnsi="Arial"/>
                <w:sz w:val="18"/>
                <w:szCs w:val="18"/>
                <w:color w:val="auto"/>
              </w:rPr>
              <w:t>Partner</w:t>
            </w:r>
          </w:p>
        </w:tc>
        <w:tc>
          <w:tcPr>
            <w:tcW w:w="1160" w:type="dxa"/>
            <w:vAlign w:val="bottom"/>
          </w:tcPr>
          <w:p>
            <w:pPr>
              <w:ind w:left="620"/>
              <w:spacing w:after="0"/>
              <w:rPr>
                <w:sz w:val="20"/>
                <w:szCs w:val="20"/>
                <w:color w:val="auto"/>
              </w:rPr>
            </w:pPr>
            <w:r>
              <w:rPr>
                <w:rFonts w:ascii="Arial" w:cs="Arial" w:eastAsia="Arial" w:hAnsi="Arial"/>
                <w:sz w:val="18"/>
                <w:szCs w:val="18"/>
                <w:b w:val="1"/>
                <w:bCs w:val="1"/>
                <w:color w:val="auto"/>
              </w:rPr>
              <w:t>Main</w:t>
            </w:r>
          </w:p>
        </w:tc>
        <w:tc>
          <w:tcPr>
            <w:tcW w:w="1100" w:type="dxa"/>
            <w:vAlign w:val="bottom"/>
          </w:tcPr>
          <w:p>
            <w:pPr>
              <w:jc w:val="right"/>
              <w:spacing w:after="0"/>
              <w:rPr>
                <w:sz w:val="20"/>
                <w:szCs w:val="20"/>
                <w:color w:val="auto"/>
              </w:rPr>
            </w:pPr>
            <w:r>
              <w:rPr>
                <w:rFonts w:ascii="Arial" w:cs="Arial" w:eastAsia="Arial" w:hAnsi="Arial"/>
                <w:sz w:val="18"/>
                <w:szCs w:val="18"/>
                <w:color w:val="auto"/>
                <w:w w:val="96"/>
              </w:rPr>
              <w:t>212.407.4000</w:t>
            </w:r>
          </w:p>
        </w:tc>
      </w:tr>
      <w:tr>
        <w:trPr>
          <w:trHeight w:val="220"/>
        </w:trPr>
        <w:tc>
          <w:tcPr>
            <w:tcW w:w="2200" w:type="dxa"/>
            <w:vAlign w:val="bottom"/>
          </w:tcPr>
          <w:p>
            <w:pPr>
              <w:spacing w:after="0"/>
              <w:rPr>
                <w:sz w:val="20"/>
                <w:szCs w:val="20"/>
                <w:color w:val="auto"/>
              </w:rPr>
            </w:pPr>
            <w:r>
              <w:rPr>
                <w:rFonts w:ascii="Arial" w:cs="Arial" w:eastAsia="Arial" w:hAnsi="Arial"/>
                <w:sz w:val="18"/>
                <w:szCs w:val="18"/>
                <w:color w:val="auto"/>
              </w:rPr>
              <w:t>345 Park Avenue</w:t>
            </w:r>
          </w:p>
        </w:tc>
        <w:tc>
          <w:tcPr>
            <w:tcW w:w="1160" w:type="dxa"/>
            <w:vAlign w:val="bottom"/>
          </w:tcPr>
          <w:p>
            <w:pPr>
              <w:ind w:left="620"/>
              <w:spacing w:after="0"/>
              <w:rPr>
                <w:sz w:val="20"/>
                <w:szCs w:val="20"/>
                <w:color w:val="auto"/>
              </w:rPr>
            </w:pPr>
            <w:r>
              <w:rPr>
                <w:rFonts w:ascii="Arial" w:cs="Arial" w:eastAsia="Arial" w:hAnsi="Arial"/>
                <w:sz w:val="18"/>
                <w:szCs w:val="18"/>
                <w:b w:val="1"/>
                <w:bCs w:val="1"/>
                <w:color w:val="auto"/>
              </w:rPr>
              <w:t>Fax</w:t>
            </w:r>
          </w:p>
        </w:tc>
        <w:tc>
          <w:tcPr>
            <w:tcW w:w="1100" w:type="dxa"/>
            <w:vAlign w:val="bottom"/>
          </w:tcPr>
          <w:p>
            <w:pPr>
              <w:jc w:val="right"/>
              <w:spacing w:after="0"/>
              <w:rPr>
                <w:sz w:val="20"/>
                <w:szCs w:val="20"/>
                <w:color w:val="auto"/>
              </w:rPr>
            </w:pPr>
            <w:r>
              <w:rPr>
                <w:rFonts w:ascii="Arial" w:cs="Arial" w:eastAsia="Arial" w:hAnsi="Arial"/>
                <w:sz w:val="18"/>
                <w:szCs w:val="18"/>
                <w:color w:val="auto"/>
                <w:w w:val="98"/>
              </w:rPr>
              <w:t>212.937.3943</w:t>
            </w:r>
          </w:p>
        </w:tc>
      </w:tr>
      <w:tr>
        <w:trPr>
          <w:trHeight w:val="230"/>
        </w:trPr>
        <w:tc>
          <w:tcPr>
            <w:tcW w:w="2200" w:type="dxa"/>
            <w:vAlign w:val="bottom"/>
          </w:tcPr>
          <w:p>
            <w:pPr>
              <w:spacing w:after="0"/>
              <w:rPr>
                <w:sz w:val="20"/>
                <w:szCs w:val="20"/>
                <w:color w:val="auto"/>
              </w:rPr>
            </w:pPr>
            <w:r>
              <w:rPr>
                <w:rFonts w:ascii="Arial" w:cs="Arial" w:eastAsia="Arial" w:hAnsi="Arial"/>
                <w:sz w:val="18"/>
                <w:szCs w:val="18"/>
                <w:color w:val="auto"/>
              </w:rPr>
              <w:t>New York, NY 10154</w:t>
            </w:r>
          </w:p>
        </w:tc>
        <w:tc>
          <w:tcPr>
            <w:tcW w:w="2260" w:type="dxa"/>
            <w:vAlign w:val="bottom"/>
            <w:gridSpan w:val="2"/>
          </w:tcPr>
          <w:p>
            <w:pPr>
              <w:ind w:left="620"/>
              <w:spacing w:after="0"/>
              <w:rPr>
                <w:sz w:val="20"/>
                <w:szCs w:val="20"/>
                <w:color w:val="auto"/>
              </w:rPr>
            </w:pPr>
            <w:r>
              <w:rPr>
                <w:rFonts w:ascii="Arial" w:cs="Arial" w:eastAsia="Arial" w:hAnsi="Arial"/>
                <w:sz w:val="18"/>
                <w:szCs w:val="18"/>
                <w:color w:val="auto"/>
              </w:rPr>
              <w:t>gcaruso@loeb.com</w:t>
            </w:r>
          </w:p>
        </w:tc>
      </w:tr>
    </w:tbl>
    <w:p>
      <w:pPr>
        <w:spacing w:after="0" w:line="202"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208280</wp:posOffset>
            </wp:positionH>
            <wp:positionV relativeFrom="page">
              <wp:posOffset>294640</wp:posOffset>
            </wp:positionV>
            <wp:extent cx="1028700" cy="1028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1028700" cy="1028700"/>
                    </a:xfrm>
                    <a:prstGeom prst="rect">
                      <a:avLst/>
                    </a:prstGeom>
                    <a:noFill/>
                  </pic:spPr>
                </pic:pic>
              </a:graphicData>
            </a:graphic>
          </wp:anchor>
        </w:drawing>
      </w:r>
    </w:p>
    <w:p>
      <w:pPr>
        <w:jc w:val="center"/>
        <w:spacing w:after="0"/>
        <w:rPr>
          <w:sz w:val="20"/>
          <w:szCs w:val="20"/>
          <w:color w:val="auto"/>
        </w:rPr>
      </w:pPr>
      <w:r>
        <w:rPr>
          <w:rFonts w:ascii="Arial" w:cs="Arial" w:eastAsia="Arial" w:hAnsi="Arial"/>
          <w:sz w:val="18"/>
          <w:szCs w:val="18"/>
          <w:color w:val="auto"/>
        </w:rPr>
        <w:t>Via Edgar</w:t>
      </w:r>
    </w:p>
    <w:p>
      <w:pPr>
        <w:spacing w:after="0" w:line="225" w:lineRule="exact"/>
        <w:rPr>
          <w:sz w:val="24"/>
          <w:szCs w:val="24"/>
          <w:color w:val="auto"/>
        </w:rPr>
      </w:pPr>
    </w:p>
    <w:p>
      <w:pPr>
        <w:spacing w:after="0"/>
        <w:rPr>
          <w:sz w:val="20"/>
          <w:szCs w:val="20"/>
          <w:color w:val="auto"/>
        </w:rPr>
      </w:pPr>
      <w:r>
        <w:rPr>
          <w:rFonts w:ascii="Arial" w:cs="Arial" w:eastAsia="Arial" w:hAnsi="Arial"/>
          <w:sz w:val="18"/>
          <w:szCs w:val="18"/>
          <w:color w:val="auto"/>
        </w:rPr>
        <w:t>March 1, 2021</w:t>
      </w:r>
    </w:p>
    <w:p>
      <w:pPr>
        <w:spacing w:after="0" w:line="225" w:lineRule="exact"/>
        <w:rPr>
          <w:sz w:val="24"/>
          <w:szCs w:val="24"/>
          <w:color w:val="auto"/>
        </w:rPr>
      </w:pPr>
    </w:p>
    <w:p>
      <w:pPr>
        <w:spacing w:after="0"/>
        <w:rPr>
          <w:sz w:val="20"/>
          <w:szCs w:val="20"/>
          <w:color w:val="auto"/>
        </w:rPr>
      </w:pPr>
      <w:r>
        <w:rPr>
          <w:rFonts w:ascii="Arial" w:cs="Arial" w:eastAsia="Arial" w:hAnsi="Arial"/>
          <w:sz w:val="18"/>
          <w:szCs w:val="18"/>
          <w:color w:val="auto"/>
        </w:rPr>
        <w:t>Ms. Karina Dorin</w:t>
      </w:r>
    </w:p>
    <w:p>
      <w:pPr>
        <w:spacing w:after="0" w:line="23" w:lineRule="exact"/>
        <w:rPr>
          <w:sz w:val="24"/>
          <w:szCs w:val="24"/>
          <w:color w:val="auto"/>
        </w:rPr>
      </w:pPr>
    </w:p>
    <w:p>
      <w:pPr>
        <w:spacing w:after="0"/>
        <w:rPr>
          <w:sz w:val="20"/>
          <w:szCs w:val="20"/>
          <w:color w:val="auto"/>
        </w:rPr>
      </w:pPr>
      <w:r>
        <w:rPr>
          <w:rFonts w:ascii="Arial" w:cs="Arial" w:eastAsia="Arial" w:hAnsi="Arial"/>
          <w:sz w:val="18"/>
          <w:szCs w:val="18"/>
          <w:color w:val="auto"/>
        </w:rPr>
        <w:t>Division of Corporation Finance</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color w:val="auto"/>
        </w:rPr>
        <w:t>Office of Energy &amp; Transportation</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color w:val="auto"/>
        </w:rPr>
        <w:t>U.S. Securities &amp; Exchange Commission</w:t>
      </w:r>
    </w:p>
    <w:p>
      <w:pPr>
        <w:spacing w:after="0" w:line="211" w:lineRule="exact"/>
        <w:rPr>
          <w:sz w:val="24"/>
          <w:szCs w:val="24"/>
          <w:color w:val="auto"/>
        </w:rPr>
      </w:pPr>
    </w:p>
    <w:p>
      <w:pPr>
        <w:spacing w:after="0"/>
        <w:rPr>
          <w:sz w:val="20"/>
          <w:szCs w:val="20"/>
          <w:color w:val="auto"/>
        </w:rPr>
      </w:pPr>
      <w:r>
        <w:rPr>
          <w:rFonts w:ascii="Arial" w:cs="Arial" w:eastAsia="Arial" w:hAnsi="Arial"/>
          <w:sz w:val="18"/>
          <w:szCs w:val="18"/>
          <w:color w:val="auto"/>
        </w:rPr>
        <w:t>100 F Street, NE</w:t>
      </w:r>
    </w:p>
    <w:p>
      <w:pPr>
        <w:spacing w:after="0" w:line="225" w:lineRule="exact"/>
        <w:rPr>
          <w:sz w:val="24"/>
          <w:szCs w:val="24"/>
          <w:color w:val="auto"/>
        </w:rPr>
      </w:pPr>
    </w:p>
    <w:p>
      <w:pPr>
        <w:spacing w:after="0"/>
        <w:rPr>
          <w:sz w:val="20"/>
          <w:szCs w:val="20"/>
          <w:color w:val="auto"/>
        </w:rPr>
      </w:pPr>
      <w:r>
        <w:rPr>
          <w:rFonts w:ascii="Arial" w:cs="Arial" w:eastAsia="Arial" w:hAnsi="Arial"/>
          <w:sz w:val="18"/>
          <w:szCs w:val="18"/>
          <w:color w:val="auto"/>
        </w:rPr>
        <w:t>Washington, D.C. 20549</w:t>
      </w:r>
    </w:p>
    <w:p>
      <w:pPr>
        <w:sectPr>
          <w:pgSz w:w="11900" w:h="16838" w:orient="portrait"/>
          <w:cols w:equalWidth="0" w:num="1">
            <w:col w:w="11240"/>
          </w:cols>
          <w:pgMar w:left="320" w:top="1201" w:right="339" w:bottom="1440" w:gutter="0" w:footer="0" w:header="0"/>
        </w:sectPr>
      </w:pPr>
    </w:p>
    <w:p>
      <w:pPr>
        <w:spacing w:after="0" w:line="221" w:lineRule="exact"/>
        <w:rPr>
          <w:sz w:val="24"/>
          <w:szCs w:val="24"/>
          <w:color w:val="auto"/>
        </w:rPr>
      </w:pPr>
    </w:p>
    <w:p>
      <w:pPr>
        <w:spacing w:after="0"/>
        <w:rPr>
          <w:sz w:val="20"/>
          <w:szCs w:val="20"/>
          <w:color w:val="auto"/>
        </w:rPr>
      </w:pPr>
      <w:r>
        <w:rPr>
          <w:rFonts w:ascii="Arial" w:cs="Arial" w:eastAsia="Arial" w:hAnsi="Arial"/>
          <w:sz w:val="17"/>
          <w:szCs w:val="17"/>
          <w:b w:val="1"/>
          <w:bCs w:val="1"/>
          <w:color w:val="auto"/>
        </w:rPr>
        <w:t>Re:</w:t>
      </w:r>
    </w:p>
    <w:p>
      <w:pPr>
        <w:spacing w:after="0" w:line="20" w:lineRule="exact"/>
        <w:rPr>
          <w:sz w:val="24"/>
          <w:szCs w:val="24"/>
          <w:color w:val="auto"/>
        </w:rPr>
      </w:pPr>
      <w:r>
        <w:rPr>
          <w:sz w:val="24"/>
          <w:szCs w:val="24"/>
          <w:color w:val="auto"/>
        </w:rPr>
        <w:br w:type="column"/>
      </w:r>
    </w:p>
    <w:p>
      <w:pPr>
        <w:spacing w:after="0" w:line="201" w:lineRule="exact"/>
        <w:rPr>
          <w:sz w:val="24"/>
          <w:szCs w:val="24"/>
          <w:color w:val="auto"/>
        </w:rPr>
      </w:pPr>
    </w:p>
    <w:p>
      <w:pPr>
        <w:spacing w:after="0"/>
        <w:rPr>
          <w:sz w:val="20"/>
          <w:szCs w:val="20"/>
          <w:color w:val="auto"/>
        </w:rPr>
      </w:pPr>
      <w:r>
        <w:rPr>
          <w:rFonts w:ascii="Arial" w:cs="Arial" w:eastAsia="Arial" w:hAnsi="Arial"/>
          <w:sz w:val="16"/>
          <w:szCs w:val="16"/>
          <w:b w:val="1"/>
          <w:bCs w:val="1"/>
          <w:color w:val="auto"/>
        </w:rPr>
        <w:t>Archimedes Tech SPAC Partners Co.</w:t>
      </w:r>
    </w:p>
    <w:p>
      <w:pPr>
        <w:spacing w:after="0" w:line="50" w:lineRule="exact"/>
        <w:rPr>
          <w:sz w:val="24"/>
          <w:szCs w:val="24"/>
          <w:color w:val="auto"/>
        </w:rPr>
      </w:pPr>
    </w:p>
    <w:p>
      <w:pPr>
        <w:spacing w:after="0"/>
        <w:rPr>
          <w:sz w:val="20"/>
          <w:szCs w:val="20"/>
          <w:color w:val="auto"/>
        </w:rPr>
      </w:pPr>
      <w:r>
        <w:rPr>
          <w:rFonts w:ascii="Arial" w:cs="Arial" w:eastAsia="Arial" w:hAnsi="Arial"/>
          <w:sz w:val="16"/>
          <w:szCs w:val="16"/>
          <w:b w:val="1"/>
          <w:bCs w:val="1"/>
          <w:color w:val="auto"/>
        </w:rPr>
        <w:t>Registration Statement on Form S-1</w:t>
      </w:r>
    </w:p>
    <w:p>
      <w:pPr>
        <w:spacing w:after="0" w:line="32"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Submitted February 12, 2021</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CIK No. 0001840856</w:t>
      </w:r>
    </w:p>
    <w:p>
      <w:pPr>
        <w:spacing w:after="0" w:line="200" w:lineRule="exact"/>
        <w:rPr>
          <w:sz w:val="24"/>
          <w:szCs w:val="24"/>
          <w:color w:val="auto"/>
        </w:rPr>
      </w:pPr>
    </w:p>
    <w:p>
      <w:pPr>
        <w:sectPr>
          <w:pgSz w:w="11900" w:h="16838" w:orient="portrait"/>
          <w:cols w:equalWidth="0" w:num="2">
            <w:col w:w="280" w:space="380"/>
            <w:col w:w="10580"/>
          </w:cols>
          <w:pgMar w:left="320" w:top="1201" w:right="339" w:bottom="1440" w:gutter="0" w:footer="0" w:header="0"/>
          <w:type w:val="continuous"/>
        </w:sectPr>
      </w:pPr>
    </w:p>
    <w:p>
      <w:pPr>
        <w:spacing w:after="0" w:line="11" w:lineRule="exact"/>
        <w:rPr>
          <w:sz w:val="24"/>
          <w:szCs w:val="24"/>
          <w:color w:val="auto"/>
        </w:rPr>
      </w:pPr>
    </w:p>
    <w:p>
      <w:pPr>
        <w:spacing w:after="0"/>
        <w:rPr>
          <w:sz w:val="20"/>
          <w:szCs w:val="20"/>
          <w:color w:val="auto"/>
        </w:rPr>
      </w:pPr>
      <w:r>
        <w:rPr>
          <w:rFonts w:ascii="Arial" w:cs="Arial" w:eastAsia="Arial" w:hAnsi="Arial"/>
          <w:sz w:val="18"/>
          <w:szCs w:val="18"/>
          <w:color w:val="auto"/>
        </w:rPr>
        <w:t>Dear Ms. Dorin:</w:t>
      </w:r>
    </w:p>
    <w:p>
      <w:pPr>
        <w:spacing w:after="0" w:line="225" w:lineRule="exact"/>
        <w:rPr>
          <w:sz w:val="24"/>
          <w:szCs w:val="24"/>
          <w:color w:val="auto"/>
        </w:rPr>
      </w:pPr>
    </w:p>
    <w:p>
      <w:pPr>
        <w:jc w:val="both"/>
        <w:spacing w:after="0" w:line="286" w:lineRule="auto"/>
        <w:rPr>
          <w:sz w:val="20"/>
          <w:szCs w:val="20"/>
          <w:color w:val="auto"/>
        </w:rPr>
      </w:pPr>
      <w:r>
        <w:rPr>
          <w:rFonts w:ascii="Arial" w:cs="Arial" w:eastAsia="Arial" w:hAnsi="Arial"/>
          <w:sz w:val="17"/>
          <w:szCs w:val="17"/>
          <w:color w:val="auto"/>
        </w:rPr>
        <w:t>On behalf of our client, Archimedes Tech SPAC Partners Co. (the “Company”), we hereby provide a response to the comments issued in a letter dated February 24, 2021 (the “Staff’s Letter”) regarding the Company’s Registration Statement on Form S-1 (the “Registration Statement”). Contemporaneously, an amended draft Registration Statement is being submitted publicly to accompany this response letter (the “Amended S-1”).</w:t>
      </w:r>
    </w:p>
    <w:p>
      <w:pPr>
        <w:spacing w:after="0" w:line="165" w:lineRule="exact"/>
        <w:rPr>
          <w:sz w:val="24"/>
          <w:szCs w:val="24"/>
          <w:color w:val="auto"/>
        </w:rPr>
      </w:pPr>
    </w:p>
    <w:p>
      <w:pPr>
        <w:jc w:val="both"/>
        <w:spacing w:after="0" w:line="263" w:lineRule="auto"/>
        <w:rPr>
          <w:sz w:val="20"/>
          <w:szCs w:val="20"/>
          <w:color w:val="auto"/>
        </w:rPr>
      </w:pPr>
      <w:r>
        <w:rPr>
          <w:rFonts w:ascii="Arial" w:cs="Arial" w:eastAsia="Arial" w:hAnsi="Arial"/>
          <w:sz w:val="18"/>
          <w:szCs w:val="18"/>
          <w:color w:val="auto"/>
        </w:rPr>
        <w:t>In order to facilitate the review by the Commission’s staff (the “Staff”) of the Registration Statement, we have responded, on behalf of the Company, to the comments set forth in the Staff’s Letter on a point-by-point basis. The numbered paragraphs set forth below respond to the Staff’s comments and correspond to the numbered paragraph in the Staff’s Letter.</w:t>
      </w:r>
    </w:p>
    <w:p>
      <w:pPr>
        <w:spacing w:after="0" w:line="184" w:lineRule="exact"/>
        <w:rPr>
          <w:sz w:val="24"/>
          <w:szCs w:val="24"/>
          <w:color w:val="auto"/>
        </w:rPr>
      </w:pPr>
    </w:p>
    <w:p>
      <w:pPr>
        <w:spacing w:after="0"/>
        <w:tabs>
          <w:tab w:leader="none" w:pos="1060" w:val="left"/>
          <w:tab w:leader="none" w:pos="1980" w:val="left"/>
          <w:tab w:leader="none" w:pos="2760" w:val="left"/>
          <w:tab w:leader="none" w:pos="4860" w:val="left"/>
          <w:tab w:leader="none" w:pos="5580" w:val="left"/>
          <w:tab w:leader="none" w:pos="6600" w:val="left"/>
        </w:tabs>
        <w:rPr>
          <w:sz w:val="20"/>
          <w:szCs w:val="20"/>
          <w:color w:val="auto"/>
        </w:rPr>
      </w:pPr>
      <w:r>
        <w:rPr>
          <w:rFonts w:ascii="Arial" w:cs="Arial" w:eastAsia="Arial" w:hAnsi="Arial"/>
          <w:sz w:val="18"/>
          <w:szCs w:val="18"/>
          <w:color w:val="auto"/>
        </w:rPr>
        <w:t>Los Angeles</w:t>
        <w:tab/>
        <w:t>New York</w:t>
        <w:tab/>
        <w:t>Chicago</w:t>
        <w:tab/>
        <w:t>Nashville Washington, DC</w:t>
        <w:tab/>
        <w:t>Beijing</w:t>
        <w:tab/>
        <w:t>Hong Kong</w:t>
      </w:r>
      <w:r>
        <w:rPr>
          <w:sz w:val="20"/>
          <w:szCs w:val="20"/>
          <w:color w:val="auto"/>
        </w:rPr>
        <w:tab/>
      </w:r>
      <w:r>
        <w:rPr>
          <w:rFonts w:ascii="Arial" w:cs="Arial" w:eastAsia="Arial" w:hAnsi="Arial"/>
          <w:sz w:val="16"/>
          <w:szCs w:val="16"/>
          <w:color w:val="auto"/>
        </w:rPr>
        <w:t>www.loeb.com</w:t>
      </w:r>
    </w:p>
    <w:p>
      <w:pPr>
        <w:spacing w:after="0" w:line="225" w:lineRule="exact"/>
        <w:rPr>
          <w:sz w:val="24"/>
          <w:szCs w:val="24"/>
          <w:color w:val="auto"/>
        </w:rPr>
      </w:pPr>
    </w:p>
    <w:p>
      <w:pPr>
        <w:spacing w:after="0"/>
        <w:rPr>
          <w:sz w:val="20"/>
          <w:szCs w:val="20"/>
          <w:color w:val="auto"/>
        </w:rPr>
      </w:pPr>
      <w:r>
        <w:rPr>
          <w:rFonts w:ascii="Arial" w:cs="Arial" w:eastAsia="Arial" w:hAnsi="Arial"/>
          <w:sz w:val="18"/>
          <w:szCs w:val="18"/>
          <w:color w:val="auto"/>
        </w:rPr>
        <w:t>A limited liability partnership including professional corporations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443230</wp:posOffset>
            </wp:positionV>
            <wp:extent cx="7132320" cy="171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01" w:right="339" w:bottom="1440" w:gutter="0" w:footer="0" w:header="0"/>
          <w:type w:val="continuous"/>
        </w:sectPr>
      </w:pPr>
    </w:p>
    <w:bookmarkStart w:id="1" w:name="page2"/>
    <w:bookmarkEnd w:id="1"/>
    <w:p>
      <w:pPr>
        <w:jc w:val="right"/>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208280</wp:posOffset>
            </wp:positionH>
            <wp:positionV relativeFrom="page">
              <wp:posOffset>568960</wp:posOffset>
            </wp:positionV>
            <wp:extent cx="531495" cy="53149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clrChange>
                        <a:clrFrom>
                          <a:srgbClr val="FFFFFF"/>
                        </a:clrFrom>
                        <a:clrTo>
                          <a:srgbClr val="FFFFFF">
                            <a:alpha val="0"/>
                          </a:srgbClr>
                        </a:clrTo>
                      </a:clrChange>
                      <a:extLst>
                        <a:ext uri="{28A0092B-C50C-407E-A947-70E740481C1C}"/>
                      </a:extLst>
                    </a:blip>
                    <a:srcRect/>
                    <a:stretch>
                      <a:fillRect/>
                    </a:stretch>
                  </pic:blipFill>
                  <pic:spPr bwMode="auto">
                    <a:xfrm>
                      <a:off x="0" y="0"/>
                      <a:ext cx="531495" cy="531495"/>
                    </a:xfrm>
                    <a:prstGeom prst="rect">
                      <a:avLst/>
                    </a:prstGeom>
                    <a:noFill/>
                  </pic:spPr>
                </pic:pic>
              </a:graphicData>
            </a:graphic>
          </wp:anchor>
        </w:drawing>
        <w:t>Karina Dorin</w:t>
      </w:r>
    </w:p>
    <w:p>
      <w:pPr>
        <w:spacing w:after="0" w:line="23" w:lineRule="exact"/>
        <w:rPr>
          <w:sz w:val="20"/>
          <w:szCs w:val="20"/>
          <w:color w:val="auto"/>
        </w:rPr>
      </w:pPr>
    </w:p>
    <w:p>
      <w:pPr>
        <w:jc w:val="right"/>
        <w:ind w:right="40"/>
        <w:spacing w:after="0"/>
        <w:rPr>
          <w:sz w:val="20"/>
          <w:szCs w:val="20"/>
          <w:color w:val="auto"/>
        </w:rPr>
      </w:pPr>
      <w:r>
        <w:rPr>
          <w:rFonts w:ascii="Arial" w:cs="Arial" w:eastAsia="Arial" w:hAnsi="Arial"/>
          <w:sz w:val="18"/>
          <w:szCs w:val="18"/>
          <w:color w:val="auto"/>
        </w:rPr>
        <w:t>March 1, 2021</w:t>
      </w:r>
    </w:p>
    <w:p>
      <w:pPr>
        <w:spacing w:after="0" w:line="9" w:lineRule="exact"/>
        <w:rPr>
          <w:sz w:val="20"/>
          <w:szCs w:val="20"/>
          <w:color w:val="auto"/>
        </w:rPr>
      </w:pPr>
    </w:p>
    <w:p>
      <w:pPr>
        <w:jc w:val="right"/>
        <w:ind w:right="40"/>
        <w:spacing w:after="0"/>
        <w:rPr>
          <w:sz w:val="20"/>
          <w:szCs w:val="20"/>
          <w:color w:val="auto"/>
        </w:rPr>
      </w:pPr>
      <w:r>
        <w:rPr>
          <w:rFonts w:ascii="Arial" w:cs="Arial" w:eastAsia="Arial" w:hAnsi="Arial"/>
          <w:sz w:val="18"/>
          <w:szCs w:val="18"/>
          <w:color w:val="auto"/>
        </w:rPr>
        <w:t>Page 2</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Registration Statement on Form S-1 submitted February 12, 2021</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Cover Page</w:t>
      </w:r>
    </w:p>
    <w:p>
      <w:pPr>
        <w:spacing w:after="0" w:line="225" w:lineRule="exact"/>
        <w:rPr>
          <w:sz w:val="20"/>
          <w:szCs w:val="20"/>
          <w:color w:val="auto"/>
        </w:rPr>
      </w:pPr>
    </w:p>
    <w:p>
      <w:pPr>
        <w:jc w:val="both"/>
        <w:ind w:left="660" w:hanging="652"/>
        <w:spacing w:after="0" w:line="266" w:lineRule="auto"/>
        <w:tabs>
          <w:tab w:leader="none" w:pos="660" w:val="left"/>
        </w:tabs>
        <w:numPr>
          <w:ilvl w:val="0"/>
          <w:numId w:val="1"/>
        </w:numPr>
        <w:rPr>
          <w:rFonts w:ascii="Arial" w:cs="Arial" w:eastAsia="Arial" w:hAnsi="Arial"/>
          <w:sz w:val="18"/>
          <w:szCs w:val="18"/>
          <w:color w:val="auto"/>
        </w:rPr>
      </w:pPr>
      <w:r>
        <w:rPr>
          <w:rFonts w:ascii="Arial" w:cs="Arial" w:eastAsia="Arial" w:hAnsi="Arial"/>
          <w:sz w:val="18"/>
          <w:szCs w:val="18"/>
          <w:b w:val="1"/>
          <w:bCs w:val="1"/>
          <w:color w:val="auto"/>
        </w:rPr>
        <w:t>We note your revised disclosure regarding redemption of the subunits if you are unable to consummate an initial business combination “within 24 months.” Please revise to clarify whether you will redeem such subunits if you are unable to consummate an initial business combination within 24 months from the closing of this offering.</w:t>
      </w:r>
    </w:p>
    <w:p>
      <w:pPr>
        <w:spacing w:after="0" w:line="176" w:lineRule="exact"/>
        <w:rPr>
          <w:sz w:val="20"/>
          <w:szCs w:val="20"/>
          <w:color w:val="auto"/>
        </w:rPr>
      </w:pPr>
    </w:p>
    <w:p>
      <w:pPr>
        <w:jc w:val="both"/>
        <w:ind w:left="660"/>
        <w:spacing w:after="0" w:line="266" w:lineRule="auto"/>
        <w:rPr>
          <w:sz w:val="20"/>
          <w:szCs w:val="20"/>
          <w:color w:val="auto"/>
        </w:rPr>
      </w:pPr>
      <w:r>
        <w:rPr>
          <w:rFonts w:ascii="Arial" w:cs="Arial" w:eastAsia="Arial" w:hAnsi="Arial"/>
          <w:sz w:val="18"/>
          <w:szCs w:val="18"/>
          <w:b w:val="1"/>
          <w:bCs w:val="1"/>
          <w:color w:val="auto"/>
        </w:rPr>
        <w:t xml:space="preserve">Response: </w:t>
      </w:r>
      <w:r>
        <w:rPr>
          <w:rFonts w:ascii="Arial" w:cs="Arial" w:eastAsia="Arial" w:hAnsi="Arial"/>
          <w:sz w:val="18"/>
          <w:szCs w:val="18"/>
          <w:color w:val="auto"/>
        </w:rPr>
        <w:t>The Company has revised the disclosures on the cover page, and pages 4, 6, 15, 16, 20, 32, 35, 44, 61, 63, 64, 68, and 85 of the</w:t>
      </w:r>
      <w:r>
        <w:rPr>
          <w:rFonts w:ascii="Arial" w:cs="Arial" w:eastAsia="Arial" w:hAnsi="Arial"/>
          <w:sz w:val="18"/>
          <w:szCs w:val="18"/>
          <w:b w:val="1"/>
          <w:bCs w:val="1"/>
          <w:color w:val="auto"/>
        </w:rPr>
        <w:t xml:space="preserve"> </w:t>
      </w:r>
      <w:r>
        <w:rPr>
          <w:rFonts w:ascii="Arial" w:cs="Arial" w:eastAsia="Arial" w:hAnsi="Arial"/>
          <w:sz w:val="18"/>
          <w:szCs w:val="18"/>
          <w:color w:val="auto"/>
        </w:rPr>
        <w:t>Amended S-1 to clarify that it will redeem such subunits if it is unable to consummate an initial business combination within 24 months from the closing of this offering.</w:t>
      </w:r>
    </w:p>
    <w:p>
      <w:pPr>
        <w:spacing w:after="0" w:line="176"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Financial Statements, page F-1</w:t>
      </w:r>
    </w:p>
    <w:p>
      <w:pPr>
        <w:spacing w:after="0" w:line="225" w:lineRule="exact"/>
        <w:rPr>
          <w:sz w:val="20"/>
          <w:szCs w:val="20"/>
          <w:color w:val="auto"/>
        </w:rPr>
      </w:pPr>
    </w:p>
    <w:p>
      <w:pPr>
        <w:jc w:val="both"/>
        <w:ind w:left="660" w:hanging="652"/>
        <w:spacing w:after="0" w:line="266" w:lineRule="auto"/>
        <w:tabs>
          <w:tab w:leader="none" w:pos="660" w:val="left"/>
        </w:tabs>
        <w:numPr>
          <w:ilvl w:val="0"/>
          <w:numId w:val="2"/>
        </w:numPr>
        <w:rPr>
          <w:rFonts w:ascii="Arial" w:cs="Arial" w:eastAsia="Arial" w:hAnsi="Arial"/>
          <w:sz w:val="18"/>
          <w:szCs w:val="18"/>
          <w:color w:val="auto"/>
        </w:rPr>
      </w:pPr>
      <w:r>
        <w:rPr>
          <w:rFonts w:ascii="Arial" w:cs="Arial" w:eastAsia="Arial" w:hAnsi="Arial"/>
          <w:sz w:val="18"/>
          <w:szCs w:val="18"/>
          <w:b w:val="1"/>
          <w:bCs w:val="1"/>
          <w:color w:val="auto"/>
        </w:rPr>
        <w:t>We note your response to prior comment 7 and believe your financial statements should not be presented for a period that crosses over your fiscal year end. Revise your financial statement presentation to include audited financial statements as of and for the period of inception through December 31, 2020. Refer to Rule 8-02 of Regulation S-X.</w:t>
      </w:r>
    </w:p>
    <w:p>
      <w:pPr>
        <w:spacing w:after="0" w:line="176" w:lineRule="exact"/>
        <w:rPr>
          <w:sz w:val="20"/>
          <w:szCs w:val="20"/>
          <w:color w:val="auto"/>
        </w:rPr>
      </w:pPr>
    </w:p>
    <w:p>
      <w:pPr>
        <w:ind w:left="660" w:right="200"/>
        <w:spacing w:after="0" w:line="282" w:lineRule="auto"/>
        <w:rPr>
          <w:sz w:val="20"/>
          <w:szCs w:val="20"/>
          <w:color w:val="auto"/>
        </w:rPr>
      </w:pPr>
      <w:r>
        <w:rPr>
          <w:rFonts w:ascii="Arial" w:cs="Arial" w:eastAsia="Arial" w:hAnsi="Arial"/>
          <w:sz w:val="18"/>
          <w:szCs w:val="18"/>
          <w:b w:val="1"/>
          <w:bCs w:val="1"/>
          <w:color w:val="auto"/>
        </w:rPr>
        <w:t xml:space="preserve">Response: </w:t>
      </w:r>
      <w:r>
        <w:rPr>
          <w:rFonts w:ascii="Arial" w:cs="Arial" w:eastAsia="Arial" w:hAnsi="Arial"/>
          <w:sz w:val="18"/>
          <w:szCs w:val="18"/>
          <w:color w:val="auto"/>
        </w:rPr>
        <w:t>The Company has revised its financial statement presentation to include audited financial statements as of and for the period of</w:t>
      </w:r>
      <w:r>
        <w:rPr>
          <w:rFonts w:ascii="Arial" w:cs="Arial" w:eastAsia="Arial" w:hAnsi="Arial"/>
          <w:sz w:val="18"/>
          <w:szCs w:val="18"/>
          <w:b w:val="1"/>
          <w:bCs w:val="1"/>
          <w:color w:val="auto"/>
        </w:rPr>
        <w:t xml:space="preserve"> </w:t>
      </w:r>
      <w:r>
        <w:rPr>
          <w:rFonts w:ascii="Arial" w:cs="Arial" w:eastAsia="Arial" w:hAnsi="Arial"/>
          <w:sz w:val="18"/>
          <w:szCs w:val="18"/>
          <w:color w:val="auto"/>
        </w:rPr>
        <w:t>inception through December 31, 2020 on pages F-3, F-4, F-5, and F-6.</w:t>
      </w:r>
    </w:p>
    <w:p>
      <w:pPr>
        <w:spacing w:after="0" w:line="162"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Exhibits</w:t>
      </w:r>
    </w:p>
    <w:p>
      <w:pPr>
        <w:spacing w:after="0" w:line="225" w:lineRule="exact"/>
        <w:rPr>
          <w:sz w:val="20"/>
          <w:szCs w:val="20"/>
          <w:color w:val="auto"/>
        </w:rPr>
      </w:pPr>
    </w:p>
    <w:p>
      <w:pPr>
        <w:jc w:val="both"/>
        <w:ind w:left="660" w:hanging="652"/>
        <w:spacing w:after="0" w:line="303" w:lineRule="auto"/>
        <w:tabs>
          <w:tab w:leader="none" w:pos="660" w:val="left"/>
        </w:tabs>
        <w:numPr>
          <w:ilvl w:val="0"/>
          <w:numId w:val="3"/>
        </w:numPr>
        <w:rPr>
          <w:rFonts w:ascii="Arial" w:cs="Arial" w:eastAsia="Arial" w:hAnsi="Arial"/>
          <w:sz w:val="16"/>
          <w:szCs w:val="16"/>
          <w:color w:val="auto"/>
        </w:rPr>
      </w:pPr>
      <w:r>
        <w:rPr>
          <w:rFonts w:ascii="Arial" w:cs="Arial" w:eastAsia="Arial" w:hAnsi="Arial"/>
          <w:sz w:val="16"/>
          <w:szCs w:val="16"/>
          <w:b w:val="1"/>
          <w:bCs w:val="1"/>
          <w:color w:val="auto"/>
        </w:rPr>
        <w:t>Please obtain and file a revised legality opinion that opines on the legality of each of the securities covered by the registration statement. For example, it is not clear whether the shares of common stock included as part of the subunits or underlying the public warrants are covered by the legality opinion, and the legality opinion does not opine on the legality of the subunits and public warrants. We also note that the term “Shares” is not defined, and it is not clear why the opinion opines on shares underlying “Public Rights.”</w:t>
      </w:r>
    </w:p>
    <w:p>
      <w:pPr>
        <w:spacing w:after="0" w:line="150" w:lineRule="exact"/>
        <w:rPr>
          <w:rFonts w:ascii="Arial" w:cs="Arial" w:eastAsia="Arial" w:hAnsi="Arial"/>
          <w:sz w:val="16"/>
          <w:szCs w:val="16"/>
          <w:color w:val="auto"/>
        </w:rPr>
      </w:pPr>
    </w:p>
    <w:p>
      <w:pPr>
        <w:ind w:left="660"/>
        <w:spacing w:after="0"/>
        <w:rPr>
          <w:rFonts w:ascii="Arial" w:cs="Arial" w:eastAsia="Arial" w:hAnsi="Arial"/>
          <w:sz w:val="16"/>
          <w:szCs w:val="16"/>
          <w:color w:val="auto"/>
        </w:rPr>
      </w:pPr>
      <w:r>
        <w:rPr>
          <w:rFonts w:ascii="Arial" w:cs="Arial" w:eastAsia="Arial" w:hAnsi="Arial"/>
          <w:sz w:val="18"/>
          <w:szCs w:val="18"/>
          <w:b w:val="1"/>
          <w:bCs w:val="1"/>
          <w:color w:val="auto"/>
        </w:rPr>
        <w:t xml:space="preserve">Response: </w:t>
      </w:r>
      <w:r>
        <w:rPr>
          <w:rFonts w:ascii="Arial" w:cs="Arial" w:eastAsia="Arial" w:hAnsi="Arial"/>
          <w:sz w:val="18"/>
          <w:szCs w:val="18"/>
          <w:color w:val="auto"/>
        </w:rPr>
        <w:t>The Company has filed a revised legality opinion with the Amended S-1.</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Please call me at (212) 407-4866 if you would like additional information with respect to any of the foregoing.</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Thank you.</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Sincerely,</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/s/ Giovanni Caruso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2854325" cy="171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2854325" cy="17145"/>
                    </a:xfrm>
                    <a:prstGeom prst="rect">
                      <a:avLst/>
                    </a:prstGeom>
                    <a:noFill/>
                  </pic:spPr>
                </pic:pic>
              </a:graphicData>
            </a:graphic>
          </wp:anchor>
        </w:drawing>
      </w:r>
    </w:p>
    <w:p>
      <w:pPr>
        <w:spacing w:after="0" w:line="16" w:lineRule="exact"/>
        <w:rPr>
          <w:sz w:val="20"/>
          <w:szCs w:val="20"/>
          <w:color w:val="auto"/>
        </w:rPr>
      </w:pPr>
    </w:p>
    <w:p>
      <w:pPr>
        <w:spacing w:after="0"/>
        <w:rPr>
          <w:sz w:val="20"/>
          <w:szCs w:val="20"/>
          <w:color w:val="auto"/>
        </w:rPr>
      </w:pPr>
      <w:r>
        <w:rPr>
          <w:rFonts w:ascii="Arial" w:cs="Arial" w:eastAsia="Arial" w:hAnsi="Arial"/>
          <w:sz w:val="18"/>
          <w:szCs w:val="18"/>
          <w:color w:val="auto"/>
        </w:rPr>
        <w:t>Giovanni Caruso</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Partner</w:t>
      </w:r>
    </w:p>
    <w:p>
      <w:pPr>
        <w:spacing w:after="0" w:line="211" w:lineRule="exact"/>
        <w:rPr>
          <w:sz w:val="20"/>
          <w:szCs w:val="20"/>
          <w:color w:val="auto"/>
        </w:rPr>
      </w:pPr>
    </w:p>
    <w:p>
      <w:pPr>
        <w:ind w:right="3400"/>
        <w:spacing w:after="0" w:line="527" w:lineRule="auto"/>
        <w:rPr>
          <w:sz w:val="20"/>
          <w:szCs w:val="20"/>
          <w:color w:val="auto"/>
        </w:rPr>
      </w:pPr>
      <w:r>
        <w:rPr>
          <w:rFonts w:ascii="Arial" w:cs="Arial" w:eastAsia="Arial" w:hAnsi="Arial"/>
          <w:sz w:val="18"/>
          <w:szCs w:val="18"/>
          <w:color w:val="auto"/>
        </w:rPr>
        <w:t>Los Angeles New York Chicago Nashville Washington, DC Beijing Hong Kong www.loeb.com A limited liability partnership including professional corporations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254635</wp:posOffset>
            </wp:positionV>
            <wp:extent cx="7132320" cy="171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sectPr>
      <w:pgSz w:w="11900" w:h="16838" w:orient="portrait"/>
      <w:cols w:equalWidth="0" w:num="1">
        <w:col w:w="11240"/>
      </w:cols>
      <w:pgMar w:left="320" w:top="1070"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2"/>
    </w:lvl>
  </w:abstractNum>
  <w:abstractNum w:abstractNumId="2">
    <w:nsid w:val="19495CFF"/>
    <w:multiLevelType w:val="hybridMultilevel"/>
    <w:lvl w:ilvl="0">
      <w:lvlJc w:val="left"/>
      <w:lvlText w:val="%1."/>
      <w:numFmt w:val="decimal"/>
      <w:start w:val="3"/>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jpeg"/><Relationship Id="rId11" Type="http://schemas.openxmlformats.org/officeDocument/2006/relationships/image" Target="media/image4.png"/><Relationship Id="rId12" Type="http://schemas.openxmlformats.org/officeDocument/2006/relationships/image" Target="media/image5.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2021-08-15T20:51:57Z</dcterms:created>
  <dcterms:modified xsi:type="dcterms:W3CDTF">2021-08-15T20:51:57Z</dcterms:modified>
</cp:coreProperties>
</file>