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0"/>
        <w:spacing w:after="0"/>
        <w:rPr>
          <w:sz w:val="20"/>
          <w:szCs w:val="20"/>
          <w:color w:val="auto"/>
        </w:rPr>
      </w:pPr>
      <w:r>
        <w:rPr>
          <w:rFonts w:ascii="Arial" w:cs="Arial" w:eastAsia="Arial" w:hAnsi="Arial"/>
          <w:sz w:val="18"/>
          <w:szCs w:val="18"/>
          <w:b w:val="1"/>
          <w:bCs w:val="1"/>
          <w:color w:val="auto"/>
        </w:rPr>
        <w:t>As filed with the Securities and Exchange Commission on March 5, 2021</w:t>
      </w:r>
    </w:p>
    <w:p>
      <w:pPr>
        <w:spacing w:after="0" w:line="50" w:lineRule="exact"/>
        <w:rPr>
          <w:sz w:val="24"/>
          <w:szCs w:val="24"/>
          <w:color w:val="auto"/>
        </w:rPr>
      </w:pPr>
    </w:p>
    <w:p>
      <w:pPr>
        <w:ind w:left="6380"/>
        <w:spacing w:after="0"/>
        <w:rPr>
          <w:sz w:val="20"/>
          <w:szCs w:val="20"/>
          <w:color w:val="auto"/>
        </w:rPr>
      </w:pPr>
      <w:r>
        <w:rPr>
          <w:rFonts w:ascii="Arial" w:cs="Arial" w:eastAsia="Arial" w:hAnsi="Arial"/>
          <w:sz w:val="16"/>
          <w:szCs w:val="16"/>
          <w:b w:val="1"/>
          <w:bCs w:val="1"/>
          <w:color w:val="auto"/>
        </w:rPr>
        <w:t>Registration No. 333-253108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8"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FORM S-1/A</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(Amendment No. 2)</w:t>
      </w:r>
    </w:p>
    <w:p>
      <w:pPr>
        <w:spacing w:after="0" w:line="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ARCHIMEDES TECH SPAC PARTNERS CO.</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93"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Delaware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86-1286799</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3"/>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3"/>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180"/>
              <w:spacing w:after="0"/>
              <w:rPr>
                <w:sz w:val="20"/>
                <w:szCs w:val="20"/>
                <w:color w:val="auto"/>
              </w:rPr>
            </w:pPr>
            <w:r>
              <w:rPr>
                <w:rFonts w:ascii="Arial" w:cs="Arial" w:eastAsia="Arial" w:hAnsi="Arial"/>
                <w:sz w:val="18"/>
                <w:szCs w:val="18"/>
                <w:i w:val="1"/>
                <w:iCs w:val="1"/>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1"/>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i w:val="1"/>
                <w:iCs w:val="1"/>
                <w:color w:val="auto"/>
                <w:w w:val="93"/>
              </w:rPr>
              <w:t>Identification Number)</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offices)</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N. Cannon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Corporation Service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185"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Mitchell S. Nussbaum</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David Alan Miller, Esq.</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Giovanni Caruso</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Jeffrey M. Gallant, Esq.</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4"/>
              </w:rPr>
              <w:t>Loeb &amp; Loeb LLP</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7"/>
              </w:rPr>
              <w:t>Graubard Miller</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345 Park Avenues</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The Chrysler Building</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New York 10145</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405 Lexington Avenue</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(212) 407-4000</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New York, New York 10174</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(212) 407-4990 — Facsimile</w:t>
            </w: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(212) 818-8800</w:t>
            </w:r>
          </w:p>
        </w:tc>
      </w:tr>
      <w:tr>
        <w:trPr>
          <w:trHeight w:val="234"/>
        </w:trPr>
        <w:tc>
          <w:tcPr>
            <w:tcW w:w="2200" w:type="dxa"/>
            <w:vAlign w:val="bottom"/>
          </w:tcPr>
          <w:p>
            <w:pPr>
              <w:spacing w:after="0"/>
              <w:rPr>
                <w:sz w:val="20"/>
                <w:szCs w:val="20"/>
                <w:color w:val="auto"/>
              </w:rPr>
            </w:pPr>
          </w:p>
        </w:tc>
        <w:tc>
          <w:tcPr>
            <w:tcW w:w="402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(212) 818-8881 — Facsimile</w:t>
            </w:r>
          </w:p>
        </w:tc>
      </w:tr>
      <w:tr>
        <w:trPr>
          <w:trHeight w:val="445"/>
        </w:trPr>
        <w:tc>
          <w:tcPr>
            <w:tcW w:w="2200" w:type="dxa"/>
            <w:vAlign w:val="bottom"/>
          </w:tcPr>
          <w:p>
            <w:pPr>
              <w:spacing w:after="0"/>
              <w:rPr>
                <w:sz w:val="24"/>
                <w:szCs w:val="24"/>
                <w:color w:val="auto"/>
              </w:rPr>
            </w:pPr>
          </w:p>
        </w:tc>
        <w:tc>
          <w:tcPr>
            <w:tcW w:w="4020" w:type="dxa"/>
            <w:vAlign w:val="bottom"/>
          </w:tcPr>
          <w:p>
            <w:pPr>
              <w:jc w:val="right"/>
              <w:ind w:right="2150"/>
              <w:spacing w:after="0"/>
              <w:rPr>
                <w:sz w:val="20"/>
                <w:szCs w:val="20"/>
                <w:color w:val="auto"/>
              </w:rPr>
            </w:pPr>
            <w:r>
              <w:rPr>
                <w:rFonts w:ascii="Arial" w:cs="Arial" w:eastAsia="Arial" w:hAnsi="Arial"/>
                <w:sz w:val="18"/>
                <w:szCs w:val="18"/>
                <w:b w:val="1"/>
                <w:bCs w:val="1"/>
                <w:color w:val="auto"/>
                <w:w w:val="92"/>
              </w:rPr>
              <w:t>___________________</w:t>
            </w:r>
          </w:p>
        </w:tc>
      </w:tr>
    </w:tbl>
    <w:p>
      <w:pPr>
        <w:spacing w:after="0" w:line="40" w:lineRule="exact"/>
        <w:rPr>
          <w:sz w:val="24"/>
          <w:szCs w:val="24"/>
          <w:color w:val="auto"/>
        </w:rPr>
      </w:pPr>
    </w:p>
    <w:p>
      <w:pPr>
        <w:jc w:val="both"/>
        <w:ind w:left="460" w:right="479"/>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w:t>
      </w:r>
    </w:p>
    <w:p>
      <w:pPr>
        <w:spacing w:after="0" w:line="6" w:lineRule="exact"/>
        <w:rPr>
          <w:sz w:val="24"/>
          <w:szCs w:val="24"/>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10" w:lineRule="exact"/>
        <w:rPr>
          <w:sz w:val="24"/>
          <w:szCs w:val="24"/>
          <w:color w:val="auto"/>
        </w:rPr>
      </w:pPr>
    </w:p>
    <w:p>
      <w:pPr>
        <w:jc w:val="both"/>
        <w:ind w:left="460" w:right="479"/>
        <w:spacing w:after="0" w:line="278"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79"/>
        <w:spacing w:after="0" w:line="278"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22" w:lineRule="exact"/>
        <w:rPr>
          <w:sz w:val="24"/>
          <w:szCs w:val="24"/>
          <w:color w:val="auto"/>
        </w:rPr>
      </w:pPr>
    </w:p>
    <w:p>
      <w:pPr>
        <w:jc w:val="both"/>
        <w:ind w:left="460" w:right="479"/>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1520" w:type="dxa"/>
            <w:vAlign w:val="bottom"/>
          </w:tcPr>
          <w:p>
            <w:pPr>
              <w:spacing w:after="0"/>
              <w:rPr>
                <w:sz w:val="20"/>
                <w:szCs w:val="20"/>
                <w:color w:val="auto"/>
              </w:rPr>
            </w:pPr>
            <w:r>
              <w:rPr>
                <w:rFonts w:ascii="Arial" w:cs="Arial" w:eastAsia="Arial" w:hAnsi="Arial"/>
                <w:sz w:val="16"/>
                <w:szCs w:val="16"/>
                <w:color w:val="auto"/>
                <w:w w:val="94"/>
              </w:rPr>
              <w:t>Large accelerated filer</w:t>
            </w:r>
          </w:p>
        </w:tc>
        <w:tc>
          <w:tcPr>
            <w:tcW w:w="1180" w:type="dxa"/>
            <w:vAlign w:val="bottom"/>
          </w:tcPr>
          <w:p>
            <w:pPr>
              <w:ind w:left="60"/>
              <w:spacing w:after="0"/>
              <w:rPr>
                <w:sz w:val="20"/>
                <w:szCs w:val="20"/>
                <w:color w:val="auto"/>
              </w:rPr>
            </w:pPr>
            <w:r>
              <w:rPr>
                <w:rFonts w:ascii="Arial" w:cs="Arial" w:eastAsia="Arial" w:hAnsi="Arial"/>
                <w:sz w:val="16"/>
                <w:szCs w:val="16"/>
                <w:color w:val="auto"/>
              </w:rPr>
              <w:t>£</w:t>
            </w:r>
          </w:p>
        </w:tc>
        <w:tc>
          <w:tcPr>
            <w:tcW w:w="3020" w:type="dxa"/>
            <w:vAlign w:val="bottom"/>
          </w:tcPr>
          <w:p>
            <w:pPr>
              <w:ind w:left="10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r>
      <w:tr>
        <w:trPr>
          <w:trHeight w:val="284"/>
        </w:trPr>
        <w:tc>
          <w:tcPr>
            <w:tcW w:w="1520" w:type="dxa"/>
            <w:vAlign w:val="bottom"/>
          </w:tcPr>
          <w:p>
            <w:pPr>
              <w:spacing w:after="0"/>
              <w:rPr>
                <w:sz w:val="20"/>
                <w:szCs w:val="20"/>
                <w:color w:val="auto"/>
              </w:rPr>
            </w:pPr>
            <w:r>
              <w:rPr>
                <w:rFonts w:ascii="Arial" w:cs="Arial" w:eastAsia="Arial" w:hAnsi="Arial"/>
                <w:sz w:val="16"/>
                <w:szCs w:val="16"/>
                <w:color w:val="auto"/>
              </w:rPr>
              <w:t>Non-accelerated filer</w:t>
            </w:r>
          </w:p>
        </w:tc>
        <w:tc>
          <w:tcPr>
            <w:tcW w:w="1180" w:type="dxa"/>
            <w:vAlign w:val="bottom"/>
          </w:tcPr>
          <w:p>
            <w:pPr>
              <w:ind w:left="60"/>
              <w:spacing w:after="0"/>
              <w:rPr>
                <w:sz w:val="20"/>
                <w:szCs w:val="20"/>
                <w:color w:val="auto"/>
              </w:rPr>
            </w:pPr>
            <w:r>
              <w:rPr>
                <w:rFonts w:ascii="Arial" w:cs="Arial" w:eastAsia="Arial" w:hAnsi="Arial"/>
                <w:sz w:val="16"/>
                <w:szCs w:val="16"/>
                <w:color w:val="auto"/>
              </w:rPr>
              <w:t>S</w:t>
            </w:r>
          </w:p>
        </w:tc>
        <w:tc>
          <w:tcPr>
            <w:tcW w:w="3020" w:type="dxa"/>
            <w:vAlign w:val="bottom"/>
          </w:tcPr>
          <w:p>
            <w:pPr>
              <w:ind w:left="10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40"/>
              <w:spacing w:after="0"/>
              <w:rPr>
                <w:sz w:val="20"/>
                <w:szCs w:val="20"/>
                <w:color w:val="auto"/>
              </w:rPr>
            </w:pPr>
            <w:r>
              <w:rPr>
                <w:rFonts w:ascii="Arial" w:cs="Arial" w:eastAsia="Arial" w:hAnsi="Arial"/>
                <w:sz w:val="16"/>
                <w:szCs w:val="16"/>
                <w:color w:val="auto"/>
                <w:w w:val="74"/>
              </w:rPr>
              <w:t>S</w:t>
            </w:r>
          </w:p>
        </w:tc>
      </w:tr>
      <w:tr>
        <w:trPr>
          <w:trHeight w:val="283"/>
        </w:trPr>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20" w:type="dxa"/>
            <w:vAlign w:val="bottom"/>
          </w:tcPr>
          <w:p>
            <w:pPr>
              <w:ind w:left="102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40"/>
              <w:spacing w:after="0"/>
              <w:rPr>
                <w:sz w:val="20"/>
                <w:szCs w:val="20"/>
                <w:color w:val="auto"/>
              </w:rPr>
            </w:pPr>
            <w:r>
              <w:rPr>
                <w:rFonts w:ascii="Arial" w:cs="Arial" w:eastAsia="Arial" w:hAnsi="Arial"/>
                <w:sz w:val="16"/>
                <w:szCs w:val="16"/>
                <w:color w:val="auto"/>
                <w:w w:val="74"/>
              </w:rPr>
              <w:t>S</w:t>
            </w:r>
          </w:p>
        </w:tc>
      </w:tr>
    </w:tbl>
    <w:p>
      <w:pPr>
        <w:spacing w:after="0" w:line="199" w:lineRule="exact"/>
        <w:rPr>
          <w:sz w:val="24"/>
          <w:szCs w:val="24"/>
          <w:color w:val="auto"/>
        </w:rPr>
      </w:pPr>
    </w:p>
    <w:p>
      <w:pPr>
        <w:jc w:val="both"/>
        <w:ind w:left="460" w:right="459"/>
        <w:spacing w:after="0" w:line="27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pgSz w:w="11900" w:h="16838" w:orient="portrait"/>
          <w:cols w:equalWidth="0" w:num="1">
            <w:col w:w="9019"/>
          </w:cols>
          <w:pgMar w:left="1440" w:top="337" w:right="1440" w:bottom="0" w:gutter="0" w:footer="0" w:header="0"/>
        </w:sectPr>
      </w:pPr>
    </w:p>
    <w:bookmarkStart w:id="1" w:name="page2"/>
    <w:bookmarkEnd w:id="1"/>
    <w:p>
      <w:pPr>
        <w:jc w:val="both"/>
        <w:spacing w:after="0" w:line="27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Proposed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Proposed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Maximum</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Offering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63"/>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Amount being</w:t>
            </w: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Price Per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57"/>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w w:val="92"/>
              </w:rPr>
              <w:t>Title of each Class of Security being registered</w:t>
            </w: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Registered</w:t>
            </w:r>
          </w:p>
        </w:tc>
        <w:tc>
          <w:tcPr>
            <w:tcW w:w="9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Security</w:t>
            </w:r>
            <w:r>
              <w:rPr>
                <w:rFonts w:ascii="Arial" w:cs="Arial" w:eastAsia="Arial" w:hAnsi="Arial"/>
                <w:sz w:val="18"/>
                <w:szCs w:val="18"/>
                <w:b w:val="1"/>
                <w:bCs w:val="1"/>
                <w:color w:val="auto"/>
                <w:w w:val="89"/>
                <w:vertAlign w:val="superscript"/>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Price</w:t>
            </w:r>
            <w:r>
              <w:rPr>
                <w:rFonts w:ascii="Arial" w:cs="Arial" w:eastAsia="Arial" w:hAnsi="Arial"/>
                <w:sz w:val="18"/>
                <w:szCs w:val="18"/>
                <w:b w:val="1"/>
                <w:bCs w:val="1"/>
                <w:color w:val="auto"/>
                <w:w w:val="85"/>
                <w:vertAlign w:val="superscript"/>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center"/>
              <w:ind w:right="23"/>
              <w:spacing w:after="0" w:line="256" w:lineRule="exact"/>
              <w:rPr>
                <w:sz w:val="20"/>
                <w:szCs w:val="20"/>
                <w:color w:val="auto"/>
              </w:rPr>
            </w:pPr>
            <w:r>
              <w:rPr>
                <w:rFonts w:ascii="Arial" w:cs="Arial" w:eastAsia="Arial" w:hAnsi="Arial"/>
                <w:sz w:val="29"/>
                <w:szCs w:val="29"/>
                <w:b w:val="1"/>
                <w:bCs w:val="1"/>
                <w:color w:val="auto"/>
                <w:w w:val="83"/>
                <w:vertAlign w:val="subscript"/>
              </w:rPr>
              <w:t>Fee</w:t>
            </w:r>
            <w:r>
              <w:rPr>
                <w:rFonts w:ascii="Arial" w:cs="Arial" w:eastAsia="Arial" w:hAnsi="Arial"/>
                <w:sz w:val="9"/>
                <w:szCs w:val="9"/>
                <w:b w:val="1"/>
                <w:bCs w:val="1"/>
                <w:color w:val="auto"/>
                <w:w w:val="83"/>
              </w:rPr>
              <w:t>(6)(7)</w:t>
            </w:r>
          </w:p>
        </w:tc>
        <w:tc>
          <w:tcPr>
            <w:tcW w:w="0" w:type="dxa"/>
            <w:vAlign w:val="bottom"/>
          </w:tcPr>
          <w:p>
            <w:pPr>
              <w:spacing w:after="0"/>
              <w:rPr>
                <w:sz w:val="1"/>
                <w:szCs w:val="1"/>
                <w:color w:val="auto"/>
              </w:rPr>
            </w:pPr>
          </w:p>
        </w:tc>
      </w:tr>
      <w:tr>
        <w:trPr>
          <w:trHeight w:val="195"/>
        </w:trPr>
        <w:tc>
          <w:tcPr>
            <w:tcW w:w="3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Units, each consisting of one Subunit and</w:t>
            </w:r>
          </w:p>
        </w:tc>
        <w:tc>
          <w:tcPr>
            <w:tcW w:w="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one-quarter of one Warrant</w:t>
            </w:r>
            <w:r>
              <w:rPr>
                <w:rFonts w:ascii="Arial" w:cs="Arial" w:eastAsia="Arial" w:hAnsi="Arial"/>
                <w:sz w:val="20"/>
                <w:szCs w:val="20"/>
                <w:color w:val="auto"/>
                <w:vertAlign w:val="superscript"/>
              </w:rPr>
              <w:t>(2)</w:t>
            </w:r>
          </w:p>
        </w:tc>
        <w:tc>
          <w:tcPr>
            <w:tcW w:w="1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11,500,000 Units</w:t>
            </w:r>
            <w:r>
              <w:rPr>
                <w:rFonts w:ascii="Arial" w:cs="Arial" w:eastAsia="Arial" w:hAnsi="Arial"/>
                <w:sz w:val="20"/>
                <w:szCs w:val="20"/>
                <w:color w:val="auto"/>
                <w:w w:val="89"/>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115,000,000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12,547</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1"/>
              </w:rPr>
              <w:t>Redeemable Warrants included as part of the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tcPr>
          <w:p>
            <w:pPr>
              <w:ind w:left="180"/>
              <w:spacing w:after="0" w:line="271" w:lineRule="exact"/>
              <w:rPr>
                <w:sz w:val="20"/>
                <w:szCs w:val="20"/>
                <w:color w:val="auto"/>
              </w:rPr>
            </w:pPr>
            <w:r>
              <w:rPr>
                <w:rFonts w:ascii="Arial" w:cs="Arial" w:eastAsia="Arial" w:hAnsi="Arial"/>
                <w:sz w:val="31"/>
                <w:szCs w:val="31"/>
                <w:color w:val="auto"/>
                <w:vertAlign w:val="subscript"/>
              </w:rPr>
              <w:t>Units</w:t>
            </w:r>
            <w:r>
              <w:rPr>
                <w:rFonts w:ascii="Arial" w:cs="Arial" w:eastAsia="Arial" w:hAnsi="Arial"/>
                <w:sz w:val="10"/>
                <w:szCs w:val="10"/>
                <w:color w:val="auto"/>
              </w:rPr>
              <w:t>(3)(4)</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2,875,000 Warrants</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 underlying</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warrants included in the units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2,875,000 Shares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33,062,500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5"/>
              </w:rPr>
              <w:t>Subunits included as part of the Units, each</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w w:val="94"/>
              </w:rPr>
              <w:t>consisting of one share of common stock,</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w w:val="95"/>
              </w:rPr>
              <w:t>$.0001 par value, and one-quarter of one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Warrant</w:t>
            </w:r>
          </w:p>
        </w:tc>
        <w:tc>
          <w:tcPr>
            <w:tcW w:w="16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11,500,000 Subunits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Shares of common stock included as part of</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Subunits</w:t>
            </w:r>
            <w:r>
              <w:rPr>
                <w:rFonts w:ascii="Arial" w:cs="Arial" w:eastAsia="Arial" w:hAnsi="Arial"/>
                <w:sz w:val="20"/>
                <w:szCs w:val="20"/>
                <w:color w:val="auto"/>
                <w:vertAlign w:val="superscript"/>
              </w:rPr>
              <w:t>(3)</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11,500,000 Shares</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line="271"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1"/>
              </w:rPr>
              <w:t>Redeemable Warrants included as part of the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Subunits</w:t>
            </w:r>
            <w:r>
              <w:rPr>
                <w:rFonts w:ascii="Arial" w:cs="Arial" w:eastAsia="Arial" w:hAnsi="Arial"/>
                <w:sz w:val="20"/>
                <w:szCs w:val="20"/>
                <w:color w:val="auto"/>
                <w:vertAlign w:val="superscript"/>
              </w:rPr>
              <w:t>(3)</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2,875,000 Warrants</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 underlying</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warrants included in the subunits</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2,875,000 Shares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33,062,500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gridSpan w:val="2"/>
            <w:vMerge w:val="continue"/>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181,125,000</w:t>
            </w:r>
          </w:p>
        </w:tc>
        <w:tc>
          <w:tcPr>
            <w:tcW w:w="20" w:type="dxa"/>
            <w:vAlign w:val="bottom"/>
            <w:vMerge w:val="continue"/>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19,763</w:t>
            </w:r>
            <w:r>
              <w:rPr>
                <w:rFonts w:ascii="Arial" w:cs="Arial" w:eastAsia="Arial" w:hAnsi="Arial"/>
                <w:sz w:val="20"/>
                <w:szCs w:val="20"/>
                <w:color w:val="auto"/>
                <w:vertAlign w:val="superscript"/>
              </w:rPr>
              <w:t>(7)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w:t>
      </w:r>
    </w:p>
    <w:p>
      <w:pPr>
        <w:spacing w:after="0" w:line="22" w:lineRule="exact"/>
        <w:rPr>
          <w:rFonts w:ascii="Arial" w:cs="Arial" w:eastAsia="Arial" w:hAnsi="Arial"/>
          <w:sz w:val="16"/>
          <w:szCs w:val="16"/>
          <w:color w:val="auto"/>
        </w:rPr>
      </w:pPr>
    </w:p>
    <w:p>
      <w:pPr>
        <w:jc w:val="both"/>
        <w:ind w:left="880" w:right="479" w:hanging="426"/>
        <w:spacing w:after="0" w:line="264" w:lineRule="auto"/>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1,500,000 Units, 1,500,000 Subunits, 1,500,000 shares of common stock and an aggregate of 750,000 Redeemable Warrants underlying such Units and Subunits which may be issued on exercise of a 45-day option granted to the underwriter.</w:t>
      </w:r>
    </w:p>
    <w:p>
      <w:pPr>
        <w:ind w:left="880" w:right="479" w:hanging="426"/>
        <w:spacing w:after="0" w:line="264" w:lineRule="auto"/>
        <w:tabs>
          <w:tab w:leader="none" w:pos="96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there are also being registered an indeterminable number of additional securities as may be issued to prevent dilution resulting from stock splits, stock dividends or similar transactions.</w:t>
      </w: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Excludes the 2,875,000 redeemable warrants included as part of the subunits underlying the units.</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w:t>
      </w:r>
    </w:p>
    <w:p>
      <w:pPr>
        <w:spacing w:after="0" w:line="18" w:lineRule="exact"/>
        <w:rPr>
          <w:rFonts w:ascii="Arial" w:cs="Arial" w:eastAsia="Arial" w:hAnsi="Arial"/>
          <w:sz w:val="16"/>
          <w:szCs w:val="16"/>
          <w:color w:val="auto"/>
        </w:rPr>
      </w:pPr>
    </w:p>
    <w:p>
      <w:pPr>
        <w:ind w:left="880" w:right="479" w:hanging="426"/>
        <w:spacing w:after="0" w:line="264" w:lineRule="auto"/>
        <w:tabs>
          <w:tab w:leader="none" w:pos="1049"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457(a) under the Securities Act, based on an estimate of the proposed maximum aggregate offering price.</w:t>
      </w: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Previously paid.</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___________________</w:t>
      </w:r>
    </w:p>
    <w:p>
      <w:pPr>
        <w:spacing w:after="0" w:line="6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24130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66675</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349885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238" w:lineRule="auto"/>
        <w:rPr>
          <w:sz w:val="20"/>
          <w:szCs w:val="20"/>
          <w:color w:val="auto"/>
        </w:rPr>
      </w:pPr>
      <w:r>
        <w:rPr>
          <w:rFonts w:ascii="Arial" w:cs="Arial" w:eastAsia="Arial" w:hAnsi="Arial"/>
          <w:sz w:val="14"/>
          <w:szCs w:val="14"/>
          <w:color w:val="D2232A"/>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or jurisdiction where the offer or sale is not permitted.</w:t>
      </w:r>
    </w:p>
    <w:p>
      <w:pPr>
        <w:spacing w:after="0" w:line="183" w:lineRule="exact"/>
        <w:rPr>
          <w:sz w:val="20"/>
          <w:szCs w:val="20"/>
          <w:color w:val="auto"/>
        </w:rPr>
      </w:pPr>
    </w:p>
    <w:p>
      <w:pPr>
        <w:ind w:left="460" w:right="2299" w:firstLine="1829"/>
        <w:spacing w:after="0" w:line="376" w:lineRule="auto"/>
        <w:rPr>
          <w:sz w:val="20"/>
          <w:szCs w:val="20"/>
          <w:color w:val="auto"/>
        </w:rPr>
      </w:pPr>
      <w:r>
        <w:rPr>
          <w:rFonts w:ascii="Arial" w:cs="Arial" w:eastAsia="Arial" w:hAnsi="Arial"/>
          <w:sz w:val="18"/>
          <w:szCs w:val="18"/>
          <w:b w:val="1"/>
          <w:bCs w:val="1"/>
          <w:color w:val="D2232A"/>
        </w:rPr>
        <w:t>SUBJECT TO COMPLETION, DATED MARCH 5, 2021 PRELIMINARY PROSPECTUS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$100,000,000</w:t>
      </w:r>
    </w:p>
    <w:p>
      <w:pPr>
        <w:spacing w:after="0" w:line="32" w:lineRule="exact"/>
        <w:rPr>
          <w:sz w:val="20"/>
          <w:szCs w:val="20"/>
          <w:color w:val="auto"/>
        </w:rPr>
      </w:pPr>
    </w:p>
    <w:p>
      <w:pPr>
        <w:ind w:left="3280" w:right="3379" w:firstLine="89"/>
        <w:spacing w:after="0" w:line="292" w:lineRule="auto"/>
        <w:rPr>
          <w:sz w:val="20"/>
          <w:szCs w:val="20"/>
          <w:color w:val="auto"/>
        </w:rPr>
      </w:pPr>
      <w:r>
        <w:rPr>
          <w:rFonts w:ascii="Arial" w:cs="Arial" w:eastAsia="Arial" w:hAnsi="Arial"/>
          <w:sz w:val="26"/>
          <w:szCs w:val="26"/>
          <w:b w:val="1"/>
          <w:bCs w:val="1"/>
          <w:color w:val="auto"/>
        </w:rPr>
        <w:t>Archimedes Tech SPAC Partners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1448435"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8435" cy="19748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-435610</wp:posOffset>
            </wp:positionV>
            <wp:extent cx="124333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48006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b w:val="1"/>
          <w:bCs w:val="1"/>
          <w:color w:val="auto"/>
        </w:rPr>
        <w:t>10,000,000 Units</w:t>
      </w:r>
    </w:p>
    <w:p>
      <w:pPr>
        <w:spacing w:after="0" w:line="1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___________________</w:t>
      </w:r>
    </w:p>
    <w:p>
      <w:pPr>
        <w:spacing w:after="0" w:line="128" w:lineRule="exact"/>
        <w:rPr>
          <w:sz w:val="20"/>
          <w:szCs w:val="20"/>
          <w:color w:val="auto"/>
        </w:rPr>
      </w:pPr>
    </w:p>
    <w:p>
      <w:pPr>
        <w:jc w:val="both"/>
        <w:ind w:left="460" w:right="459"/>
        <w:spacing w:after="0" w:line="239" w:lineRule="auto"/>
        <w:rPr>
          <w:sz w:val="20"/>
          <w:szCs w:val="20"/>
          <w:color w:val="auto"/>
        </w:rPr>
      </w:pPr>
      <w:r>
        <w:rPr>
          <w:rFonts w:ascii="Arial" w:cs="Arial" w:eastAsia="Arial" w:hAnsi="Arial"/>
          <w:sz w:val="12"/>
          <w:szCs w:val="12"/>
          <w:color w:val="auto"/>
        </w:rPr>
        <w:t>Archimedes Tech SPAC Partners Co. is a blank check company formed for the purpose of entering into a merger, share exchange, asset acquisition, stock purchase, recapitalization, reorganization or other similar business combination with one or more businesses or entities, which we refer to as a “target business.” Our efforts to identify a prospective target business will not be limited to a particular industry or geographic region although we intend to focus our search for target businesses in the technology industry. We do not have any specific business combination under consideration and we have not (nor has anyone on our behalf), directly or indirectly, contacted any prospective target business or had any substantive discussions, formal or otherwise, with respect to such a transaction. If we are unable to consummate an initial business combination within 18 months from the closing of this offering, we will redeem 100% of the public subunits (as defined below) for a pro rata portion of the trust account, equal to the aggregate amount then on deposit in the trust account including interest earned on the funds held in the trust account and not previously released to us, divided by the number of then outstanding public subunits, subject to applicable law and as further described herein.</w:t>
      </w:r>
    </w:p>
    <w:p>
      <w:pPr>
        <w:spacing w:after="0" w:line="59" w:lineRule="exact"/>
        <w:rPr>
          <w:sz w:val="20"/>
          <w:szCs w:val="20"/>
          <w:color w:val="auto"/>
        </w:rPr>
      </w:pPr>
    </w:p>
    <w:p>
      <w:pPr>
        <w:jc w:val="both"/>
        <w:ind w:left="460" w:right="459"/>
        <w:spacing w:after="0" w:line="223" w:lineRule="auto"/>
        <w:rPr>
          <w:sz w:val="20"/>
          <w:szCs w:val="20"/>
          <w:color w:val="auto"/>
        </w:rPr>
      </w:pPr>
      <w:r>
        <w:rPr>
          <w:rFonts w:ascii="Arial" w:cs="Arial" w:eastAsia="Arial" w:hAnsi="Arial"/>
          <w:sz w:val="13"/>
          <w:szCs w:val="13"/>
          <w:color w:val="auto"/>
        </w:rPr>
        <w:t>This is an initial public offering of our securities. Each unit that we are offering has a price of $10.00 and consists of one subunit and one-quarter of a warrant. Each subunit consists of one share of our common stock and one-quarter of a warrant. Each whole warrant entitles the holder to purchase one share of common stock at a price of $11.50 per share. Each whole warrant will become exercisable 30 days after the completion of an initial business combination and will expire on the fifth anniversary of our completion of an initial business combination, or earlier upon redemption or liquidation. No fractional warrants will be issued upon separation of the units and only whole warrants will trade. We have granted the underwriters a 45-day option to purchase up to an additional 1,500,000 units to cover over-allotments, if any.</w:t>
      </w:r>
    </w:p>
    <w:p>
      <w:pPr>
        <w:spacing w:after="0" w:line="71" w:lineRule="exact"/>
        <w:rPr>
          <w:sz w:val="20"/>
          <w:szCs w:val="20"/>
          <w:color w:val="auto"/>
        </w:rPr>
      </w:pPr>
    </w:p>
    <w:p>
      <w:pPr>
        <w:jc w:val="both"/>
        <w:ind w:left="460" w:right="459"/>
        <w:spacing w:after="0" w:line="239" w:lineRule="auto"/>
        <w:rPr>
          <w:sz w:val="20"/>
          <w:szCs w:val="20"/>
          <w:color w:val="auto"/>
        </w:rPr>
      </w:pPr>
      <w:r>
        <w:rPr>
          <w:rFonts w:ascii="Arial" w:cs="Arial" w:eastAsia="Arial" w:hAnsi="Arial"/>
          <w:sz w:val="12"/>
          <w:szCs w:val="12"/>
          <w:color w:val="auto"/>
        </w:rPr>
        <w:t>Archimedes Tech SPAC Sponsors LLC, our sponsor, and EarlyBirdCapital, Inc., or EarlyBirdCapital, the representative of the underwriters in this offering,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will consist of one subunit and one-quarter of a warrant. Each such subunit, or “private subunit,” will consist of one share of our common stock or “private shares,” and one-quarter of a warrant. The warrants included in the private units and private subunits are referred to as the “private warrants.”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securities) are identical to the units (and underlying securities) sold in this offering, subject to certain limited exceptions as described in this prospectus.</w:t>
      </w:r>
    </w:p>
    <w:p>
      <w:pPr>
        <w:spacing w:after="0" w:line="70" w:lineRule="exact"/>
        <w:rPr>
          <w:sz w:val="20"/>
          <w:szCs w:val="20"/>
          <w:color w:val="auto"/>
        </w:rPr>
      </w:pPr>
    </w:p>
    <w:p>
      <w:pPr>
        <w:jc w:val="both"/>
        <w:ind w:left="460" w:right="459"/>
        <w:spacing w:after="0" w:line="300" w:lineRule="auto"/>
        <w:rPr>
          <w:sz w:val="20"/>
          <w:szCs w:val="20"/>
          <w:color w:val="auto"/>
        </w:rPr>
      </w:pPr>
      <w:r>
        <w:rPr>
          <w:rFonts w:ascii="Arial" w:cs="Arial" w:eastAsia="Arial" w:hAnsi="Arial"/>
          <w:sz w:val="10"/>
          <w:szCs w:val="10"/>
          <w:color w:val="auto"/>
        </w:rPr>
        <w:t>There is presently no public market for our units, subunits, shares of common stock or warrants. We intend to apply to have our units listed on the Nasdaq Capital Market, or Nasdaq, under the symbol “ATSPU” on or promptly after the date of this prospectus. The securities comprising the units will begin separate</w:t>
      </w:r>
    </w:p>
    <w:p>
      <w:pPr>
        <w:jc w:val="both"/>
        <w:ind w:left="460" w:right="459"/>
        <w:spacing w:after="0"/>
        <w:rPr>
          <w:sz w:val="20"/>
          <w:szCs w:val="20"/>
          <w:color w:val="auto"/>
        </w:rPr>
      </w:pPr>
      <w:r>
        <w:rPr>
          <w:rFonts w:ascii="Arial" w:cs="Arial" w:eastAsia="Arial" w:hAnsi="Arial"/>
          <w:sz w:val="12"/>
          <w:szCs w:val="12"/>
          <w:color w:val="auto"/>
        </w:rPr>
        <w:t>trading on the 90</w:t>
      </w:r>
      <w:r>
        <w:rPr>
          <w:rFonts w:ascii="Arial" w:cs="Arial" w:eastAsia="Arial" w:hAnsi="Arial"/>
          <w:sz w:val="13"/>
          <w:szCs w:val="13"/>
          <w:color w:val="auto"/>
          <w:vertAlign w:val="superscript"/>
        </w:rPr>
        <w:t>th</w:t>
      </w:r>
      <w:r>
        <w:rPr>
          <w:rFonts w:ascii="Arial" w:cs="Arial" w:eastAsia="Arial" w:hAnsi="Arial"/>
          <w:sz w:val="12"/>
          <w:szCs w:val="12"/>
          <w:color w:val="auto"/>
        </w:rPr>
        <w:t xml:space="preserve"> day following the date of this prospectus unless EarlyBirdCapital informs us of its decision to allow earlier separate trading, subject to our filing a Current Report on Form 8-K with the SEC containing an audited balance sheet reflecting our receipt of the gross proceeds of this offering and issuing a press release announcing when such separate trading will begin; provided that no fractional warrants will be issued upon separation of the units and only whole warrants will trade. We cannot guarantee that our securities will be approved for listing. Once the securities comprising the units begin separate trading, the subunits and public warrants included in the units will be traded on Nasdaq under the symbols “ATSPT” and “ATSPW,” respectively. The common stock will not trade separately unless and until we consummate an initial business combination. Upon consummation of our initial business combination, we anticipate the common stock will be traded on Nasdaq under the symbol “ATSP.”</w:t>
      </w:r>
    </w:p>
    <w:p>
      <w:pPr>
        <w:spacing w:after="0" w:line="58" w:lineRule="exact"/>
        <w:rPr>
          <w:sz w:val="20"/>
          <w:szCs w:val="20"/>
          <w:color w:val="auto"/>
        </w:rPr>
      </w:pPr>
    </w:p>
    <w:p>
      <w:pPr>
        <w:jc w:val="both"/>
        <w:ind w:left="460" w:right="479"/>
        <w:spacing w:after="0" w:line="236" w:lineRule="auto"/>
        <w:rPr>
          <w:sz w:val="20"/>
          <w:szCs w:val="20"/>
          <w:color w:val="auto"/>
        </w:rPr>
      </w:pPr>
      <w:r>
        <w:rPr>
          <w:rFonts w:ascii="Arial" w:cs="Arial" w:eastAsia="Arial" w:hAnsi="Arial"/>
          <w:sz w:val="13"/>
          <w:szCs w:val="13"/>
          <w:color w:val="auto"/>
        </w:rPr>
        <w:t>We are an “emerging growth company” as defined in the Jumpstart Our Business Startups Act and will therefore be subject to reduced public company reporting requirements.</w:t>
      </w:r>
    </w:p>
    <w:p>
      <w:pPr>
        <w:spacing w:after="0" w:line="66" w:lineRule="exact"/>
        <w:rPr>
          <w:sz w:val="20"/>
          <w:szCs w:val="20"/>
          <w:color w:val="auto"/>
        </w:rPr>
      </w:pPr>
    </w:p>
    <w:p>
      <w:pPr>
        <w:jc w:val="both"/>
        <w:ind w:left="460" w:right="459"/>
        <w:spacing w:after="0"/>
        <w:rPr>
          <w:sz w:val="20"/>
          <w:szCs w:val="20"/>
          <w:color w:val="auto"/>
        </w:rPr>
      </w:pPr>
      <w:r>
        <w:rPr>
          <w:rFonts w:ascii="Arial" w:cs="Arial" w:eastAsia="Arial" w:hAnsi="Arial"/>
          <w:sz w:val="13"/>
          <w:szCs w:val="13"/>
          <w:b w:val="1"/>
          <w:bCs w:val="1"/>
          <w:color w:val="auto"/>
        </w:rPr>
        <w:t>Investing in our securities involves a high degree of risk. See “Risk Factors” beginning on page 20 of this prospectus for a discussion of information that should be considered in connection with an investment in our securities.</w:t>
      </w:r>
    </w:p>
    <w:p>
      <w:pPr>
        <w:spacing w:after="0" w:line="66" w:lineRule="exact"/>
        <w:rPr>
          <w:sz w:val="20"/>
          <w:szCs w:val="20"/>
          <w:color w:val="auto"/>
        </w:rPr>
      </w:pPr>
    </w:p>
    <w:p>
      <w:pPr>
        <w:jc w:val="both"/>
        <w:ind w:left="460" w:right="479"/>
        <w:spacing w:after="0"/>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Per Unit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b w:val="1"/>
                <w:bCs w:val="1"/>
                <w:color w:val="auto"/>
              </w:rPr>
              <w:t>Total</w:t>
            </w:r>
          </w:p>
        </w:tc>
      </w:tr>
      <w:tr>
        <w:trPr>
          <w:trHeight w:val="30"/>
        </w:trPr>
        <w:tc>
          <w:tcPr>
            <w:tcW w:w="4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2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10.00</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100,000,000</w:t>
            </w:r>
          </w:p>
        </w:tc>
      </w:tr>
      <w:tr>
        <w:trPr>
          <w:trHeight w:val="274"/>
        </w:trPr>
        <w:tc>
          <w:tcPr>
            <w:tcW w:w="4200" w:type="dxa"/>
            <w:vAlign w:val="bottom"/>
          </w:tcPr>
          <w:p>
            <w:pPr>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4"/>
                <w:szCs w:val="14"/>
                <w:color w:val="auto"/>
                <w:vertAlign w:val="superscript"/>
              </w:rPr>
              <w:t>(1)</w:t>
            </w:r>
          </w:p>
        </w:tc>
        <w:tc>
          <w:tcPr>
            <w:tcW w:w="2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0.20</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2,000,000</w:t>
            </w:r>
          </w:p>
        </w:tc>
      </w:tr>
      <w:tr>
        <w:trPr>
          <w:trHeight w:val="27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2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9.80</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98,000,000</w:t>
            </w:r>
          </w:p>
        </w:tc>
      </w:tr>
      <w:tr>
        <w:trPr>
          <w:trHeight w:val="250"/>
        </w:trPr>
        <w:tc>
          <w:tcPr>
            <w:tcW w:w="4200" w:type="dxa"/>
            <w:vAlign w:val="bottom"/>
          </w:tcPr>
          <w:p>
            <w:pPr>
              <w:spacing w:after="0"/>
              <w:rPr>
                <w:sz w:val="20"/>
                <w:szCs w:val="20"/>
                <w:color w:val="auto"/>
              </w:rPr>
            </w:pPr>
            <w:r>
              <w:rPr>
                <w:rFonts w:ascii="Arial" w:cs="Arial" w:eastAsia="Arial" w:hAnsi="Arial"/>
                <w:sz w:val="16"/>
                <w:szCs w:val="16"/>
                <w:color w:val="auto"/>
              </w:rPr>
              <w:t>____________</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86" w:lineRule="exact"/>
        <w:rPr>
          <w:sz w:val="20"/>
          <w:szCs w:val="20"/>
          <w:color w:val="auto"/>
        </w:rPr>
      </w:pPr>
    </w:p>
    <w:p>
      <w:pPr>
        <w:jc w:val="both"/>
        <w:ind w:left="880" w:right="479" w:hanging="426"/>
        <w:spacing w:after="0" w:line="230" w:lineRule="auto"/>
        <w:tabs>
          <w:tab w:leader="none" w:pos="946"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The underwriters have received and will receive compensation in addition to the underwriting discount, including 350,000 shares of common stock, which we refer to herein as the “representative shares.” See “Underwriting” for further information relating to the underwriting compensation we will pay in this offering.</w:t>
      </w:r>
    </w:p>
    <w:p>
      <w:pPr>
        <w:spacing w:after="0" w:line="56" w:lineRule="exact"/>
        <w:rPr>
          <w:sz w:val="20"/>
          <w:szCs w:val="20"/>
          <w:color w:val="auto"/>
        </w:rPr>
      </w:pPr>
    </w:p>
    <w:p>
      <w:pPr>
        <w:jc w:val="both"/>
        <w:ind w:left="460" w:right="479"/>
        <w:spacing w:after="0" w:line="226" w:lineRule="auto"/>
        <w:rPr>
          <w:sz w:val="20"/>
          <w:szCs w:val="20"/>
          <w:color w:val="auto"/>
        </w:rPr>
      </w:pPr>
      <w:r>
        <w:rPr>
          <w:rFonts w:ascii="Arial" w:cs="Arial" w:eastAsia="Arial" w:hAnsi="Arial"/>
          <w:sz w:val="13"/>
          <w:szCs w:val="13"/>
          <w:color w:val="auto"/>
        </w:rPr>
        <w:t>Upon consummation of the offering, an aggregate of $100,000,000 (or $115,000,000 if the over-allotment option is exercised in full) or $10.00 per unit sold to the public in this offering will be deposited into a U.S.-based trust account maintained by Continental Stock Transfer &amp; Trust Company, acting as trustee. Except as described in this prospectus, these funds will not be released to us until the earlier of the completion of a business combination and our redemption of our public shares.</w:t>
      </w:r>
    </w:p>
    <w:p>
      <w:pPr>
        <w:spacing w:after="0" w:line="71" w:lineRule="exact"/>
        <w:rPr>
          <w:sz w:val="20"/>
          <w:szCs w:val="20"/>
          <w:color w:val="auto"/>
        </w:rPr>
      </w:pPr>
    </w:p>
    <w:p>
      <w:pPr>
        <w:jc w:val="both"/>
        <w:ind w:left="460" w:right="459"/>
        <w:spacing w:after="0" w:line="223" w:lineRule="auto"/>
        <w:rPr>
          <w:sz w:val="20"/>
          <w:szCs w:val="20"/>
          <w:color w:val="auto"/>
        </w:rPr>
      </w:pPr>
      <w:r>
        <w:rPr>
          <w:rFonts w:ascii="Arial" w:cs="Arial" w:eastAsia="Arial" w:hAnsi="Arial"/>
          <w:sz w:val="13"/>
          <w:szCs w:val="13"/>
          <w:color w:val="auto"/>
        </w:rPr>
        <w:t>EarlyBirdCapital has a “conflict of interest” within the meaning of Financial Industry Regulatory Authority (“FINRA”) Rule 5121(f)(5)(B) in this offering because it beneficially owns more than 10% of our shares. Due to this conflict of interest, I-Bankers Securities, Inc. is acting as a “qualified independent underwriter” in accordance with FINRA Rule 5121, which requires, among other things, that a qualified independent underwriter participate in the preparation of, and exercise the usual standards of “due diligence” with respect to, this prospectus and the registration statement of which it forms a part. I-Bankers will be paid a fee from the total underwriting discount in this offering in consideration for its services and expenses as qualified independent underwriter. See “Underwriting — Conflicts of Interest” for further information.</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The underwriters are offering the units on a firm commitment basis. The underwriters expect to deliver the units to purchasers on or about </w:t>
      </w:r>
      <w:r>
        <w:rPr>
          <w:rFonts w:ascii="Arial" w:cs="Arial" w:eastAsia="Arial" w:hAnsi="Arial"/>
          <w:sz w:val="12"/>
          <w:szCs w:val="12"/>
          <w:b w:val="1"/>
          <w:bCs w:val="1"/>
          <w:color w:val="auto"/>
        </w:rPr>
        <w:t>[•]</w:t>
      </w:r>
      <w:r>
        <w:rPr>
          <w:rFonts w:ascii="Arial" w:cs="Arial" w:eastAsia="Arial" w:hAnsi="Arial"/>
          <w:sz w:val="12"/>
          <w:szCs w:val="12"/>
          <w:color w:val="auto"/>
        </w:rPr>
        <w:t>, 2021.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EarlyBirdCapital,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Co-Manager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I-Bankers Securities, Inc.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798"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79"/>
        <w:spacing w:after="0" w:line="314"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Summary Financial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Cautionary Note Regarding Forward 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Use of Proceeds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Dividend Policy</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Proposed 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Principal Stockholders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Certain Transactions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Material U.S. Federal Tax Considerations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Underwriting</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Legal Matters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Experts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Where You Can Find Additional Information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111</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3"/>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Index to Financial Statements</w:t>
              </w:r>
            </w:hyperlink>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F-1</w:t>
            </w:r>
          </w:p>
        </w:tc>
      </w:tr>
      <w:tr>
        <w:trPr>
          <w:trHeight w:val="40"/>
        </w:trPr>
        <w:tc>
          <w:tcPr>
            <w:tcW w:w="7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44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644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6"/>
          <w:szCs w:val="16"/>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References in this prospectus to “we,” “us” or “our company” refer to Archimedes Tech SPAC Partners Co. References in this prospectus to our “public subunits” refer to the subunits sold as part of the units in this offering (each subunit consisting of one share of our common stock and one-quarter of a warrant), references to our “public shares” refer to shares of our common stock sold as part of the subunits contained in the units sold in this offering (in each case, whether they are purchased in this offering or thereafter in the open market as part of the subunits) and references to “public stockholders” refer to the holders of our subunits which are being sold as part of the units in this public offering, including our sponsor (as defined below), officers and directors to the extent they purchase such subunits, provided that their status as “public stockholders” shall only exist with respect to such subunits. References in this prospectus to our “management” or our “management team” refer to our offıcers and directors, references to our “initial stockholders” refer to our stockholders prior to this offering excluding the holders of the representative shares and references to our “sponsor” refer to Archimedes Tech SPAC Sponsors LLC, a Delaware limited liability company affiliated with Stephen N. Cannon, our Chief Executive Officer, President and Director. The term “equity-linked securities” refers to any debt or equity securities issued in a transaction, including but not limited to a private placement of equity or debt, that are convertible, exercisable or exchangeable for shares of common stock. Unless we tell you otherwise, the information in this prospectus assumes that the underwriters will not exercise their over-allotment option.</w:t>
      </w:r>
    </w:p>
    <w:p>
      <w:pPr>
        <w:spacing w:after="0" w:line="3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ind w:left="540" w:right="559"/>
        <w:spacing w:after="0" w:line="287" w:lineRule="auto"/>
        <w:rPr>
          <w:sz w:val="20"/>
          <w:szCs w:val="20"/>
          <w:color w:val="auto"/>
        </w:rPr>
      </w:pPr>
      <w:r>
        <w:rPr>
          <w:rFonts w:ascii="Arial" w:cs="Arial" w:eastAsia="Arial" w:hAnsi="Arial"/>
          <w:sz w:val="16"/>
          <w:szCs w:val="16"/>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 Our initial business combination and value creation strategy will be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00"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five SPACs that have completed initial public offerings, four of which have consummated a business combination.</w:t>
      </w:r>
    </w:p>
    <w:p>
      <w:pPr>
        <w:spacing w:after="0" w:line="97" w:lineRule="exact"/>
        <w:rPr>
          <w:sz w:val="20"/>
          <w:szCs w:val="20"/>
          <w:color w:val="auto"/>
        </w:rPr>
      </w:pPr>
    </w:p>
    <w:p>
      <w:pPr>
        <w:jc w:val="both"/>
        <w:ind w:left="540" w:right="559"/>
        <w:spacing w:after="0" w:line="270" w:lineRule="auto"/>
        <w:rPr>
          <w:sz w:val="20"/>
          <w:szCs w:val="20"/>
          <w:color w:val="auto"/>
        </w:rPr>
      </w:pPr>
      <w:r>
        <w:rPr>
          <w:rFonts w:ascii="Arial" w:cs="Arial" w:eastAsia="Arial" w:hAnsi="Arial"/>
          <w:sz w:val="17"/>
          <w:szCs w:val="17"/>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 a company that develops, publishes and markets a portfolio of free-to-play mobile games.</w:t>
      </w:r>
    </w:p>
    <w:p>
      <w:pPr>
        <w:spacing w:after="0" w:line="113"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Mr. Brent Callinicos is our special advisor. Mr. Callinicos is currently an angel investor, active in investing in early-stage technology companies. Mr. Callinicos was formerly the Chief Operating Officer and Chief Financial Officer of Virgin Hyperloop One, an autonomous transportation company. Prior to that, Mr. Callinicos was the Chief Financial Officer of Uber Technologies Inc., an on-demand car service company. Prior to that, Mr. Callinicos was the Vice President, Treasurer and Chief Accountant of Google Inc., now known as Alphabet Inc. Prior to that, Mr. Callinicos held several</w:t>
      </w:r>
    </w:p>
    <w:p>
      <w:pPr>
        <w:sectPr>
          <w:pgSz w:w="11900" w:h="16838" w:orient="portrait"/>
          <w:cols w:equalWidth="0" w:num="1">
            <w:col w:w="9019"/>
          </w:cols>
          <w:pgMar w:left="1440" w:top="274" w:right="1440"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39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16"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Stephen N. Cannon, our Chief Executive Officer, has served as a member of management for five SPACs that have completed initial public offerings, four of which have consummated a business combination. The fifth SPAC, Ackrell SPAC Partners I Co., completed its IPO in December 2020 and is searching for target businesses with which to consummate a potential business combination with a focus on the branded fast-moving consumer goods industry.</w:t>
      </w:r>
    </w:p>
    <w:p>
      <w:pPr>
        <w:spacing w:after="0" w:line="107" w:lineRule="exact"/>
        <w:rPr>
          <w:sz w:val="20"/>
          <w:szCs w:val="20"/>
          <w:color w:val="auto"/>
        </w:rPr>
      </w:pPr>
    </w:p>
    <w:p>
      <w:pPr>
        <w:jc w:val="both"/>
        <w:ind w:left="540" w:right="559"/>
        <w:spacing w:after="0" w:line="342" w:lineRule="auto"/>
        <w:rPr>
          <w:sz w:val="20"/>
          <w:szCs w:val="20"/>
          <w:color w:val="auto"/>
        </w:rPr>
      </w:pPr>
      <w:r>
        <w:rPr>
          <w:rFonts w:ascii="Arial" w:cs="Arial" w:eastAsia="Arial" w:hAnsi="Arial"/>
          <w:sz w:val="16"/>
          <w:szCs w:val="16"/>
          <w:color w:val="auto"/>
        </w:rPr>
        <w:t>Daniel L Sheehan, our Chief Operating Officer, and Long Long, our Chief Financial Officer, are also currently serving as members of the board and management, respectively, for Ackrell SPAC Partners I Co.</w:t>
      </w:r>
    </w:p>
    <w:p>
      <w:pPr>
        <w:spacing w:after="0" w:line="56" w:lineRule="exact"/>
        <w:rPr>
          <w:sz w:val="20"/>
          <w:szCs w:val="20"/>
          <w:color w:val="auto"/>
        </w:rPr>
      </w:pPr>
    </w:p>
    <w:p>
      <w:pPr>
        <w:jc w:val="both"/>
        <w:ind w:left="540" w:right="559"/>
        <w:spacing w:after="0" w:line="308" w:lineRule="auto"/>
        <w:rPr>
          <w:sz w:val="20"/>
          <w:szCs w:val="20"/>
          <w:color w:val="auto"/>
        </w:rPr>
      </w:pPr>
      <w:r>
        <w:rPr>
          <w:rFonts w:ascii="Arial" w:cs="Arial" w:eastAsia="Arial" w:hAnsi="Arial"/>
          <w:sz w:val="17"/>
          <w:szCs w:val="17"/>
          <w:color w:val="auto"/>
        </w:rPr>
        <w:t>Bryant B. Edwards, a director of ours, served as Chief Operating Officer and director for Twelve Seas Investment Co., a SPAC which successful closed its business combination in December 2019.</w:t>
      </w:r>
    </w:p>
    <w:p>
      <w:pPr>
        <w:spacing w:after="0" w:line="79"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103"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color w:val="auto"/>
        </w:rPr>
        <w:t>Our management team consists of seasoned professionals who have experience spanning the technology industry, including the sectors within the technology industry that we intend to focus on initially, mergers and acquisitions, corporate finance, corporate governance and compliance, legal and regulatory matters and investment management. See “</w:t>
      </w:r>
      <w:r>
        <w:rPr>
          <w:rFonts w:ascii="Arial" w:cs="Arial" w:eastAsia="Arial" w:hAnsi="Arial"/>
          <w:sz w:val="16"/>
          <w:szCs w:val="16"/>
          <w:i w:val="1"/>
          <w:iCs w:val="1"/>
          <w:color w:val="auto"/>
        </w:rPr>
        <w:t>Management</w:t>
      </w:r>
      <w:r>
        <w:rPr>
          <w:rFonts w:ascii="Arial" w:cs="Arial" w:eastAsia="Arial" w:hAnsi="Arial"/>
          <w:sz w:val="16"/>
          <w:szCs w:val="16"/>
          <w:color w:val="auto"/>
        </w:rPr>
        <w:t>” for additional information about our directors and executive officers. We believe that our officers’ and directors’ industry expertise, transaction experience and relationships may provide us with a substantial number of attractive potential business combination targets.</w:t>
      </w:r>
    </w:p>
    <w:p>
      <w:pPr>
        <w:spacing w:after="0" w:line="97" w:lineRule="exact"/>
        <w:rPr>
          <w:sz w:val="20"/>
          <w:szCs w:val="20"/>
          <w:color w:val="auto"/>
        </w:rPr>
      </w:pPr>
    </w:p>
    <w:p>
      <w:pPr>
        <w:jc w:val="both"/>
        <w:ind w:left="540" w:right="559"/>
        <w:spacing w:after="0" w:line="279" w:lineRule="auto"/>
        <w:rPr>
          <w:sz w:val="20"/>
          <w:szCs w:val="20"/>
          <w:color w:val="auto"/>
        </w:rPr>
      </w:pPr>
      <w:r>
        <w:rPr>
          <w:rFonts w:ascii="Arial" w:cs="Arial" w:eastAsia="Arial" w:hAnsi="Arial"/>
          <w:sz w:val="17"/>
          <w:szCs w:val="17"/>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125"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Following the completion of this offering, our management team plans to identify and contact potential target businesses and start to evaluate and pursue a possible business combination. In addition, we will communicate the parameters of our search to our network of relationships and transaction sources to help us identify potential target businesses. 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jc w:val="both"/>
        <w:ind w:left="540" w:right="559"/>
        <w:spacing w:after="0" w:line="308" w:lineRule="auto"/>
        <w:rPr>
          <w:sz w:val="20"/>
          <w:szCs w:val="20"/>
          <w:color w:val="auto"/>
        </w:rPr>
      </w:pPr>
      <w:r>
        <w:rPr>
          <w:rFonts w:ascii="Arial" w:cs="Arial" w:eastAsia="Arial" w:hAnsi="Arial"/>
          <w:sz w:val="17"/>
          <w:szCs w:val="17"/>
          <w:color w:val="auto"/>
        </w:rPr>
        <w:t>We believe that our management team is well positioned to identify attractive target businesses within the technology industry and to facilitate a successful business combination for the following reasons:</w:t>
      </w:r>
    </w:p>
    <w:p>
      <w:pPr>
        <w:spacing w:after="0" w:line="61" w:lineRule="exact"/>
        <w:rPr>
          <w:sz w:val="20"/>
          <w:szCs w:val="20"/>
          <w:color w:val="auto"/>
        </w:rPr>
      </w:pPr>
    </w:p>
    <w:p>
      <w:pPr>
        <w:jc w:val="both"/>
        <w:ind w:left="540" w:right="559"/>
        <w:spacing w:after="0" w:line="281" w:lineRule="auto"/>
        <w:rPr>
          <w:sz w:val="20"/>
          <w:szCs w:val="20"/>
          <w:color w:val="auto"/>
        </w:rPr>
      </w:pPr>
      <w:r>
        <w:rPr>
          <w:rFonts w:ascii="Arial" w:cs="Arial" w:eastAsia="Arial" w:hAnsi="Arial"/>
          <w:sz w:val="17"/>
          <w:szCs w:val="17"/>
          <w:b w:val="1"/>
          <w:bCs w:val="1"/>
          <w:color w:val="auto"/>
        </w:rPr>
        <w:t xml:space="preserve">Experience recognizing key technology trends: </w:t>
      </w:r>
      <w:r>
        <w:rPr>
          <w:rFonts w:ascii="Arial" w:cs="Arial" w:eastAsia="Arial" w:hAnsi="Arial"/>
          <w:sz w:val="17"/>
          <w:szCs w:val="17"/>
          <w:color w:val="auto"/>
        </w:rPr>
        <w:t>Our team has demonstrated a long history of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and growing businesses at the epicenter of major technology trends. More recently, certain team members have been active in identifying and investing, at earlier stages, in companies focus on the next big trend, such as artificial intelligence, cloud services and automotive technology.</w:t>
      </w:r>
    </w:p>
    <w:p>
      <w:pPr>
        <w:spacing w:after="0" w:line="97" w:lineRule="exact"/>
        <w:rPr>
          <w:sz w:val="20"/>
          <w:szCs w:val="20"/>
          <w:color w:val="auto"/>
        </w:rPr>
      </w:pPr>
    </w:p>
    <w:p>
      <w:pPr>
        <w:jc w:val="both"/>
        <w:ind w:left="540" w:right="559"/>
        <w:spacing w:after="0" w:line="303" w:lineRule="auto"/>
        <w:rPr>
          <w:sz w:val="20"/>
          <w:szCs w:val="20"/>
          <w:color w:val="auto"/>
        </w:rPr>
      </w:pPr>
      <w:r>
        <w:rPr>
          <w:rFonts w:ascii="Arial" w:cs="Arial" w:eastAsia="Arial" w:hAnsi="Arial"/>
          <w:sz w:val="16"/>
          <w:szCs w:val="16"/>
          <w:b w:val="1"/>
          <w:bCs w:val="1"/>
          <w:color w:val="auto"/>
        </w:rPr>
        <w:t xml:space="preserve">Experience identifying strong management teams: </w:t>
      </w:r>
      <w:r>
        <w:rPr>
          <w:rFonts w:ascii="Arial" w:cs="Arial" w:eastAsia="Arial" w:hAnsi="Arial"/>
          <w:sz w:val="16"/>
          <w:szCs w:val="16"/>
          <w:color w:val="auto"/>
        </w:rPr>
        <w:t>With key members of our team having had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senior executive roles at key technology companies, we believe we have an ability to identify the characteristics of successful business leaders, and effective in engaging with these management teams. In addition, key members of our team have more recently been investing in many founder led businesses.</w:t>
      </w:r>
    </w:p>
    <w:p>
      <w:pPr>
        <w:sectPr>
          <w:pgSz w:w="11900" w:h="16838" w:orient="portrait"/>
          <w:cols w:equalWidth="0" w:num="1">
            <w:col w:w="9019"/>
          </w:cols>
          <w:pgMar w:left="1440" w:top="274" w:right="1440" w:bottom="1440" w:gutter="0" w:footer="0" w:header="0"/>
          <w:type w:val="continuous"/>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19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3191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6" w:lineRule="exact"/>
        <w:rPr>
          <w:sz w:val="20"/>
          <w:szCs w:val="20"/>
          <w:color w:val="auto"/>
        </w:rPr>
      </w:pPr>
    </w:p>
    <w:p>
      <w:pPr>
        <w:jc w:val="both"/>
        <w:ind w:left="540" w:right="559"/>
        <w:spacing w:after="0" w:line="289" w:lineRule="auto"/>
        <w:rPr>
          <w:sz w:val="20"/>
          <w:szCs w:val="20"/>
          <w:color w:val="auto"/>
        </w:rPr>
      </w:pPr>
      <w:r>
        <w:rPr>
          <w:rFonts w:ascii="Arial" w:cs="Arial" w:eastAsia="Arial" w:hAnsi="Arial"/>
          <w:sz w:val="17"/>
          <w:szCs w:val="17"/>
          <w:b w:val="1"/>
          <w:bCs w:val="1"/>
          <w:color w:val="auto"/>
        </w:rPr>
        <w:t xml:space="preserve">History of operating experience: </w:t>
      </w:r>
      <w:r>
        <w:rPr>
          <w:rFonts w:ascii="Arial" w:cs="Arial" w:eastAsia="Arial" w:hAnsi="Arial"/>
          <w:sz w:val="17"/>
          <w:szCs w:val="17"/>
          <w:color w:val="auto"/>
        </w:rPr>
        <w:t>The members of our team are seasoned operators having held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level roles in various companies. We have experience in developing and executing strategy, building and retaining teams, and executing business combinations among other activities.</w:t>
      </w:r>
    </w:p>
    <w:p>
      <w:pPr>
        <w:spacing w:after="0" w:line="50" w:lineRule="exact"/>
        <w:rPr>
          <w:sz w:val="20"/>
          <w:szCs w:val="20"/>
          <w:color w:val="auto"/>
        </w:rPr>
      </w:pPr>
    </w:p>
    <w:p>
      <w:pPr>
        <w:jc w:val="both"/>
        <w:ind w:left="540" w:right="559"/>
        <w:spacing w:after="0" w:line="303" w:lineRule="auto"/>
        <w:rPr>
          <w:sz w:val="20"/>
          <w:szCs w:val="20"/>
          <w:color w:val="auto"/>
        </w:rPr>
      </w:pPr>
      <w:r>
        <w:rPr>
          <w:rFonts w:ascii="Arial" w:cs="Arial" w:eastAsia="Arial" w:hAnsi="Arial"/>
          <w:sz w:val="16"/>
          <w:szCs w:val="16"/>
          <w:b w:val="1"/>
          <w:bCs w:val="1"/>
          <w:color w:val="auto"/>
        </w:rPr>
        <w:t xml:space="preserve">Deep network and connections to company founders: </w:t>
      </w:r>
      <w:r>
        <w:rPr>
          <w:rFonts w:ascii="Arial" w:cs="Arial" w:eastAsia="Arial" w:hAnsi="Arial"/>
          <w:sz w:val="16"/>
          <w:szCs w:val="16"/>
          <w:color w:val="auto"/>
        </w:rPr>
        <w:t>Our team has numerous existing connections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founders and business leaders across sectors within the technology industry. We have invested in many companies, served on many boards and have worked with many influential founders and senior management teams within the technology industry, and specifically the sectors we intend to initially focus on.</w:t>
      </w:r>
    </w:p>
    <w:p>
      <w:pPr>
        <w:spacing w:after="0" w:line="43" w:lineRule="exact"/>
        <w:rPr>
          <w:sz w:val="20"/>
          <w:szCs w:val="20"/>
          <w:color w:val="auto"/>
        </w:rPr>
      </w:pPr>
    </w:p>
    <w:p>
      <w:pPr>
        <w:jc w:val="both"/>
        <w:ind w:left="540" w:right="559"/>
        <w:spacing w:after="0" w:line="291" w:lineRule="auto"/>
        <w:rPr>
          <w:sz w:val="20"/>
          <w:szCs w:val="20"/>
          <w:color w:val="auto"/>
        </w:rPr>
      </w:pPr>
      <w:r>
        <w:rPr>
          <w:rFonts w:ascii="Arial" w:cs="Arial" w:eastAsia="Arial" w:hAnsi="Arial"/>
          <w:sz w:val="16"/>
          <w:szCs w:val="16"/>
          <w:b w:val="1"/>
          <w:bCs w:val="1"/>
          <w:color w:val="auto"/>
        </w:rPr>
        <w:t xml:space="preserve">Significant Prior SPAC Experience: </w:t>
      </w:r>
      <w:r>
        <w:rPr>
          <w:rFonts w:ascii="Arial" w:cs="Arial" w:eastAsia="Arial" w:hAnsi="Arial"/>
          <w:sz w:val="16"/>
          <w:szCs w:val="16"/>
          <w:color w:val="auto"/>
        </w:rPr>
        <w:t>Our management team possesses a strong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SPAC structure and market. Our CEO, Stephen N. Cannon, has served as a member of management for five SPACs that have completed initial public offerings, four of which have consummated business combinations. In the case of his most recent SPAC merger, Twelve Seas Investment Co, the common shares are currently trading approximately five percent above its SPAC IPO price. However, the stock price performance of Mr. Cannon’s prior SPACs has not always been positive for investors. For example, the common shares of the three other SPACs that previously consummated business combinations are currently trading below $10.00 per share. Further, Mr. Cannon’s other SPAC never consummated its IPO due to market conditions.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 Criteria</w:t>
      </w:r>
    </w:p>
    <w:p>
      <w:pPr>
        <w:spacing w:after="0" w:line="121" w:lineRule="exact"/>
        <w:rPr>
          <w:sz w:val="20"/>
          <w:szCs w:val="20"/>
          <w:color w:val="auto"/>
        </w:rPr>
      </w:pPr>
    </w:p>
    <w:p>
      <w:pPr>
        <w:jc w:val="both"/>
        <w:ind w:left="540" w:right="559"/>
        <w:spacing w:after="0" w:line="255" w:lineRule="auto"/>
        <w:rPr>
          <w:sz w:val="20"/>
          <w:szCs w:val="20"/>
          <w:color w:val="auto"/>
        </w:rPr>
      </w:pPr>
      <w:r>
        <w:rPr>
          <w:rFonts w:ascii="Arial" w:cs="Arial" w:eastAsia="Arial" w:hAnsi="Arial"/>
          <w:sz w:val="18"/>
          <w:szCs w:val="18"/>
          <w:color w:val="auto"/>
        </w:rPr>
        <w:t>We intend to leverage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Clear and Sustainable Competitive Advantages</w:t>
      </w:r>
    </w:p>
    <w:p>
      <w:pPr>
        <w:spacing w:after="0" w:line="158"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We intend to target businesses that differentiate themselves from their peers in ways that are difficult to replicate and have clear competitive advantages.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High Growth Potential and Cash Flow</w:t>
      </w:r>
    </w:p>
    <w:p>
      <w:pPr>
        <w:spacing w:after="0" w:line="144"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We intend to seek businesses that are well positioned to grow in their respective markets and which have clear plans on how to leverage additional capital to accelerate growth. We expect to target businesses that have had, or expect to have, strong cash flow generation.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Experienced Management Teams</w:t>
      </w:r>
    </w:p>
    <w:p>
      <w:pPr>
        <w:spacing w:after="0" w:line="117"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intend to seek to target businesses that have strong, experienced management teams who we believe may benefit from our financial, managerial and investment expertise as well as our extensive industry networks and insights. We believe that identifying such management teams is particularly important given our target industry.</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Attractive Valuations</w:t>
      </w:r>
    </w:p>
    <w:p>
      <w:pPr>
        <w:spacing w:after="0" w:line="117"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We will only evaluate a business that, based on our due diligence and industry experience, represents an attractive valuation relative to publicly listed companies with similar characteristics or in similar industry segments.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Will Benefit from Being a Public Company</w:t>
      </w:r>
    </w:p>
    <w:p>
      <w:pPr>
        <w:spacing w:after="0" w:line="158"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We intend to pursue a business that will benefit from being a public company, including potentially having broader access to capital and a public currency for acquisitions.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Effecting a Business Combination</w:t>
      </w:r>
    </w:p>
    <w:p>
      <w:pPr>
        <w:spacing w:after="0" w:line="162"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50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8506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6"/>
          <w:szCs w:val="16"/>
          <w:color w:val="auto"/>
        </w:rPr>
        <w:t>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06" w:lineRule="exact"/>
        <w:rPr>
          <w:sz w:val="20"/>
          <w:szCs w:val="20"/>
          <w:color w:val="auto"/>
        </w:rPr>
      </w:pPr>
    </w:p>
    <w:p>
      <w:pPr>
        <w:jc w:val="both"/>
        <w:ind w:left="540" w:right="559"/>
        <w:spacing w:after="0" w:line="288" w:lineRule="auto"/>
        <w:rPr>
          <w:sz w:val="20"/>
          <w:szCs w:val="20"/>
          <w:color w:val="auto"/>
        </w:rPr>
      </w:pPr>
      <w:r>
        <w:rPr>
          <w:rFonts w:ascii="Arial" w:cs="Arial" w:eastAsia="Arial" w:hAnsi="Arial"/>
          <w:sz w:val="16"/>
          <w:szCs w:val="16"/>
          <w:color w:val="auto"/>
        </w:rPr>
        <w:t>We will have up to 18 months to consummate an initial business combination from the closing of this offering. If we are unable to consummate an initial business combination within such time period, we will redeem 100% of the outstanding public subunits for a pro rata portion of the funds held in the trust account, equal to the aggregate amount then on deposit in the trust account including interest earned on the funds held in the trust account and not previously released to us, divided by the number of then outstanding public subunits, subject to applicable law and as further described herein, and then seek to dissolve and liquidate. We expect that the pro rata redemption price to be approximately $10.00 per subunit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stockholders.</w:t>
      </w:r>
    </w:p>
    <w:p>
      <w:pPr>
        <w:spacing w:after="0" w:line="87" w:lineRule="exact"/>
        <w:rPr>
          <w:sz w:val="20"/>
          <w:szCs w:val="20"/>
          <w:color w:val="auto"/>
        </w:rPr>
      </w:pPr>
    </w:p>
    <w:p>
      <w:pPr>
        <w:jc w:val="both"/>
        <w:ind w:left="540" w:right="559"/>
        <w:spacing w:after="0" w:line="285" w:lineRule="auto"/>
        <w:rPr>
          <w:sz w:val="20"/>
          <w:szCs w:val="20"/>
          <w:color w:val="auto"/>
        </w:rPr>
      </w:pPr>
      <w:r>
        <w:rPr>
          <w:rFonts w:ascii="Arial" w:cs="Arial" w:eastAsia="Arial" w:hAnsi="Arial"/>
          <w:sz w:val="16"/>
          <w:szCs w:val="16"/>
          <w:color w:val="auto"/>
        </w:rPr>
        <w:t>Nasdaq listing rules require that our initial business combination must occur with one or more target businesses that together have a fair market value of at least 80% of the assets held in the trust account (excluding taxes payable on the interest earned on the trust account) at the time of the agreement to enter into the initial business combination. Notwithstanding the foregoing, if we are not then listed on the Nasdaq for whatever reason, we would no longer be required to meet the foregoing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322" w:lineRule="exact"/>
        <w:rPr>
          <w:sz w:val="20"/>
          <w:szCs w:val="20"/>
          <w:color w:val="auto"/>
        </w:rPr>
      </w:pPr>
    </w:p>
    <w:p>
      <w:pPr>
        <w:jc w:val="both"/>
        <w:ind w:left="540" w:right="559"/>
        <w:spacing w:after="0" w:line="267"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our initial business combination where we merge directly with the target business or a newly formed subsidiary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w:t>
      </w:r>
    </w:p>
    <w:p>
      <w:pPr>
        <w:sectPr>
          <w:pgSz w:w="11900" w:h="16838" w:orient="portrait"/>
          <w:cols w:equalWidth="0" w:num="1">
            <w:col w:w="9019"/>
          </w:cols>
          <w:pgMar w:left="1440" w:top="274"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87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86" w:lineRule="auto"/>
        <w:rPr>
          <w:sz w:val="20"/>
          <w:szCs w:val="20"/>
          <w:color w:val="auto"/>
        </w:rPr>
      </w:pPr>
      <w:r>
        <w:rPr>
          <w:rFonts w:ascii="Arial" w:cs="Arial" w:eastAsia="Arial" w:hAnsi="Arial"/>
          <w:sz w:val="17"/>
          <w:szCs w:val="17"/>
          <w:color w:val="auto"/>
        </w:rPr>
        <w:t>Unlike other blank check company offerings, we have structured our offering to be an offering of units that consist of one subunit (consisting of one share of common stock and one-quarter of a warrant) and one-quarter of a warrant. We have structured our offering in this fashion for two primary reasons:</w:t>
      </w:r>
    </w:p>
    <w:p>
      <w:pPr>
        <w:spacing w:after="0" w:line="98" w:lineRule="exact"/>
        <w:rPr>
          <w:sz w:val="20"/>
          <w:szCs w:val="20"/>
          <w:color w:val="auto"/>
        </w:rPr>
      </w:pPr>
    </w:p>
    <w:p>
      <w:pPr>
        <w:jc w:val="both"/>
        <w:ind w:left="1400" w:right="559" w:hanging="424"/>
        <w:spacing w:after="0" w:line="255" w:lineRule="auto"/>
        <w:tabs>
          <w:tab w:leader="none" w:pos="15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11" w:lineRule="exact"/>
        <w:rPr>
          <w:rFonts w:ascii="Arial" w:cs="Arial" w:eastAsia="Arial" w:hAnsi="Arial"/>
          <w:sz w:val="18"/>
          <w:szCs w:val="18"/>
          <w:color w:val="auto"/>
        </w:rPr>
      </w:pPr>
    </w:p>
    <w:p>
      <w:pPr>
        <w:jc w:val="both"/>
        <w:ind w:left="1400" w:right="559" w:hanging="424"/>
        <w:spacing w:after="0" w:line="275" w:lineRule="auto"/>
        <w:tabs>
          <w:tab w:leader="none" w:pos="1445"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Minimize Dilution. This structure may reduce the total number of warrants outstanding, as compared to a structure in which one unit consists of one share and one full warrant, if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09" w:lineRule="exact"/>
        <w:rPr>
          <w:sz w:val="20"/>
          <w:szCs w:val="20"/>
          <w:color w:val="auto"/>
        </w:rPr>
      </w:pPr>
    </w:p>
    <w:p>
      <w:pPr>
        <w:jc w:val="both"/>
        <w:ind w:left="540" w:right="559"/>
        <w:spacing w:after="0" w:line="301" w:lineRule="auto"/>
        <w:rPr>
          <w:sz w:val="20"/>
          <w:szCs w:val="20"/>
          <w:color w:val="auto"/>
        </w:rPr>
      </w:pPr>
      <w:r>
        <w:rPr>
          <w:rFonts w:ascii="Arial" w:cs="Arial" w:eastAsia="Arial" w:hAnsi="Arial"/>
          <w:sz w:val="16"/>
          <w:szCs w:val="16"/>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Conflicts</w:t>
      </w:r>
    </w:p>
    <w:p>
      <w:pPr>
        <w:spacing w:after="0" w:line="162"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Members of our management team will directly or indirectly own shares of our common stock, or other instruments, such as units, subunits or warrants, linked to our common stock,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6" w:lineRule="exact"/>
        <w:rPr>
          <w:sz w:val="20"/>
          <w:szCs w:val="20"/>
          <w:color w:val="auto"/>
        </w:rPr>
      </w:pPr>
    </w:p>
    <w:p>
      <w:pPr>
        <w:jc w:val="both"/>
        <w:ind w:left="540" w:right="559"/>
        <w:spacing w:after="0" w:line="288" w:lineRule="auto"/>
        <w:rPr>
          <w:sz w:val="20"/>
          <w:szCs w:val="20"/>
          <w:color w:val="auto"/>
        </w:rPr>
      </w:pPr>
      <w:r>
        <w:rPr>
          <w:rFonts w:ascii="Arial" w:cs="Arial" w:eastAsia="Arial" w:hAnsi="Arial"/>
          <w:sz w:val="16"/>
          <w:szCs w:val="16"/>
          <w:color w:val="auto"/>
        </w:rPr>
        <w:t xml:space="preserve">Our officers and directors have agreed to present to us all target business opportunities that have a fair market value of at least 80% of the assets held in the trust account (excluding the taxes payable on the interest earned on the trust account), subject to any pre-existing fiduciary or contractual obligations. As more fully discussed in </w:t>
      </w:r>
      <w:r>
        <w:rPr>
          <w:rFonts w:ascii="Arial" w:cs="Arial" w:eastAsia="Arial" w:hAnsi="Arial"/>
          <w:sz w:val="16"/>
          <w:szCs w:val="16"/>
          <w:i w:val="1"/>
          <w:iCs w:val="1"/>
          <w:color w:val="auto"/>
        </w:rPr>
        <w:t>“Management — Conflicts of Interest</w:t>
      </w:r>
      <w:r>
        <w:rPr>
          <w:rFonts w:ascii="Arial" w:cs="Arial" w:eastAsia="Arial" w:hAnsi="Arial"/>
          <w:sz w:val="16"/>
          <w:szCs w:val="16"/>
          <w:color w:val="auto"/>
        </w:rPr>
        <w:t>,” if any of our officers or directors becomes aware of an initial business combination opportunity that might be attractive to any entity to which he has pre-existing fiduciary or contractual obligations, he may be required to present such initial business combination opportunity to such entity prior to presenting such initial business combination opportunity to us. Certain of our other officers and directors currently may have certain relevant pre-existing fiduciary duties or contractual obligations. For more information on the relevant pre-existing fiduciary duties or contractual obligations of our management team, see the section titled “</w:t>
      </w:r>
      <w:r>
        <w:rPr>
          <w:rFonts w:ascii="Arial" w:cs="Arial" w:eastAsia="Arial" w:hAnsi="Arial"/>
          <w:sz w:val="16"/>
          <w:szCs w:val="16"/>
          <w:i w:val="1"/>
          <w:iCs w:val="1"/>
          <w:color w:val="auto"/>
        </w:rPr>
        <w:t>Management — Conflicts of Interest</w:t>
      </w:r>
      <w:r>
        <w:rPr>
          <w:rFonts w:ascii="Arial" w:cs="Arial" w:eastAsia="Arial" w:hAnsi="Arial"/>
          <w:sz w:val="16"/>
          <w:szCs w:val="16"/>
          <w:color w:val="auto"/>
        </w:rPr>
        <w:t>.”</w:t>
      </w:r>
    </w:p>
    <w:p>
      <w:pPr>
        <w:spacing w:after="0" w:line="101" w:lineRule="exact"/>
        <w:rPr>
          <w:sz w:val="20"/>
          <w:szCs w:val="20"/>
          <w:color w:val="auto"/>
        </w:rPr>
      </w:pPr>
    </w:p>
    <w:p>
      <w:pPr>
        <w:jc w:val="both"/>
        <w:ind w:left="540" w:right="559"/>
        <w:spacing w:after="0" w:line="273" w:lineRule="auto"/>
        <w:rPr>
          <w:sz w:val="20"/>
          <w:szCs w:val="20"/>
          <w:color w:val="auto"/>
        </w:rPr>
      </w:pPr>
      <w:r>
        <w:rPr>
          <w:rFonts w:ascii="Arial" w:cs="Arial" w:eastAsia="Arial" w:hAnsi="Arial"/>
          <w:sz w:val="17"/>
          <w:szCs w:val="17"/>
          <w:color w:val="auto"/>
        </w:rPr>
        <w:t>In addition, some of our officers and directors, including our Chief Executive Officer, are currently officers and/or directors in other SPACs and may participate in the formation of, or become an officer or director of, additional blank check companies prior to completion of our initial business combination. As a result, our officers and/or directors currently have conflicts of interest in determining whether to present business combination opportunities to us or to any other blank check company with which they may become involved and could have additional conflicts in the future.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jc w:val="both"/>
        <w:ind w:left="540" w:right="559"/>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(which we refer to herein as the JOBS Act) and will remain such for up to five years. However, if our annual gross revenue is $1.07 billion or more, if our non-convertible debt issued within a three year period exceeds $1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have elected, under Section 107(b) of the JOBS Act, to take advantage of the extended transition period provided in Section 7(a)</w:t>
      </w:r>
    </w:p>
    <w:p>
      <w:pPr>
        <w:spacing w:after="0" w:line="2" w:lineRule="exact"/>
        <w:rPr>
          <w:sz w:val="20"/>
          <w:szCs w:val="20"/>
          <w:color w:val="auto"/>
        </w:rPr>
      </w:pPr>
    </w:p>
    <w:p>
      <w:pPr>
        <w:jc w:val="both"/>
        <w:ind w:left="540" w:right="559"/>
        <w:spacing w:after="0" w:line="260"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327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5327650"/>
                    </a:xfrm>
                    <a:prstGeom prst="rect">
                      <a:avLst/>
                    </a:prstGeom>
                    <a:noFill/>
                  </pic:spPr>
                </pic:pic>
              </a:graphicData>
            </a:graphic>
          </wp:anchor>
        </w:drawing>
      </w:r>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On January 4, 2021, we issued 2,875,000 shares of common stock to Archimedes Tech SPAC Sponsors LLC for $25,000, at a purchase price of approximately $0.009 per share, in connection with our formation, that include up to 375,000 shares subject to forfeiture to the extent that the underwriters’ over-allotment is not exercised in full or in part, which we refer to throughout this prospectus as the “</w:t>
      </w:r>
      <w:r>
        <w:rPr>
          <w:rFonts w:ascii="Arial" w:cs="Arial" w:eastAsia="Arial" w:hAnsi="Arial"/>
          <w:sz w:val="18"/>
          <w:szCs w:val="18"/>
          <w:i w:val="1"/>
          <w:iCs w:val="1"/>
          <w:color w:val="auto"/>
        </w:rPr>
        <w:t>founder shares</w:t>
      </w:r>
      <w:r>
        <w:rPr>
          <w:rFonts w:ascii="Arial" w:cs="Arial" w:eastAsia="Arial" w:hAnsi="Arial"/>
          <w:sz w:val="18"/>
          <w:szCs w:val="18"/>
          <w:color w:val="auto"/>
        </w:rPr>
        <w:t>”, owned by our sponsor and director nominees.</w:t>
      </w:r>
    </w:p>
    <w:p>
      <w:pPr>
        <w:spacing w:after="0" w:line="107" w:lineRule="exact"/>
        <w:rPr>
          <w:sz w:val="20"/>
          <w:szCs w:val="20"/>
          <w:color w:val="auto"/>
        </w:rPr>
      </w:pPr>
    </w:p>
    <w:p>
      <w:pPr>
        <w:jc w:val="both"/>
        <w:ind w:left="540" w:right="559"/>
        <w:spacing w:after="0" w:line="257" w:lineRule="auto"/>
        <w:rPr>
          <w:sz w:val="20"/>
          <w:szCs w:val="20"/>
          <w:color w:val="auto"/>
        </w:rPr>
      </w:pPr>
      <w:r>
        <w:rPr>
          <w:rFonts w:ascii="Arial" w:cs="Arial" w:eastAsia="Arial" w:hAnsi="Arial"/>
          <w:sz w:val="18"/>
          <w:szCs w:val="18"/>
          <w:color w:val="auto"/>
        </w:rPr>
        <w:t>On January 13, 2021, we issued to EarlyBirdCapital and its designees an aggregate of 350,000 shares of common stock at $0.0001 per share, which we refer to throughout this prospectus as the “</w:t>
      </w:r>
      <w:r>
        <w:rPr>
          <w:rFonts w:ascii="Arial" w:cs="Arial" w:eastAsia="Arial" w:hAnsi="Arial"/>
          <w:sz w:val="18"/>
          <w:szCs w:val="18"/>
          <w:i w:val="1"/>
          <w:iCs w:val="1"/>
          <w:color w:val="auto"/>
        </w:rPr>
        <w:t>representative</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rFonts w:ascii="Arial" w:cs="Arial" w:eastAsia="Arial" w:hAnsi="Arial"/>
          <w:sz w:val="18"/>
          <w:szCs w:val="18"/>
          <w:color w:val="auto"/>
        </w:rPr>
        <w:t>,” owned by EarlyBirdCapital, the representative of the underwriters in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shares are deemed to be underwriters’ compensation by FINRA pursuant to Rule 5110 of the FINRA Manual.</w:t>
      </w:r>
    </w:p>
    <w:p>
      <w:pPr>
        <w:spacing w:after="0" w:line="120" w:lineRule="exact"/>
        <w:rPr>
          <w:sz w:val="20"/>
          <w:szCs w:val="20"/>
          <w:color w:val="auto"/>
        </w:rPr>
      </w:pPr>
    </w:p>
    <w:p>
      <w:pPr>
        <w:jc w:val="both"/>
        <w:ind w:left="540" w:right="559"/>
        <w:spacing w:after="0" w:line="271" w:lineRule="auto"/>
        <w:rPr>
          <w:sz w:val="20"/>
          <w:szCs w:val="20"/>
          <w:color w:val="auto"/>
        </w:rPr>
      </w:pPr>
      <w:r>
        <w:rPr>
          <w:rFonts w:ascii="Arial" w:cs="Arial" w:eastAsia="Arial" w:hAnsi="Arial"/>
          <w:sz w:val="17"/>
          <w:szCs w:val="17"/>
          <w:color w:val="auto"/>
        </w:rPr>
        <w:t>In addition, our sponsor and EarlyBirdCapital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consists of one subunit and one-quarter of a warrant. Each such subunit, or “private subunit” consists of one share of our common stock or “private shares,” and one-quarter of a warrant. The warrants included in the private units and private subunits are referred to as the “private warrants.” Of the 350,000 private units, 300,000 will be purchased by our sponsor and 50,000 will be purchased by EarlyBirdCapital and/or its designees.</w:t>
      </w:r>
    </w:p>
    <w:p>
      <w:pPr>
        <w:spacing w:after="0" w:line="111" w:lineRule="exact"/>
        <w:rPr>
          <w:sz w:val="20"/>
          <w:szCs w:val="20"/>
          <w:color w:val="auto"/>
        </w:rPr>
      </w:pPr>
    </w:p>
    <w:p>
      <w:pPr>
        <w:jc w:val="both"/>
        <w:ind w:left="540" w:right="559"/>
        <w:spacing w:after="0" w:line="269" w:lineRule="auto"/>
        <w:rPr>
          <w:sz w:val="20"/>
          <w:szCs w:val="20"/>
          <w:color w:val="auto"/>
        </w:rPr>
      </w:pPr>
      <w:r>
        <w:rPr>
          <w:rFonts w:ascii="Arial" w:cs="Arial" w:eastAsia="Arial" w:hAnsi="Arial"/>
          <w:sz w:val="17"/>
          <w:szCs w:val="17"/>
          <w:color w:val="auto"/>
        </w:rPr>
        <w:t>Our sponsor and EarlyBirdCapital have also agreed that if the over-allotment option is exercised by the underwriters in full or in part, they and/or their designees will purchase from us additional private units (up to a maximum of 30,000 private units at a price of $10.00 per private unit, of which up to 22,500 will be purchased by our sponsor and 7,500 will be purchased by EarlyBirdCapital and/or its designees)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proceeds from the private placement of the private units will be added to the proceeds of this offering and placed in a U.S.-based trust account maintained by Continental Stock Transfer &amp; Trust Company, as trustee. If we do not complete an initial business combination within 18 months from the closing of this offering, the proceeds from the sale of the private units will be included in the liquidating distribution to our public stockholders and the private units will be worthless.</w:t>
      </w:r>
    </w:p>
    <w:p>
      <w:pPr>
        <w:spacing w:after="0" w:line="98" w:lineRule="exact"/>
        <w:rPr>
          <w:sz w:val="20"/>
          <w:szCs w:val="20"/>
          <w:color w:val="auto"/>
        </w:rPr>
      </w:pPr>
    </w:p>
    <w:p>
      <w:pPr>
        <w:jc w:val="both"/>
        <w:ind w:left="540" w:right="559"/>
        <w:spacing w:after="0" w:line="277" w:lineRule="auto"/>
        <w:rPr>
          <w:sz w:val="20"/>
          <w:szCs w:val="20"/>
          <w:color w:val="auto"/>
        </w:rPr>
      </w:pPr>
      <w:r>
        <w:rPr>
          <w:rFonts w:ascii="Arial" w:cs="Arial" w:eastAsia="Arial" w:hAnsi="Arial"/>
          <w:sz w:val="18"/>
          <w:szCs w:val="18"/>
          <w:color w:val="auto"/>
        </w:rPr>
        <w:t>Our executive offices are located at 2093 Philadelphia Pike #1968, Claymont, DE 19703 and our telephone number is (650) 560 4753.</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339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9339580"/>
                    </a:xfrm>
                    <a:prstGeom prst="rect">
                      <a:avLst/>
                    </a:prstGeom>
                    <a:noFill/>
                  </pic:spPr>
                </pic:pic>
              </a:graphicData>
            </a:graphic>
          </wp:anchor>
        </w:drawing>
      </w:r>
    </w:p>
    <w:p>
      <w:pPr>
        <w:sectPr>
          <w:pgSz w:w="11900" w:h="16838" w:orient="portrait"/>
          <w:cols w:equalWidth="0" w:num="1">
            <w:col w:w="9019"/>
          </w:cols>
          <w:pgMar w:left="1440" w:top="274" w:right="1440"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0" w:right="40" w:hanging="179"/>
        <w:spacing w:after="0" w:line="277" w:lineRule="auto"/>
        <w:rPr>
          <w:sz w:val="20"/>
          <w:szCs w:val="20"/>
          <w:color w:val="auto"/>
        </w:rPr>
      </w:pPr>
      <w:r>
        <w:rPr>
          <w:rFonts w:ascii="Arial" w:cs="Arial" w:eastAsia="Arial" w:hAnsi="Arial"/>
          <w:sz w:val="18"/>
          <w:szCs w:val="18"/>
          <w:color w:val="auto"/>
        </w:rPr>
        <w:t>Listing of our securities and proposed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0" w:hanging="179"/>
        <w:spacing w:after="0" w:line="342" w:lineRule="auto"/>
        <w:rPr>
          <w:sz w:val="20"/>
          <w:szCs w:val="20"/>
          <w:color w:val="auto"/>
        </w:rPr>
      </w:pPr>
      <w:r>
        <w:rPr>
          <w:rFonts w:ascii="Arial" w:cs="Arial" w:eastAsia="Arial" w:hAnsi="Arial"/>
          <w:sz w:val="16"/>
          <w:szCs w:val="16"/>
          <w:color w:val="auto"/>
        </w:rPr>
        <w:t>Trading commencement and separation of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jc w:val="both"/>
        <w:ind w:right="579"/>
        <w:spacing w:after="0" w:line="279" w:lineRule="auto"/>
        <w:rPr>
          <w:sz w:val="20"/>
          <w:szCs w:val="20"/>
          <w:color w:val="auto"/>
        </w:rPr>
      </w:pPr>
      <w:r>
        <w:rPr>
          <w:rFonts w:ascii="Arial" w:cs="Arial" w:eastAsia="Arial" w:hAnsi="Arial"/>
          <w:sz w:val="17"/>
          <w:szCs w:val="17"/>
          <w:color w:val="auto"/>
        </w:rPr>
        <w:t>10,000,000 units, at $10.00 per unit, each unit consisting of (i) one subunit, each subunit consisting of one share of common stock and one-quarter of one warrant, and (ii) one-quarter of one warrant; each whole warrant will be exercisable to purchase one share of common stock.</w:t>
      </w:r>
    </w:p>
    <w:p>
      <w:pPr>
        <w:spacing w:after="0" w:line="347" w:lineRule="exact"/>
        <w:rPr>
          <w:sz w:val="20"/>
          <w:szCs w:val="20"/>
          <w:color w:val="auto"/>
        </w:rPr>
      </w:pPr>
    </w:p>
    <w:p>
      <w:pPr>
        <w:jc w:val="both"/>
        <w:ind w:right="579"/>
        <w:spacing w:after="0" w:line="273" w:lineRule="auto"/>
        <w:rPr>
          <w:sz w:val="20"/>
          <w:szCs w:val="20"/>
          <w:color w:val="auto"/>
        </w:rPr>
      </w:pPr>
      <w:r>
        <w:rPr>
          <w:rFonts w:ascii="Arial" w:cs="Arial" w:eastAsia="Arial" w:hAnsi="Arial"/>
          <w:sz w:val="17"/>
          <w:szCs w:val="17"/>
          <w:color w:val="auto"/>
        </w:rPr>
        <w:t>We anticipate that the units, subunits and public warrants, will be listed on Nasdaq under the symbols “ATSPU,” “ATSPT,” and “ATSPW,” respectively. The common stock will not trade separately unless and until we consummate an initial business combination. Upon consummation of our initial business combination, we anticipate the common stock will be traded on Nasdaq under the symbol “ATSP.”</w:t>
      </w:r>
    </w:p>
    <w:p>
      <w:pPr>
        <w:spacing w:after="0" w:line="367"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The units will begin trading on or promptly after the date of this prospectus. The subunits and warrants comprising the units, but not the shares of common stock and warrants included in the subunits, will begin to trade separately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date of this prospectus unless EarlyBirdCapital informs us of its decision to allow earlier separate trading, subject to our having filed the Current Report on Form 8-K described below and having issued a press release and filed a Current Report on Form 8-K announcing when such separate trading will begin.</w:t>
      </w:r>
    </w:p>
    <w:p>
      <w:pPr>
        <w:spacing w:after="0" w:line="142" w:lineRule="exact"/>
        <w:rPr>
          <w:sz w:val="20"/>
          <w:szCs w:val="20"/>
          <w:color w:val="auto"/>
        </w:rPr>
      </w:pPr>
    </w:p>
    <w:p>
      <w:pPr>
        <w:jc w:val="both"/>
        <w:ind w:right="559"/>
        <w:spacing w:after="0" w:line="253" w:lineRule="auto"/>
        <w:rPr>
          <w:sz w:val="20"/>
          <w:szCs w:val="20"/>
          <w:color w:val="auto"/>
        </w:rPr>
      </w:pPr>
      <w:r>
        <w:rPr>
          <w:rFonts w:ascii="Arial" w:cs="Arial" w:eastAsia="Arial" w:hAnsi="Arial"/>
          <w:sz w:val="18"/>
          <w:szCs w:val="18"/>
          <w:color w:val="auto"/>
        </w:rPr>
        <w:t>Once the subunits and warrants commence separate trading, holders will have the option to continue to hold units or separate their units into the component pieces. Holders will need to have their brokers contact our transfer agent in order to separate the units into subunits and warrants. No fractional warrants will be issued upon separation of the units and only whole warrants will trade. Accordingly, unless you purchase a multiple of four units, the number of tradeable warrants issuable to you upon separation of the units will be rounded down to the nearest whole number of warrants.</w:t>
      </w:r>
    </w:p>
    <w:p>
      <w:pPr>
        <w:spacing w:after="0" w:line="169"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In no event will the subunits and warrants be traded separately until we have filed a Current Report on Form 8-K with the SEC containing an audited balance sheet reflecting our receipt of the gross proceeds at the closing of this offering. We will file the Current Report on Form 8-K promptly after the closing of this offering, which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 We will also include the Form 8-K, or amendment thereto, or in a subsequent Form 8-K, information indicating if EarlyBirdCapital has allowed separate trading of the subunits and warrants prior to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after the date of this prospectus.</w:t>
      </w:r>
    </w:p>
    <w:p>
      <w:pPr>
        <w:spacing w:after="0" w:line="154" w:lineRule="exact"/>
        <w:rPr>
          <w:sz w:val="20"/>
          <w:szCs w:val="20"/>
          <w:color w:val="auto"/>
        </w:rPr>
      </w:pPr>
    </w:p>
    <w:p>
      <w:pPr>
        <w:jc w:val="both"/>
        <w:ind w:right="559"/>
        <w:spacing w:after="0" w:line="268" w:lineRule="auto"/>
        <w:rPr>
          <w:sz w:val="20"/>
          <w:szCs w:val="20"/>
          <w:color w:val="auto"/>
        </w:rPr>
      </w:pPr>
      <w:r>
        <w:rPr>
          <w:rFonts w:ascii="Arial" w:cs="Arial" w:eastAsia="Arial" w:hAnsi="Arial"/>
          <w:sz w:val="17"/>
          <w:szCs w:val="17"/>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The common stock will not trade separately unless and until we consummate an initial business combination.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lose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200" w:lineRule="exact"/>
        <w:rPr>
          <w:sz w:val="20"/>
          <w:szCs w:val="20"/>
          <w:color w:val="auto"/>
        </w:rPr>
      </w:pPr>
    </w:p>
    <w:p>
      <w:pPr>
        <w:sectPr>
          <w:pgSz w:w="11900" w:h="16838" w:orient="portrait"/>
          <w:cols w:equalWidth="0" w:num="2">
            <w:col w:w="2600" w:space="380"/>
            <w:col w:w="6039"/>
          </w:cols>
          <w:pgMar w:left="1440" w:top="274" w:right="1440" w:bottom="757" w:gutter="0" w:footer="0" w:header="0"/>
          <w:type w:val="continuous"/>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757" w:gutter="0" w:footer="0" w:header="0"/>
          <w:type w:val="continuous"/>
        </w:sectPr>
      </w:pPr>
    </w:p>
    <w:bookmarkStart w:id="12" w:name="page13"/>
    <w:bookmarkEnd w:id="12"/>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71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271000"/>
                    </a:xfrm>
                    <a:prstGeom prst="rect">
                      <a:avLst/>
                    </a:prstGeom>
                    <a:noFill/>
                  </pic:spPr>
                </pic:pic>
              </a:graphicData>
            </a:graphic>
          </wp:anchor>
        </w:drawing>
      </w:r>
    </w:p>
    <w:p>
      <w:pPr>
        <w:sectPr>
          <w:pgSz w:w="11900" w:h="16838" w:orient="portrait"/>
          <w:cols w:equalWidth="0" w:num="1">
            <w:col w:w="9019"/>
          </w:cols>
          <w:pgMar w:left="1440" w:top="274" w:right="1440" w:bottom="865"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Units:</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120" w:hanging="179"/>
        <w:spacing w:after="0" w:line="263" w:lineRule="auto"/>
        <w:rPr>
          <w:sz w:val="20"/>
          <w:szCs w:val="20"/>
          <w:color w:val="auto"/>
        </w:rPr>
      </w:pPr>
      <w:r>
        <w:rPr>
          <w:rFonts w:ascii="Arial" w:cs="Arial" w:eastAsia="Arial" w:hAnsi="Arial"/>
          <w:sz w:val="18"/>
          <w:szCs w:val="18"/>
          <w:color w:val="auto"/>
        </w:rPr>
        <w:t>Number outstanding after this offering and private placement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Subunits:</w:t>
      </w:r>
    </w:p>
    <w:p>
      <w:pPr>
        <w:spacing w:after="0" w:line="63"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120" w:hanging="179"/>
        <w:spacing w:after="0" w:line="263" w:lineRule="auto"/>
        <w:rPr>
          <w:sz w:val="20"/>
          <w:szCs w:val="20"/>
          <w:color w:val="auto"/>
        </w:rPr>
      </w:pPr>
      <w:r>
        <w:rPr>
          <w:rFonts w:ascii="Arial" w:cs="Arial" w:eastAsia="Arial" w:hAnsi="Arial"/>
          <w:sz w:val="18"/>
          <w:szCs w:val="18"/>
          <w:color w:val="auto"/>
        </w:rPr>
        <w:t>Number outstanding after this offering and private placement</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 of common stock:</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20" w:hanging="179"/>
        <w:spacing w:after="0" w:line="277" w:lineRule="auto"/>
        <w:rPr>
          <w:sz w:val="20"/>
          <w:szCs w:val="20"/>
          <w:color w:val="auto"/>
        </w:rPr>
      </w:pPr>
      <w:r>
        <w:rPr>
          <w:rFonts w:ascii="Arial" w:cs="Arial" w:eastAsia="Arial" w:hAnsi="Arial"/>
          <w:sz w:val="18"/>
          <w:szCs w:val="18"/>
          <w:color w:val="auto"/>
        </w:rPr>
        <w:t>Number to be sold in private placement</w:t>
      </w:r>
    </w:p>
    <w:p>
      <w:pPr>
        <w:spacing w:after="0" w:line="143" w:lineRule="exact"/>
        <w:rPr>
          <w:sz w:val="20"/>
          <w:szCs w:val="20"/>
          <w:color w:val="auto"/>
        </w:rPr>
      </w:pPr>
    </w:p>
    <w:p>
      <w:pPr>
        <w:ind w:left="720" w:right="20" w:hanging="179"/>
        <w:spacing w:after="0" w:line="263" w:lineRule="auto"/>
        <w:rPr>
          <w:sz w:val="20"/>
          <w:szCs w:val="20"/>
          <w:color w:val="auto"/>
        </w:rPr>
      </w:pPr>
      <w:r>
        <w:rPr>
          <w:rFonts w:ascii="Arial" w:cs="Arial" w:eastAsia="Arial" w:hAnsi="Arial"/>
          <w:sz w:val="18"/>
          <w:szCs w:val="18"/>
          <w:color w:val="auto"/>
        </w:rPr>
        <w:t>Number to be outstanding after this offering and private placement</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Warrants:</w:t>
      </w:r>
    </w:p>
    <w:p>
      <w:pPr>
        <w:spacing w:after="0" w:line="7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60" w:hanging="179"/>
        <w:spacing w:after="0" w:line="263" w:lineRule="auto"/>
        <w:rPr>
          <w:sz w:val="20"/>
          <w:szCs w:val="20"/>
          <w:color w:val="auto"/>
        </w:rPr>
      </w:pPr>
      <w:r>
        <w:rPr>
          <w:rFonts w:ascii="Arial" w:cs="Arial" w:eastAsia="Arial" w:hAnsi="Arial"/>
          <w:sz w:val="18"/>
          <w:szCs w:val="18"/>
          <w:color w:val="auto"/>
        </w:rPr>
        <w:t>Number to be sold as part of units and subunits in private placement</w:t>
      </w:r>
    </w:p>
    <w:p>
      <w:pPr>
        <w:spacing w:after="0" w:line="157" w:lineRule="exact"/>
        <w:rPr>
          <w:sz w:val="20"/>
          <w:szCs w:val="20"/>
          <w:color w:val="auto"/>
        </w:rPr>
      </w:pPr>
    </w:p>
    <w:p>
      <w:pPr>
        <w:ind w:left="720" w:right="220" w:hanging="179"/>
        <w:spacing w:after="0" w:line="259" w:lineRule="auto"/>
        <w:rPr>
          <w:sz w:val="20"/>
          <w:szCs w:val="20"/>
          <w:color w:val="auto"/>
        </w:rPr>
      </w:pPr>
      <w:r>
        <w:rPr>
          <w:rFonts w:ascii="Arial" w:cs="Arial" w:eastAsia="Arial" w:hAnsi="Arial"/>
          <w:sz w:val="18"/>
          <w:szCs w:val="18"/>
          <w:color w:val="auto"/>
        </w:rPr>
        <w:t>Number to be sold as part of units and subunits in this offering and private placement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819" w:firstLine="7"/>
        <w:spacing w:after="0" w:line="840"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units 350,000 units 10,350,000 units</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right="4579" w:firstLine="7"/>
        <w:spacing w:after="0" w:line="840"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subunits 350,000 subunits 10,350,000 subunits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3,225,000 shares</w:t>
      </w:r>
      <w:r>
        <w:rPr>
          <w:rFonts w:ascii="Arial" w:cs="Arial" w:eastAsia="Arial" w:hAnsi="Arial"/>
          <w:sz w:val="20"/>
          <w:szCs w:val="20"/>
          <w:color w:val="auto"/>
          <w:vertAlign w:val="superscript"/>
        </w:rPr>
        <w:t>(1)</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350,000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13,200,000 shares</w:t>
      </w:r>
      <w:r>
        <w:rPr>
          <w:rFonts w:ascii="Arial" w:cs="Arial" w:eastAsia="Arial" w:hAnsi="Arial"/>
          <w:sz w:val="20"/>
          <w:szCs w:val="20"/>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659" w:firstLine="7"/>
        <w:spacing w:after="0" w:line="1027"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warrants 175,000 warrants</w:t>
      </w:r>
      <w:r>
        <w:rPr>
          <w:rFonts w:ascii="Arial" w:cs="Arial" w:eastAsia="Arial" w:hAnsi="Arial"/>
          <w:sz w:val="18"/>
          <w:szCs w:val="18"/>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5,175,000 warrants</w:t>
      </w:r>
      <w:r>
        <w:rPr>
          <w:rFonts w:ascii="Arial" w:cs="Arial" w:eastAsia="Arial" w:hAnsi="Arial"/>
          <w:sz w:val="20"/>
          <w:szCs w:val="20"/>
          <w:color w:val="auto"/>
          <w:vertAlign w:val="superscript"/>
        </w:rPr>
        <w:t>(3)</w:t>
      </w:r>
    </w:p>
    <w:p>
      <w:pPr>
        <w:spacing w:after="0" w:line="243"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Each whole warrant is exercisable for one share of common stock at a price of $11.50 per share and only whole warrants are exercisable. The warrants will become exercisable 30 days after the completion of an initial business combination. The warrants will expire at 5:00 p.m., New York City time, on the fifth anniversary of our completion of an initial business combination, or earlier upon redemption.</w:t>
      </w:r>
    </w:p>
    <w:p>
      <w:pPr>
        <w:spacing w:after="0" w:line="372" w:lineRule="exact"/>
        <w:rPr>
          <w:sz w:val="20"/>
          <w:szCs w:val="20"/>
          <w:color w:val="auto"/>
        </w:rPr>
      </w:pPr>
    </w:p>
    <w:p>
      <w:pPr>
        <w:sectPr>
          <w:pgSz w:w="11900" w:h="16838" w:orient="portrait"/>
          <w:cols w:equalWidth="0" w:num="2">
            <w:col w:w="2820" w:space="160"/>
            <w:col w:w="6039"/>
          </w:cols>
          <w:pgMar w:left="1440" w:top="274" w:right="1440" w:bottom="865" w:gutter="0" w:footer="0" w:header="0"/>
          <w:type w:val="continuous"/>
        </w:sectPr>
      </w:pPr>
    </w:p>
    <w:p>
      <w:pPr>
        <w:jc w:val="both"/>
        <w:ind w:left="980" w:right="559" w:hanging="436"/>
        <w:spacing w:after="0" w:line="265" w:lineRule="auto"/>
        <w:tabs>
          <w:tab w:leader="none" w:pos="102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2,875,000 founder shares and 350,000 representative shares. The 2,875,000 founder shares include an aggregate of up to 375,000 founder shares that are subject to forfeiture if the over-allotment option is not exercised by the underwriters in full.</w:t>
      </w:r>
    </w:p>
    <w:p>
      <w:pPr>
        <w:spacing w:after="0" w:line="1" w:lineRule="exact"/>
        <w:rPr>
          <w:rFonts w:ascii="Arial" w:cs="Arial" w:eastAsia="Arial" w:hAnsi="Arial"/>
          <w:sz w:val="16"/>
          <w:szCs w:val="16"/>
          <w:color w:val="auto"/>
        </w:rPr>
      </w:pPr>
    </w:p>
    <w:p>
      <w:pPr>
        <w:ind w:left="980" w:right="559" w:hanging="436"/>
        <w:spacing w:after="0" w:line="264" w:lineRule="auto"/>
        <w:tabs>
          <w:tab w:leader="none" w:pos="1012"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375,000 founder shares have been forfeited.</w:t>
      </w:r>
    </w:p>
    <w:p>
      <w:pPr>
        <w:jc w:val="both"/>
        <w:ind w:left="980" w:right="559" w:hanging="436"/>
        <w:spacing w:after="0" w:line="267" w:lineRule="auto"/>
        <w:tabs>
          <w:tab w:leader="none" w:pos="1005"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unit consists of one subunit and one-quarter of a warrant. Each subunit consists of one share of our common stock and one-quarter of a warrant. 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have a number of subunits divisible by four at that time or they will lose any fractions of a warrant they hold.</w:t>
      </w:r>
    </w:p>
    <w:p>
      <w:pPr>
        <w:sectPr>
          <w:pgSz w:w="11900" w:h="16838" w:orient="portrait"/>
          <w:cols w:equalWidth="0" w:num="1">
            <w:col w:w="9019"/>
          </w:cols>
          <w:pgMar w:left="1440" w:top="274" w:right="1440" w:bottom="865"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865" w:gutter="0" w:footer="0" w:header="0"/>
          <w:type w:val="continuous"/>
        </w:sectPr>
      </w:pPr>
    </w:p>
    <w:bookmarkStart w:id="13" w:name="page14"/>
    <w:bookmarkEnd w:id="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45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745095"/>
                    </a:xfrm>
                    <a:prstGeom prst="rect">
                      <a:avLst/>
                    </a:prstGeom>
                    <a:noFill/>
                  </pic:spPr>
                </pic:pic>
              </a:graphicData>
            </a:graphic>
          </wp:anchor>
        </w:drawing>
      </w:r>
    </w:p>
    <w:p>
      <w:pPr>
        <w:spacing w:after="0" w:line="367" w:lineRule="exact"/>
        <w:rPr>
          <w:sz w:val="20"/>
          <w:szCs w:val="20"/>
          <w:color w:val="auto"/>
        </w:rPr>
      </w:pPr>
    </w:p>
    <w:p>
      <w:pPr>
        <w:jc w:val="both"/>
        <w:ind w:left="2980" w:right="559"/>
        <w:spacing w:after="0" w:line="267" w:lineRule="auto"/>
        <w:rPr>
          <w:sz w:val="20"/>
          <w:szCs w:val="20"/>
          <w:color w:val="auto"/>
        </w:rPr>
      </w:pPr>
      <w:r>
        <w:rPr>
          <w:rFonts w:ascii="Arial" w:cs="Arial" w:eastAsia="Arial" w:hAnsi="Arial"/>
          <w:sz w:val="17"/>
          <w:szCs w:val="17"/>
          <w:color w:val="auto"/>
        </w:rPr>
        <w:t>We structured each unit to consist of one subunit (consisting of one share of common stock and one-quarter of a warrant) and one-quarter of a warrant. We have structured our offering in this fashion to attempt to (i) maximize the amount of cash in trust that will be available for our use following our business combination and (ii) to reduce the total number of warrants outstanding, as compared to a structure in which one unit consists of one share and one-half of a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 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one-half of a full warrant, due to a reduction in the number of warrants outstanding.</w:t>
      </w:r>
    </w:p>
    <w:p>
      <w:pPr>
        <w:spacing w:after="0" w:line="151"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Exercise price</w:t>
      </w:r>
      <w:r>
        <w:rPr>
          <w:sz w:val="20"/>
          <w:szCs w:val="20"/>
          <w:color w:val="auto"/>
        </w:rPr>
        <w:tab/>
      </w:r>
      <w:r>
        <w:rPr>
          <w:rFonts w:ascii="Arial" w:cs="Arial" w:eastAsia="Arial" w:hAnsi="Arial"/>
          <w:sz w:val="16"/>
          <w:szCs w:val="16"/>
          <w:color w:val="auto"/>
        </w:rPr>
        <w:t>$11.50 per share, subject to adjustment as described herein. In addition, if</w:t>
      </w:r>
    </w:p>
    <w:p>
      <w:pPr>
        <w:spacing w:after="0" w:line="23" w:lineRule="exact"/>
        <w:rPr>
          <w:sz w:val="20"/>
          <w:szCs w:val="20"/>
          <w:color w:val="auto"/>
        </w:rPr>
      </w:pPr>
    </w:p>
    <w:p>
      <w:pPr>
        <w:jc w:val="both"/>
        <w:ind w:left="2980" w:right="559" w:firstLine="7"/>
        <w:spacing w:after="0" w:line="281" w:lineRule="auto"/>
        <w:tabs>
          <w:tab w:leader="none" w:pos="3247"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6" w:lineRule="exact"/>
        <w:rPr>
          <w:rFonts w:ascii="Arial" w:cs="Arial" w:eastAsia="Arial" w:hAnsi="Arial"/>
          <w:sz w:val="16"/>
          <w:szCs w:val="16"/>
          <w:color w:val="auto"/>
        </w:rPr>
      </w:pPr>
    </w:p>
    <w:p>
      <w:pPr>
        <w:jc w:val="both"/>
        <w:ind w:left="2980" w:right="559" w:firstLine="7"/>
        <w:spacing w:after="0" w:line="268" w:lineRule="auto"/>
        <w:tabs>
          <w:tab w:leader="none" w:pos="323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volume weighted average trading price of our shares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56" w:lineRule="exact"/>
        <w:rPr>
          <w:sz w:val="20"/>
          <w:szCs w:val="20"/>
          <w:color w:val="auto"/>
        </w:rPr>
      </w:pPr>
    </w:p>
    <w:p>
      <w:pPr>
        <w:jc w:val="both"/>
        <w:ind w:left="2980" w:right="559"/>
        <w:spacing w:after="0" w:line="268" w:lineRule="auto"/>
        <w:rPr>
          <w:sz w:val="20"/>
          <w:szCs w:val="20"/>
          <w:color w:val="auto"/>
        </w:rPr>
      </w:pPr>
      <w:r>
        <w:rPr>
          <w:rFonts w:ascii="Arial" w:cs="Arial" w:eastAsia="Arial" w:hAnsi="Arial"/>
          <w:sz w:val="17"/>
          <w:szCs w:val="17"/>
          <w:color w:val="auto"/>
        </w:rPr>
        <w:t>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 w:name="page15"/>
    <w:bookmarkEnd w:id="14"/>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7710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77108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hanging="179"/>
        <w:spacing w:after="0" w:line="311" w:lineRule="auto"/>
        <w:rPr>
          <w:sz w:val="20"/>
          <w:szCs w:val="20"/>
          <w:color w:val="auto"/>
        </w:rPr>
      </w:pPr>
      <w:r>
        <w:rPr>
          <w:rFonts w:ascii="Arial" w:cs="Arial" w:eastAsia="Arial" w:hAnsi="Arial"/>
          <w:sz w:val="16"/>
          <w:szCs w:val="16"/>
          <w:color w:val="auto"/>
        </w:rPr>
        <w:t>Securities purchased, or being purchased, by insiders in connection with this offering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We may redeem the outstanding warrants (excluding the private warrants underlying the private units and private subunits, and any warrants underlying additional units issued to our sponsor, officers, directors, initial stockholders or their affiliates in payment of working capital loans made to us) in whole and not in part, at a price of $0.01 per warrant at any time after the warrants become exercisable, upon a minimum of 30 days’ prior written notice of redemption, if, and only if, the last sales price of our shares of common stock equals or exceeds $18.00 per share (as adjusted for stock splits, stock dividends, reorganizations and recapitalizations) for any 20 trading days within a 30 trading day period commencing once the warrants become exercisable and ending three business days before we send the notice of redemption; and if, and only if, there is a current registration statement in effect with respect to the shares of common stock underlying such warrants.</w:t>
      </w:r>
    </w:p>
    <w:p>
      <w:pPr>
        <w:spacing w:after="0" w:line="130" w:lineRule="exact"/>
        <w:rPr>
          <w:sz w:val="20"/>
          <w:szCs w:val="20"/>
          <w:color w:val="auto"/>
        </w:rPr>
      </w:pPr>
    </w:p>
    <w:p>
      <w:pPr>
        <w:jc w:val="both"/>
        <w:ind w:right="559"/>
        <w:spacing w:after="0" w:line="275" w:lineRule="auto"/>
        <w:rPr>
          <w:sz w:val="20"/>
          <w:szCs w:val="20"/>
          <w:color w:val="auto"/>
        </w:rPr>
      </w:pPr>
      <w:r>
        <w:rPr>
          <w:rFonts w:ascii="Arial" w:cs="Arial" w:eastAsia="Arial" w:hAnsi="Arial"/>
          <w:sz w:val="17"/>
          <w:szCs w:val="17"/>
          <w:color w:val="auto"/>
        </w:rPr>
        <w:t>If the foregoing conditions are satisfied and we issue a notice of redemption, each warrant holder can exercise his, her or its warrant prior to the scheduled redemption date. However, the price of the shares of common stock may fall below the $18.00 trigger price as well as the $11.50 warrant exercise price after the redemption notice is issued.</w:t>
      </w:r>
    </w:p>
    <w:p>
      <w:pPr>
        <w:spacing w:after="0" w:line="149"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200" w:lineRule="exact"/>
        <w:rPr>
          <w:sz w:val="20"/>
          <w:szCs w:val="20"/>
          <w:color w:val="auto"/>
        </w:rPr>
      </w:pPr>
    </w:p>
    <w:p>
      <w:pPr>
        <w:spacing w:after="0" w:line="384" w:lineRule="exact"/>
        <w:rPr>
          <w:sz w:val="20"/>
          <w:szCs w:val="20"/>
          <w:color w:val="auto"/>
        </w:rPr>
      </w:pPr>
    </w:p>
    <w:p>
      <w:pPr>
        <w:jc w:val="both"/>
        <w:ind w:right="559"/>
        <w:spacing w:after="0" w:line="272" w:lineRule="auto"/>
        <w:rPr>
          <w:sz w:val="20"/>
          <w:szCs w:val="20"/>
          <w:color w:val="auto"/>
        </w:rPr>
      </w:pPr>
      <w:r>
        <w:rPr>
          <w:rFonts w:ascii="Arial" w:cs="Arial" w:eastAsia="Arial" w:hAnsi="Arial"/>
          <w:sz w:val="17"/>
          <w:szCs w:val="17"/>
          <w:color w:val="auto"/>
        </w:rPr>
        <w:t>Prior to this offering, we have issued 2,875,000 founder shares owned by our sponsor and director nominees, including up to 375,000 shares subject to forfeiture to the extent that the underwriters’ over-allotment is not exercised in full or in part, so that the initial stockholders will own 20% (not including the private placement shares and the representative shares and assuming the initial stockholders do not purchase any units in this offering) of our issued and outstanding shares after this offering.</w:t>
      </w:r>
    </w:p>
    <w:p>
      <w:pPr>
        <w:spacing w:after="0" w:line="150" w:lineRule="exact"/>
        <w:rPr>
          <w:sz w:val="20"/>
          <w:szCs w:val="20"/>
          <w:color w:val="auto"/>
        </w:rPr>
      </w:pPr>
    </w:p>
    <w:p>
      <w:pPr>
        <w:jc w:val="both"/>
        <w:ind w:right="559"/>
        <w:spacing w:after="0" w:line="289"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However, our initial stockholders and officers and directors have agreed (A) to vote any shares owned by them in favor of any proposed business combination, (B) not to convert any shares in connection with a stockholder vote to approve a proposed initial business combination or sell any shares to us in a tender offer in connection with a proposed initial business combination and (C) that the founder shares will not participate in any liquidating distributions from our trust account upon winding up if a business combination is not consummated.</w:t>
      </w:r>
    </w:p>
    <w:p>
      <w:pPr>
        <w:spacing w:after="0" w:line="200" w:lineRule="exact"/>
        <w:rPr>
          <w:sz w:val="20"/>
          <w:szCs w:val="20"/>
          <w:color w:val="auto"/>
        </w:rPr>
      </w:pPr>
    </w:p>
    <w:p>
      <w:pPr>
        <w:sectPr>
          <w:pgSz w:w="11900" w:h="16838" w:orient="portrait"/>
          <w:cols w:equalWidth="0" w:num="2">
            <w:col w:w="2800" w:space="180"/>
            <w:col w:w="6039"/>
          </w:cols>
          <w:pgMar w:left="1440" w:top="274" w:right="1440" w:bottom="1440" w:gutter="0" w:footer="0" w:header="0"/>
          <w:type w:val="continuous"/>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802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80249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0" w:hanging="179"/>
        <w:spacing w:after="0" w:line="263" w:lineRule="auto"/>
        <w:rPr>
          <w:sz w:val="20"/>
          <w:szCs w:val="20"/>
          <w:color w:val="auto"/>
        </w:rPr>
      </w:pPr>
      <w:r>
        <w:rPr>
          <w:rFonts w:ascii="Arial" w:cs="Arial" w:eastAsia="Arial" w:hAnsi="Arial"/>
          <w:sz w:val="18"/>
          <w:szCs w:val="18"/>
          <w:color w:val="auto"/>
        </w:rPr>
        <w:t>Restrictions on transfer of founder shares and private units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3" w:lineRule="auto"/>
        <w:rPr>
          <w:sz w:val="20"/>
          <w:szCs w:val="20"/>
          <w:color w:val="auto"/>
        </w:rPr>
      </w:pPr>
      <w:r>
        <w:rPr>
          <w:rFonts w:ascii="Arial" w:cs="Arial" w:eastAsia="Arial" w:hAnsi="Arial"/>
          <w:sz w:val="16"/>
          <w:szCs w:val="16"/>
          <w:color w:val="auto"/>
        </w:rPr>
        <w:t>Simultaneously with the consummation of this offering, 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amounts to be paid upon consummation of the private placement will be placed in escrow with our counsel prior to the consummation of this offering. The private units (and underlying private subunits, private shares and private warrants) are identical to the units (and underlying securities)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shares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358" w:lineRule="exact"/>
        <w:rPr>
          <w:sz w:val="20"/>
          <w:szCs w:val="20"/>
          <w:color w:val="auto"/>
        </w:rPr>
      </w:pPr>
    </w:p>
    <w:p>
      <w:pPr>
        <w:jc w:val="both"/>
        <w:ind w:right="579"/>
        <w:spacing w:after="0" w:line="289" w:lineRule="auto"/>
        <w:rPr>
          <w:sz w:val="20"/>
          <w:szCs w:val="20"/>
          <w:color w:val="auto"/>
        </w:rPr>
      </w:pPr>
      <w:r>
        <w:rPr>
          <w:rFonts w:ascii="Arial" w:cs="Arial" w:eastAsia="Arial" w:hAnsi="Arial"/>
          <w:sz w:val="16"/>
          <w:szCs w:val="16"/>
          <w:color w:val="auto"/>
        </w:rPr>
        <w:t>If we sought stockholder approval of a proposed transaction we could need as little as 100,001 of our public shares (or approximately 1.0% of our public shares) to be voted in favor of the transaction in order to have such transaction approved (assuming that only a quorum is present at the meeting, that the over-allotment option is not exercised, that the initial stockholders do not purchase any units in this offering or units or subunits in the after-market and that the 350,000 representative shares are voted in favor of the transaction). In the event of a liquidation prior to our initial business combination, the private warrants will likely be worthless.</w:t>
      </w:r>
    </w:p>
    <w:p>
      <w:pPr>
        <w:spacing w:after="0" w:line="355" w:lineRule="exact"/>
        <w:rPr>
          <w:sz w:val="20"/>
          <w:szCs w:val="20"/>
          <w:color w:val="auto"/>
        </w:rPr>
      </w:pPr>
    </w:p>
    <w:p>
      <w:pPr>
        <w:jc w:val="both"/>
        <w:ind w:right="559"/>
        <w:spacing w:after="0" w:line="284" w:lineRule="auto"/>
        <w:rPr>
          <w:sz w:val="20"/>
          <w:szCs w:val="20"/>
          <w:color w:val="auto"/>
        </w:rPr>
      </w:pPr>
      <w:r>
        <w:rPr>
          <w:rFonts w:ascii="Arial" w:cs="Arial" w:eastAsia="Arial" w:hAnsi="Arial"/>
          <w:sz w:val="16"/>
          <w:szCs w:val="16"/>
          <w:color w:val="auto"/>
        </w:rPr>
        <w:t>On the date of this prospectus, the founder shares will be placed into an escrow account maintained in New York, New York by Continental Stock Transfer &amp; Trust Company, acting as escrow agent. Subject to certain limited exceptions, these shares will not be transferred, assigned, sold or released from escrow for a period ending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 a liquidation, merger, stock exchange or other similar transaction which results in all of the shareholders having the right to exchange their shares of common stock for cash, securities or other property. The limited exceptions include transfers, assignments or sales (i) among our initial stockholders or to our initial stockholders’ members, officers, directors, consultants or their affiliates, (ii) to a holder’s stockholders or members</w:t>
      </w:r>
    </w:p>
    <w:p>
      <w:pPr>
        <w:spacing w:after="0" w:line="200" w:lineRule="exact"/>
        <w:rPr>
          <w:sz w:val="20"/>
          <w:szCs w:val="20"/>
          <w:color w:val="auto"/>
        </w:rPr>
      </w:pPr>
    </w:p>
    <w:p>
      <w:pPr>
        <w:sectPr>
          <w:pgSz w:w="11900" w:h="16838" w:orient="portrait"/>
          <w:cols w:equalWidth="0" w:num="2">
            <w:col w:w="2620" w:space="360"/>
            <w:col w:w="6039"/>
          </w:cols>
          <w:pgMar w:left="1440" w:top="274" w:right="1440" w:bottom="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type w:val="continuous"/>
        </w:sectPr>
      </w:pPr>
    </w:p>
    <w:bookmarkStart w:id="16" w:name="page17"/>
    <w:bookmarkEnd w:id="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453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7453630"/>
                    </a:xfrm>
                    <a:prstGeom prst="rect">
                      <a:avLst/>
                    </a:prstGeom>
                    <a:noFill/>
                  </pic:spPr>
                </pic:pic>
              </a:graphicData>
            </a:graphic>
          </wp:anchor>
        </w:drawing>
      </w:r>
    </w:p>
    <w:p>
      <w:pPr>
        <w:spacing w:after="0" w:line="36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upon its liquidation, (iii) by bona fide gift to a member of the holder’s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immediate family or to a trust, the beneficiary of which is the holder or a</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member of the holder’s immediate family, for estate planning purposes,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(iv)  by  virtue  of  the  laws  of  descent  and  distribution  upon  death,</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(v) pursuant to a qualified domestic relations order, (vi) to us for no value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for  cancellation  in  connection  with  the  consummation  of  our  initial</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business combination, or (vii) in connection with the consummation of a</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business combination at prices no greater than the price at which the shares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were originally purchased, in each case (except for clause (vi) or with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prior consent) where the transferee agrees to the terms of the escrow</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agreement and to be bound by these transfer restrictions, but will retain all</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other rights as our stockholders, including, without limitation, the right to</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vote their shares of common stock and the right to receive cash dividends,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if declared. If dividends are declared and payable in shares of common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stock, such dividends will also be placed in escrow. If we are unable to</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effect a business combination and liquidate, there will be no liquidation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distribution with respect to the founder shares.</w:t>
      </w:r>
    </w:p>
    <w:p>
      <w:pPr>
        <w:spacing w:after="0" w:line="170"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purchasers of the private units have also agreed not to transfer, assign</w:t>
      </w:r>
    </w:p>
    <w:p>
      <w:pPr>
        <w:spacing w:after="0" w:line="46"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or sell any of the private units, including the underlying private subunits,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private shares and private warrants (except in connection with the same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limited exceptions that the founder shares may be transferred as described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above), until after the completion of our initial business combination.</w:t>
      </w:r>
    </w:p>
    <w:p>
      <w:pPr>
        <w:spacing w:after="0" w:line="184"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Representative shares</w:t>
      </w:r>
      <w:r>
        <w:rPr>
          <w:sz w:val="20"/>
          <w:szCs w:val="20"/>
          <w:color w:val="auto"/>
        </w:rPr>
        <w:tab/>
      </w:r>
      <w:r>
        <w:rPr>
          <w:rFonts w:ascii="Arial" w:cs="Arial" w:eastAsia="Arial" w:hAnsi="Arial"/>
          <w:sz w:val="16"/>
          <w:szCs w:val="16"/>
          <w:color w:val="auto"/>
        </w:rPr>
        <w:t>On January 13, 2021, we issued to EarlyBirdCapital and its designees an</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aggregate of 350,000 representative shares at $0.0001 per share. The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holders of the representative shares have agreed not to transfer, assign or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sell any such shares without our prior consent until the completion of our</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initial business combination. In addition, the holders of the representative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shares have agreed (i) to waive their conversion rights (or right to</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participate in any tender offer) with respect to such shares in connection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with the completion of our initial business combination and (ii) to waive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their rights to liquidating distributions from the trust account with respect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to such shares if we fail to complete our initial business combination within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18 months from the closing of this offering.</w:t>
      </w:r>
    </w:p>
    <w:p>
      <w:pPr>
        <w:sectPr>
          <w:pgSz w:w="11900" w:h="16838" w:orient="portrait"/>
          <w:cols w:equalWidth="0" w:num="1">
            <w:col w:w="9019"/>
          </w:cols>
          <w:pgMar w:left="1440" w:top="274" w:right="1440" w:bottom="1440" w:gutter="0" w:footer="0" w:header="0"/>
        </w:sectPr>
      </w:pPr>
    </w:p>
    <w:p>
      <w:pPr>
        <w:spacing w:after="0" w:line="184"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Offering proceeds to be held in trust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An aggregate of $10.00 per unit sold to the public in this offering (regardless of whether or not the over-allotment option is exercised) will be placed in a U.S.-based trust account maintained by Continental Stock Transfer &amp; Trust Company, acting as trustee pursuant to an agreement to be signed on the date of this prospectus. Except as set forth below, the proceeds held in the trust account will not be released until the earlier of the completion of an initial business combination and our redemption of 100% of the outstanding public subunits if we have not completed a business combination in the required time period. Therefore, except as set forth below, unless and until an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200" w:lineRule="exact"/>
        <w:rPr>
          <w:sz w:val="20"/>
          <w:szCs w:val="20"/>
          <w:color w:val="auto"/>
        </w:rPr>
      </w:pPr>
    </w:p>
    <w:p>
      <w:pPr>
        <w:sectPr>
          <w:pgSz w:w="11900" w:h="16838" w:orient="portrait"/>
          <w:cols w:equalWidth="0" w:num="2">
            <w:col w:w="2780" w:space="200"/>
            <w:col w:w="6039"/>
          </w:cols>
          <w:pgMar w:left="1440" w:top="274" w:right="1440" w:bottom="1440" w:gutter="0" w:footer="0" w:header="0"/>
          <w:type w:val="continuous"/>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 w:name="page18"/>
    <w:bookmarkEnd w:id="1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305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305290"/>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sectPr>
      </w:pPr>
    </w:p>
    <w:p>
      <w:pPr>
        <w:spacing w:after="0" w:line="200" w:lineRule="exact"/>
        <w:rPr>
          <w:sz w:val="20"/>
          <w:szCs w:val="20"/>
          <w:color w:val="auto"/>
        </w:rPr>
      </w:pPr>
    </w:p>
    <w:p>
      <w:pPr>
        <w:spacing w:after="0" w:line="21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Notwithstanding the foregoing, there can be released to us from the trust</w:t>
      </w:r>
    </w:p>
    <w:p>
      <w:pPr>
        <w:spacing w:after="0" w:line="3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account any interest earned on the funds in the trust account that we need to</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pay our income or other tax obligations. With these exceptions, expenses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incurred by us may be paid prior to a business combination only from the</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net proceeds of this offering not held in the trust account (initially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estimated to be $750,000). Additionally, in order to meet our working</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capital needs following the consummation of this offering if the funds not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held in the trust account are insufficient, our sponsor, initial stockholders,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officers, directors and their affiliates may, but are not obligated to, loan us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funds, from time to time or at any time, in whatever amount they deem</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reasonable in their sole discretion. Each loan would be evidenced by a</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promissory note. The notes would either be paid upon consummation of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initial business combination, without interest, or, at the holder’s discretion,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up to $1,500,000 of the notes may be converted into units at a price of</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$10.00 per unit. The units would consist of one share of our common stock</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and one warrant, which common stock and warrants would be identical to</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common stock and warrants included in the private units. In the event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that the initial business combination does not close, we may use a portion</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of the working capital held outside the trust account to repay such loaned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amounts, but no other proceeds from our trust account would be used for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such repayment.</w:t>
      </w:r>
    </w:p>
    <w:p>
      <w:pPr>
        <w:spacing w:after="0" w:line="170" w:lineRule="exact"/>
        <w:rPr>
          <w:sz w:val="20"/>
          <w:szCs w:val="20"/>
          <w:color w:val="auto"/>
        </w:rPr>
      </w:pPr>
    </w:p>
    <w:p>
      <w:pPr>
        <w:ind w:left="2980"/>
        <w:spacing w:after="0"/>
        <w:tabs>
          <w:tab w:leader="none" w:pos="3500" w:val="left"/>
          <w:tab w:leader="none" w:pos="3780" w:val="left"/>
          <w:tab w:leader="none" w:pos="4140" w:val="left"/>
          <w:tab w:leader="none" w:pos="4900" w:val="left"/>
          <w:tab w:leader="none" w:pos="5360" w:val="left"/>
          <w:tab w:leader="none" w:pos="5660" w:val="left"/>
          <w:tab w:leader="none" w:pos="6480" w:val="left"/>
          <w:tab w:leader="none" w:pos="6960" w:val="left"/>
          <w:tab w:leader="none" w:pos="7280" w:val="left"/>
          <w:tab w:leader="none" w:pos="7740" w:val="left"/>
          <w:tab w:leader="none" w:pos="8200" w:val="left"/>
        </w:tabs>
        <w:rPr>
          <w:sz w:val="20"/>
          <w:szCs w:val="20"/>
          <w:color w:val="auto"/>
        </w:rPr>
      </w:pPr>
      <w:r>
        <w:rPr>
          <w:rFonts w:ascii="Arial" w:cs="Arial" w:eastAsia="Arial" w:hAnsi="Arial"/>
          <w:sz w:val="18"/>
          <w:szCs w:val="18"/>
          <w:color w:val="auto"/>
        </w:rPr>
        <w:t>None</w:t>
        <w:tab/>
        <w:t>of</w:t>
        <w:tab/>
        <w:t>the</w:t>
        <w:tab/>
        <w:t>warrants</w:t>
        <w:tab/>
        <w:t>may</w:t>
        <w:tab/>
        <w:t>be</w:t>
        <w:tab/>
        <w:t>exercised</w:t>
        <w:tab/>
        <w:t>until</w:t>
        <w:tab/>
        <w:t>30</w:t>
        <w:tab/>
        <w:t>days</w:t>
        <w:tab/>
        <w:t>after</w:t>
      </w:r>
      <w:r>
        <w:rPr>
          <w:sz w:val="20"/>
          <w:szCs w:val="20"/>
          <w:color w:val="auto"/>
        </w:rPr>
        <w:tab/>
      </w:r>
      <w:r>
        <w:rPr>
          <w:rFonts w:ascii="Arial" w:cs="Arial" w:eastAsia="Arial" w:hAnsi="Arial"/>
          <w:sz w:val="15"/>
          <w:szCs w:val="15"/>
          <w:color w:val="auto"/>
        </w:rPr>
        <w:t>the</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consummation of a business combination and, thus, after the proceeds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trust account have been disbursed. Accordingly, the warrant exercise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price will be paid directly to us and not placed in the trust account.</w:t>
      </w:r>
    </w:p>
    <w:p>
      <w:pPr>
        <w:spacing w:after="0" w:line="184"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6"/>
          <w:szCs w:val="16"/>
          <w:color w:val="auto"/>
        </w:rPr>
        <w:t>There will be no fees, reimbursements or other cash payments paid to our</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officers, directors, initial stockholders or their affiliates for any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services they render prior to, or in order to effectuate the consummation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 initial business combination (regardless of the type of transaction that it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is) other than the following payments, none of which will be made from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proceeds of this offering held in the trust account prior to the completion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our initial business combination:</w:t>
      </w:r>
    </w:p>
    <w:p>
      <w:pPr>
        <w:spacing w:after="0" w:line="184" w:lineRule="exact"/>
        <w:rPr>
          <w:sz w:val="20"/>
          <w:szCs w:val="20"/>
          <w:color w:val="auto"/>
        </w:rPr>
      </w:pPr>
    </w:p>
    <w:p>
      <w:pPr>
        <w:ind w:left="3200"/>
        <w:spacing w:after="0"/>
        <w:tabs>
          <w:tab w:leader="none" w:pos="3460" w:val="left"/>
        </w:tabs>
        <w:rPr>
          <w:sz w:val="20"/>
          <w:szCs w:val="20"/>
          <w:color w:val="auto"/>
        </w:rPr>
      </w:pPr>
      <w:r>
        <w:rPr>
          <w:rFonts w:ascii="Arial" w:cs="Arial" w:eastAsia="Arial" w:hAnsi="Arial"/>
          <w:sz w:val="17"/>
          <w:szCs w:val="17"/>
          <w:color w:val="auto"/>
        </w:rPr>
        <w:t>•</w:t>
        <w:tab/>
        <w:t>repayment at the closing of this offering of an aggregate of up to</w:t>
      </w:r>
    </w:p>
    <w:p>
      <w:pPr>
        <w:spacing w:after="0" w:line="35" w:lineRule="exact"/>
        <w:rPr>
          <w:sz w:val="20"/>
          <w:szCs w:val="20"/>
          <w:color w:val="auto"/>
        </w:rPr>
      </w:pPr>
    </w:p>
    <w:p>
      <w:pPr>
        <w:ind w:left="3420"/>
        <w:spacing w:after="0"/>
        <w:tabs>
          <w:tab w:leader="none" w:pos="6080" w:val="left"/>
          <w:tab w:leader="none" w:pos="6600" w:val="left"/>
          <w:tab w:leader="none" w:pos="7140" w:val="left"/>
          <w:tab w:leader="none" w:pos="7460" w:val="left"/>
          <w:tab w:leader="none" w:pos="7840" w:val="left"/>
        </w:tabs>
        <w:rPr>
          <w:sz w:val="20"/>
          <w:szCs w:val="20"/>
          <w:color w:val="auto"/>
        </w:rPr>
      </w:pPr>
      <w:r>
        <w:rPr>
          <w:rFonts w:ascii="Arial" w:cs="Arial" w:eastAsia="Arial" w:hAnsi="Arial"/>
          <w:sz w:val="18"/>
          <w:szCs w:val="18"/>
          <w:color w:val="auto"/>
        </w:rPr>
        <w:t>$300,000  of  non-interest-bearing</w:t>
        <w:tab/>
        <w:t>loans</w:t>
        <w:tab/>
        <w:t>made</w:t>
        <w:tab/>
        <w:t>by</w:t>
        <w:tab/>
        <w:t>our</w:t>
      </w:r>
      <w:r>
        <w:rPr>
          <w:sz w:val="20"/>
          <w:szCs w:val="20"/>
          <w:color w:val="auto"/>
        </w:rPr>
        <w:tab/>
      </w:r>
      <w:r>
        <w:rPr>
          <w:rFonts w:ascii="Arial" w:cs="Arial" w:eastAsia="Arial" w:hAnsi="Arial"/>
          <w:sz w:val="15"/>
          <w:szCs w:val="15"/>
          <w:color w:val="auto"/>
        </w:rPr>
        <w:t>sponsor,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Archimedes Tech SPAC Sponsors LLC;</w:t>
      </w:r>
    </w:p>
    <w:p>
      <w:pPr>
        <w:spacing w:after="0" w:line="184" w:lineRule="exact"/>
        <w:rPr>
          <w:sz w:val="20"/>
          <w:szCs w:val="20"/>
          <w:color w:val="auto"/>
        </w:rPr>
      </w:pPr>
    </w:p>
    <w:p>
      <w:pPr>
        <w:ind w:left="3200"/>
        <w:spacing w:after="0"/>
        <w:tabs>
          <w:tab w:leader="none" w:pos="3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$10,000 per month to an affiliate of our Chief Executive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Officer for office space and related services;</w:t>
      </w:r>
    </w:p>
    <w:p>
      <w:pPr>
        <w:spacing w:after="0" w:line="184" w:lineRule="exact"/>
        <w:rPr>
          <w:sz w:val="20"/>
          <w:szCs w:val="20"/>
          <w:color w:val="auto"/>
        </w:rPr>
      </w:pPr>
    </w:p>
    <w:p>
      <w:pPr>
        <w:ind w:left="3200"/>
        <w:spacing w:after="0"/>
        <w:tabs>
          <w:tab w:leader="none" w:pos="3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consulting, success or finder fees to our sponsor, officers,</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directors, initial stockholders or their affiliates in connection with the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consummation of our initial business combination; we may pay such</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fees in the event such parties bring specific target company, industry</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or market expertise, as well as insights or relationships that we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believe  are  necessary  in  order  to  locate,  assess,  negotiate  and</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consummate an initial business combination; the amount of any fee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we pay to such parties will be based upon the prevailing market for</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similar services for such transactions at such time, and will be subject</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to  the  review  of  our  audit  committee  pursuant  to  the  audit</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committee’s policies and procedures relating to transactions that may</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present conflicts of interest; and</w:t>
      </w:r>
    </w:p>
    <w:p>
      <w:pPr>
        <w:spacing w:after="0" w:line="184" w:lineRule="exact"/>
        <w:rPr>
          <w:sz w:val="20"/>
          <w:szCs w:val="20"/>
          <w:color w:val="auto"/>
        </w:rPr>
      </w:pPr>
    </w:p>
    <w:p>
      <w:pPr>
        <w:ind w:left="3200"/>
        <w:spacing w:after="0"/>
        <w:tabs>
          <w:tab w:leader="none" w:pos="3440" w:val="left"/>
        </w:tabs>
        <w:rPr>
          <w:sz w:val="20"/>
          <w:szCs w:val="20"/>
          <w:color w:val="auto"/>
        </w:rPr>
      </w:pPr>
      <w:r>
        <w:rPr>
          <w:rFonts w:ascii="Arial" w:cs="Arial" w:eastAsia="Arial" w:hAnsi="Arial"/>
          <w:sz w:val="17"/>
          <w:szCs w:val="17"/>
          <w:color w:val="auto"/>
        </w:rPr>
        <w:t>•</w:t>
        <w:tab/>
        <w:t>payment to EarlyBirdCapital of the 2% underwriting discount and</w:t>
      </w:r>
    </w:p>
    <w:p>
      <w:pPr>
        <w:spacing w:after="0" w:line="3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3.5% business combination marketing agreement fee (a portion of the</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business combination marketing fee may be paid to other parties) as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described under the section “Underwriting”; and</w:t>
      </w:r>
    </w:p>
    <w:p>
      <w:pPr>
        <w:spacing w:after="0" w:line="184" w:lineRule="exact"/>
        <w:rPr>
          <w:sz w:val="20"/>
          <w:szCs w:val="20"/>
          <w:color w:val="auto"/>
        </w:rPr>
      </w:pPr>
    </w:p>
    <w:p>
      <w:pPr>
        <w:ind w:left="3200"/>
        <w:spacing w:after="0"/>
        <w:tabs>
          <w:tab w:leader="none" w:pos="3440" w:val="left"/>
        </w:tabs>
        <w:rPr>
          <w:sz w:val="20"/>
          <w:szCs w:val="20"/>
          <w:color w:val="auto"/>
        </w:rPr>
      </w:pPr>
      <w:r>
        <w:rPr>
          <w:rFonts w:ascii="Arial" w:cs="Arial" w:eastAsia="Arial" w:hAnsi="Arial"/>
          <w:sz w:val="16"/>
          <w:szCs w:val="16"/>
          <w:color w:val="auto"/>
        </w:rPr>
        <w:t>•</w:t>
        <w:tab/>
        <w:t>reimbursement of out-of-pocket expenses incurred by our sponsor,</w:t>
      </w:r>
    </w:p>
    <w:p>
      <w:pPr>
        <w:spacing w:after="0" w:line="46"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officers, directors, initial stockholders or their affiliates in connection</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with  certain  activities  on  our  behalf,  such  as  our  formation,</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identifying and investigating possible target businesses and business</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combinations.</w:t>
      </w:r>
    </w:p>
    <w:p>
      <w:pPr>
        <w:sectPr>
          <w:pgSz w:w="11900" w:h="16838" w:orient="portrait"/>
          <w:cols w:equalWidth="0" w:num="1">
            <w:col w:w="9019"/>
          </w:cols>
          <w:pgMar w:left="1440" w:top="274" w:right="1440" w:bottom="7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type w:val="continuous"/>
        </w:sectPr>
      </w:pPr>
    </w:p>
    <w:bookmarkStart w:id="18" w:name="page19"/>
    <w:bookmarkEnd w:id="1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25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8252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20" w:hanging="179"/>
        <w:spacing w:after="0" w:line="259" w:lineRule="auto"/>
        <w:rPr>
          <w:sz w:val="20"/>
          <w:szCs w:val="20"/>
          <w:color w:val="auto"/>
        </w:rPr>
      </w:pPr>
      <w:r>
        <w:rPr>
          <w:rFonts w:ascii="Arial" w:cs="Arial" w:eastAsia="Arial" w:hAnsi="Arial"/>
          <w:sz w:val="18"/>
          <w:szCs w:val="18"/>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There is no limit on the amount of consulting, success or finder fees payable by us upon consummation of an initial business combination. Additionally,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initial stockholders or our or their respective affiliates, with any interested director abstaining from such review and approval.</w:t>
      </w:r>
    </w:p>
    <w:p>
      <w:pPr>
        <w:spacing w:after="0" w:line="200" w:lineRule="exact"/>
        <w:rPr>
          <w:sz w:val="20"/>
          <w:szCs w:val="20"/>
          <w:color w:val="auto"/>
        </w:rPr>
      </w:pPr>
    </w:p>
    <w:p>
      <w:pPr>
        <w:spacing w:after="0" w:line="377" w:lineRule="exact"/>
        <w:rPr>
          <w:sz w:val="20"/>
          <w:szCs w:val="20"/>
          <w:color w:val="auto"/>
        </w:rPr>
      </w:pPr>
    </w:p>
    <w:p>
      <w:pPr>
        <w:jc w:val="both"/>
        <w:ind w:right="559"/>
        <w:spacing w:after="0" w:line="266" w:lineRule="auto"/>
        <w:rPr>
          <w:sz w:val="20"/>
          <w:szCs w:val="20"/>
          <w:color w:val="auto"/>
        </w:rPr>
      </w:pPr>
      <w:r>
        <w:rPr>
          <w:rFonts w:ascii="Arial" w:cs="Arial" w:eastAsia="Arial" w:hAnsi="Arial"/>
          <w:sz w:val="17"/>
          <w:szCs w:val="17"/>
          <w:color w:val="auto"/>
        </w:rPr>
        <w:t>In connection with any proposed initial business combination, we will either (1) seek stockholder approval of such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determine to allow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71" w:lineRule="exact"/>
        <w:rPr>
          <w:sz w:val="20"/>
          <w:szCs w:val="20"/>
          <w:color w:val="auto"/>
        </w:rPr>
      </w:pPr>
    </w:p>
    <w:p>
      <w:pPr>
        <w:jc w:val="both"/>
        <w:ind w:right="559"/>
        <w:spacing w:after="0" w:line="287" w:lineRule="auto"/>
        <w:rPr>
          <w:sz w:val="20"/>
          <w:szCs w:val="20"/>
          <w:color w:val="auto"/>
        </w:rPr>
      </w:pPr>
      <w:r>
        <w:rPr>
          <w:rFonts w:ascii="Arial" w:cs="Arial" w:eastAsia="Arial" w:hAnsi="Arial"/>
          <w:sz w:val="16"/>
          <w:szCs w:val="16"/>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41" w:lineRule="exact"/>
        <w:rPr>
          <w:sz w:val="20"/>
          <w:szCs w:val="20"/>
          <w:color w:val="auto"/>
        </w:rPr>
      </w:pPr>
    </w:p>
    <w:p>
      <w:pPr>
        <w:jc w:val="both"/>
        <w:ind w:right="559"/>
        <w:spacing w:after="0" w:line="273" w:lineRule="auto"/>
        <w:rPr>
          <w:sz w:val="20"/>
          <w:szCs w:val="20"/>
          <w:color w:val="auto"/>
        </w:rPr>
      </w:pPr>
      <w:r>
        <w:rPr>
          <w:rFonts w:ascii="Arial" w:cs="Arial" w:eastAsia="Arial" w:hAnsi="Arial"/>
          <w:sz w:val="17"/>
          <w:szCs w:val="17"/>
          <w:color w:val="auto"/>
        </w:rPr>
        <w:t>Our initial stockholders and officers and directors and their affiliates have agreed (i) to vote any shares included in any subunits owned by them in favor of any proposed business combination, (ii) not to convert any subunits in connection with a stockholder vote to approve a proposed initial business combination and (iii) not to sell any subunits to us in a tender offer in connection with any proposed business combination.</w:t>
      </w:r>
    </w:p>
    <w:p>
      <w:pPr>
        <w:spacing w:after="0" w:line="200" w:lineRule="exact"/>
        <w:rPr>
          <w:sz w:val="20"/>
          <w:szCs w:val="20"/>
          <w:color w:val="auto"/>
        </w:rPr>
      </w:pPr>
    </w:p>
    <w:p>
      <w:pPr>
        <w:sectPr>
          <w:pgSz w:w="11900" w:h="16838" w:orient="portrait"/>
          <w:cols w:equalWidth="0" w:num="2">
            <w:col w:w="2580" w:space="400"/>
            <w:col w:w="6039"/>
          </w:cols>
          <w:pgMar w:left="1440" w:top="274" w:right="1440" w:bottom="1440" w:gutter="0" w:footer="0" w:header="0"/>
          <w:type w:val="continuous"/>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25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8252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None of our sponsor, initial stockholders, officers, directors or their</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affiliates has indicated any intention to purchase units in this offering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any units, subunits or warrants from persons in the open market or in</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private transactions. However, if we hold a meeting to approve a proposed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business combination and a significant number of stockholders vote,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indicate an intention to vote, against a proposed business combination, our</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initial stockholders, officers, directors or their affiliates could</w:t>
      </w:r>
    </w:p>
    <w:p>
      <w:pPr>
        <w:spacing w:after="0" w:line="21"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make such purchases in the open market or in private transactions in order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to  influence  any  vote  held  to  approve  a  proposed  initial  business</w:t>
      </w:r>
    </w:p>
    <w:p>
      <w:pPr>
        <w:spacing w:after="0" w:line="21" w:lineRule="exact"/>
        <w:rPr>
          <w:sz w:val="20"/>
          <w:szCs w:val="20"/>
          <w:color w:val="auto"/>
        </w:rPr>
      </w:pPr>
    </w:p>
    <w:p>
      <w:pPr>
        <w:ind w:left="2980"/>
        <w:spacing w:after="0"/>
        <w:tabs>
          <w:tab w:leader="none" w:pos="4060" w:val="left"/>
          <w:tab w:leader="none" w:pos="5400" w:val="left"/>
          <w:tab w:leader="none" w:pos="5760" w:val="left"/>
          <w:tab w:leader="none" w:pos="6640" w:val="left"/>
          <w:tab w:leader="none" w:pos="7020" w:val="left"/>
          <w:tab w:leader="none" w:pos="7760" w:val="left"/>
        </w:tabs>
        <w:rPr>
          <w:sz w:val="20"/>
          <w:szCs w:val="20"/>
          <w:color w:val="auto"/>
        </w:rPr>
      </w:pPr>
      <w:r>
        <w:rPr>
          <w:rFonts w:ascii="Arial" w:cs="Arial" w:eastAsia="Arial" w:hAnsi="Arial"/>
          <w:sz w:val="18"/>
          <w:szCs w:val="18"/>
          <w:color w:val="auto"/>
        </w:rPr>
        <w:t>combination.</w:t>
        <w:tab/>
        <w:t>Notwithstanding</w:t>
        <w:tab/>
        <w:t>the</w:t>
        <w:tab/>
        <w:t>foregoing,</w:t>
        <w:tab/>
        <w:t>our</w:t>
        <w:tab/>
        <w:t>officers,</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sponsor and their affiliates will not make purchases of units, subunits 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warrants if the purchases would violate Section 9(a)(2) or Rule 10b-5 of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Exchange Act, which are rules designed to stop potential manipulation of a</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company’s stock.</w:t>
      </w:r>
    </w:p>
    <w:p>
      <w:pPr>
        <w:spacing w:after="0" w:line="170" w:lineRule="exact"/>
        <w:rPr>
          <w:sz w:val="20"/>
          <w:szCs w:val="20"/>
          <w:color w:val="auto"/>
        </w:rPr>
      </w:pPr>
    </w:p>
    <w:p>
      <w:pPr>
        <w:ind w:left="540"/>
        <w:spacing w:after="0"/>
        <w:tabs>
          <w:tab w:leader="none" w:pos="2960" w:val="left"/>
        </w:tabs>
        <w:rPr>
          <w:sz w:val="20"/>
          <w:szCs w:val="20"/>
          <w:color w:val="auto"/>
        </w:rPr>
      </w:pPr>
      <w:r>
        <w:rPr>
          <w:rFonts w:ascii="Arial" w:cs="Arial" w:eastAsia="Arial" w:hAnsi="Arial"/>
          <w:sz w:val="18"/>
          <w:szCs w:val="18"/>
          <w:color w:val="auto"/>
        </w:rPr>
        <w:t>Conversion rights</w:t>
      </w:r>
      <w:r>
        <w:rPr>
          <w:sz w:val="20"/>
          <w:szCs w:val="20"/>
          <w:color w:val="auto"/>
        </w:rPr>
        <w:tab/>
      </w:r>
      <w:r>
        <w:rPr>
          <w:rFonts w:ascii="Arial" w:cs="Arial" w:eastAsia="Arial" w:hAnsi="Arial"/>
          <w:sz w:val="16"/>
          <w:szCs w:val="16"/>
          <w:color w:val="auto"/>
        </w:rPr>
        <w:t>In connection with any stockholder meeting called to approve a proposed</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initial business combination, each public stockholder will have the right,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regardless of whether he or she is voting for or against such proposed</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business combination or does not vote at all, to demand that we convert his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or her subunits into a pro rata share of the trust account. However, any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stockholder redeeming its subunits will forfeit the one-quarter of a warrant</w:t>
      </w:r>
    </w:p>
    <w:p>
      <w:pPr>
        <w:spacing w:after="0" w:line="32" w:lineRule="exact"/>
        <w:rPr>
          <w:sz w:val="20"/>
          <w:szCs w:val="20"/>
          <w:color w:val="auto"/>
        </w:rPr>
      </w:pPr>
    </w:p>
    <w:p>
      <w:pPr>
        <w:ind w:left="2980"/>
        <w:spacing w:after="0"/>
        <w:tabs>
          <w:tab w:leader="none" w:pos="3720" w:val="left"/>
          <w:tab w:leader="none" w:pos="4020" w:val="left"/>
          <w:tab w:leader="none" w:pos="4480" w:val="left"/>
          <w:tab w:leader="none" w:pos="5200" w:val="left"/>
          <w:tab w:leader="none" w:pos="5900" w:val="left"/>
          <w:tab w:leader="none" w:pos="6260" w:val="left"/>
          <w:tab w:leader="none" w:pos="7020" w:val="left"/>
          <w:tab w:leader="none" w:pos="7320" w:val="left"/>
          <w:tab w:leader="none" w:pos="7720" w:val="left"/>
        </w:tabs>
        <w:rPr>
          <w:sz w:val="20"/>
          <w:szCs w:val="20"/>
          <w:color w:val="auto"/>
        </w:rPr>
      </w:pPr>
      <w:r>
        <w:rPr>
          <w:rFonts w:ascii="Arial" w:cs="Arial" w:eastAsia="Arial" w:hAnsi="Arial"/>
          <w:sz w:val="18"/>
          <w:szCs w:val="18"/>
          <w:color w:val="auto"/>
        </w:rPr>
        <w:t>included</w:t>
        <w:tab/>
        <w:t>in</w:t>
        <w:tab/>
        <w:t>such</w:t>
        <w:tab/>
        <w:t>subunit,</w:t>
        <w:tab/>
        <w:t>without</w:t>
        <w:tab/>
        <w:t>the</w:t>
        <w:tab/>
        <w:t>payment</w:t>
        <w:tab/>
        <w:t>of</w:t>
        <w:tab/>
        <w:t>any</w:t>
      </w:r>
      <w:r>
        <w:rPr>
          <w:sz w:val="20"/>
          <w:szCs w:val="20"/>
          <w:color w:val="auto"/>
        </w:rPr>
        <w:tab/>
      </w:r>
      <w:r>
        <w:rPr>
          <w:rFonts w:ascii="Arial" w:cs="Arial" w:eastAsia="Arial" w:hAnsi="Arial"/>
          <w:sz w:val="16"/>
          <w:szCs w:val="16"/>
          <w:color w:val="auto"/>
        </w:rPr>
        <w:t>additional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consideration.</w:t>
      </w:r>
    </w:p>
    <w:p>
      <w:pPr>
        <w:spacing w:after="0" w:line="184"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We may require public stockholders, whether they are a record holder or</w:t>
      </w:r>
    </w:p>
    <w:p>
      <w:pPr>
        <w:spacing w:after="0" w:line="35"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hold their subunits in “street name,” to either (i) physically tender their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certificates to our transfer agent or (ii) deliver their subunits to the transfer</w:t>
      </w:r>
    </w:p>
    <w:p>
      <w:pPr>
        <w:spacing w:after="0" w:line="32" w:lineRule="exact"/>
        <w:rPr>
          <w:sz w:val="20"/>
          <w:szCs w:val="20"/>
          <w:color w:val="auto"/>
        </w:rPr>
      </w:pPr>
    </w:p>
    <w:p>
      <w:pPr>
        <w:ind w:left="2980"/>
        <w:spacing w:after="0"/>
        <w:tabs>
          <w:tab w:leader="none" w:pos="3560" w:val="left"/>
          <w:tab w:leader="none" w:pos="4720" w:val="left"/>
          <w:tab w:leader="none" w:pos="5320" w:val="left"/>
          <w:tab w:leader="none" w:pos="6300" w:val="left"/>
          <w:tab w:leader="none" w:pos="6880" w:val="left"/>
          <w:tab w:leader="none" w:pos="7900" w:val="left"/>
        </w:tabs>
        <w:rPr>
          <w:sz w:val="20"/>
          <w:szCs w:val="20"/>
          <w:color w:val="auto"/>
        </w:rPr>
      </w:pPr>
      <w:r>
        <w:rPr>
          <w:rFonts w:ascii="Arial" w:cs="Arial" w:eastAsia="Arial" w:hAnsi="Arial"/>
          <w:sz w:val="18"/>
          <w:szCs w:val="18"/>
          <w:color w:val="auto"/>
        </w:rPr>
        <w:t>agent</w:t>
        <w:tab/>
        <w:t>electronically</w:t>
        <w:tab/>
        <w:t>using</w:t>
        <w:tab/>
        <w:t>Depository</w:t>
        <w:tab/>
        <w:t>Trust</w:t>
        <w:tab/>
        <w:t>Company’s</w:t>
      </w:r>
      <w:r>
        <w:rPr>
          <w:sz w:val="20"/>
          <w:szCs w:val="20"/>
          <w:color w:val="auto"/>
        </w:rPr>
        <w:tab/>
      </w:r>
      <w:r>
        <w:rPr>
          <w:rFonts w:ascii="Arial" w:cs="Arial" w:eastAsia="Arial" w:hAnsi="Arial"/>
          <w:sz w:val="17"/>
          <w:szCs w:val="17"/>
          <w:color w:val="auto"/>
        </w:rPr>
        <w:t>DWAC</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(Deposit/Withdrawal At Custodian) System, at the holder’s option, in each</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case prior to a date set forth in the tender offer documents or proxy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materials sent in connection with the proposal to approve the business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combination. There is a nominal cost associated with this tendering process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and the act of certificating the subunits or delivering them through the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DWAC system. The transfer agent will typically charge the tendering</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broker $45 and it would be up to the broker whether or not to pass this cost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on to the converting holder.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Liquidation if no business</w:t>
      </w:r>
    </w:p>
    <w:p>
      <w:pPr>
        <w:spacing w:after="0" w:line="23" w:lineRule="exact"/>
        <w:rPr>
          <w:sz w:val="20"/>
          <w:szCs w:val="20"/>
          <w:color w:val="auto"/>
        </w:rPr>
      </w:pPr>
    </w:p>
    <w:p>
      <w:pPr>
        <w:ind w:left="720"/>
        <w:spacing w:after="0"/>
        <w:tabs>
          <w:tab w:leader="none" w:pos="2960" w:val="left"/>
        </w:tabs>
        <w:rPr>
          <w:sz w:val="20"/>
          <w:szCs w:val="20"/>
          <w:color w:val="auto"/>
        </w:rPr>
      </w:pPr>
      <w:r>
        <w:rPr>
          <w:rFonts w:ascii="Arial" w:cs="Arial" w:eastAsia="Arial" w:hAnsi="Arial"/>
          <w:sz w:val="16"/>
          <w:szCs w:val="16"/>
          <w:color w:val="auto"/>
        </w:rPr>
        <w:t>combination</w:t>
      </w:r>
      <w:r>
        <w:rPr>
          <w:sz w:val="20"/>
          <w:szCs w:val="20"/>
          <w:color w:val="auto"/>
        </w:rPr>
        <w:tab/>
      </w:r>
      <w:r>
        <w:rPr>
          <w:rFonts w:ascii="Arial" w:cs="Arial" w:eastAsia="Arial" w:hAnsi="Arial"/>
          <w:sz w:val="16"/>
          <w:szCs w:val="16"/>
          <w:color w:val="auto"/>
        </w:rPr>
        <w:t>If we are unable to complete an initial business combination by 18 months</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from the closing of this offering, we will (i) cease all operations except for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the purpose of winding up and (ii) as promptly as reasonably possible but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not more than ten business days thereafter, redeem 100% of the outstanding</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public subunits, at a per-subunit price, payable in cash, equal to the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aggregate amount then on deposit in the trust account, including any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interest not previously released to us (net of taxes payable), divided by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number  of  then  outstanding  public  subunits,  which  redemption  will</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completely extinguish public stockholders’ rights as holders of subunits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(including the right to receive further liquidation distributions, if any),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subject to applicable law. Public stockholders will also forfeit the one-</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quarter warrant included in the subunits being redeemed. As promptly as</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reasonably possible following such redemption, subject to the approval of</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our remaining stockholders and our board of directors, we will dissolve and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liquidate, subject to our obligations under Delaware law to provide for</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claims of creditors and the requirements of other applicable law. We cannot</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assure you that we will have funds sufficient to pay or provide for all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creditors’ claims. Although we are required to have all third parties</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(including any vendors or other entities we engage after this offering) and</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any prospective target businesses enter into agreements with us waiving</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any right, title, interest or claim of any kind in or to any monies held in the</w:t>
      </w:r>
    </w:p>
    <w:p>
      <w:pPr>
        <w:spacing w:after="0" w:line="3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trust account, there is no guarantee that they will execute such agreements.</w:t>
      </w:r>
    </w:p>
    <w:p>
      <w:pPr>
        <w:spacing w:after="0" w:line="32" w:lineRule="exact"/>
        <w:rPr>
          <w:sz w:val="20"/>
          <w:szCs w:val="20"/>
          <w:color w:val="auto"/>
        </w:rPr>
      </w:pPr>
    </w:p>
    <w:p>
      <w:pPr>
        <w:ind w:left="2980"/>
        <w:spacing w:after="0"/>
        <w:tabs>
          <w:tab w:leader="none" w:pos="3560" w:val="left"/>
          <w:tab w:leader="none" w:pos="3860" w:val="left"/>
          <w:tab w:leader="none" w:pos="4320" w:val="left"/>
          <w:tab w:leader="none" w:pos="4680" w:val="left"/>
          <w:tab w:leader="none" w:pos="5560" w:val="left"/>
          <w:tab w:leader="none" w:pos="6000" w:val="left"/>
          <w:tab w:leader="none" w:pos="6400" w:val="left"/>
          <w:tab w:leader="none" w:pos="6920" w:val="left"/>
          <w:tab w:leader="none" w:pos="7560" w:val="left"/>
          <w:tab w:leader="none" w:pos="8200" w:val="left"/>
        </w:tabs>
        <w:rPr>
          <w:sz w:val="20"/>
          <w:szCs w:val="20"/>
          <w:color w:val="auto"/>
        </w:rPr>
      </w:pPr>
      <w:r>
        <w:rPr>
          <w:rFonts w:ascii="Arial" w:cs="Arial" w:eastAsia="Arial" w:hAnsi="Arial"/>
          <w:sz w:val="18"/>
          <w:szCs w:val="18"/>
          <w:color w:val="auto"/>
        </w:rPr>
        <w:t>There</w:t>
        <w:tab/>
        <w:t>is</w:t>
        <w:tab/>
        <w:t>also</w:t>
        <w:tab/>
        <w:t>no</w:t>
        <w:tab/>
        <w:t>guarantee</w:t>
        <w:tab/>
        <w:t>that</w:t>
        <w:tab/>
        <w:t>the</w:t>
        <w:tab/>
        <w:t>third</w:t>
        <w:tab/>
        <w:t>parties</w:t>
        <w:tab/>
        <w:t>would</w:t>
      </w:r>
      <w:r>
        <w:rPr>
          <w:sz w:val="20"/>
          <w:szCs w:val="20"/>
          <w:color w:val="auto"/>
        </w:rPr>
        <w:tab/>
      </w:r>
      <w:r>
        <w:rPr>
          <w:rFonts w:ascii="Arial" w:cs="Arial" w:eastAsia="Arial" w:hAnsi="Arial"/>
          <w:sz w:val="15"/>
          <w:szCs w:val="15"/>
          <w:color w:val="auto"/>
        </w:rPr>
        <w:t>not</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082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9082405"/>
                    </a:xfrm>
                    <a:prstGeom prst="rect">
                      <a:avLst/>
                    </a:prstGeom>
                    <a:noFill/>
                  </pic:spPr>
                </pic:pic>
              </a:graphicData>
            </a:graphic>
          </wp:anchor>
        </w:drawing>
      </w:r>
    </w:p>
    <w:p>
      <w:pPr>
        <w:sectPr>
          <w:pgSz w:w="11900" w:h="16838" w:orient="portrait"/>
          <w:cols w:equalWidth="0" w:num="1">
            <w:col w:w="9019"/>
          </w:cols>
          <w:pgMar w:left="1440" w:top="274" w:right="1440" w:bottom="1128" w:gutter="0" w:footer="0" w:header="0"/>
        </w:sectPr>
      </w:pPr>
    </w:p>
    <w:p>
      <w:pPr>
        <w:spacing w:after="0" w:line="200" w:lineRule="exact"/>
        <w:rPr>
          <w:sz w:val="20"/>
          <w:szCs w:val="20"/>
          <w:color w:val="auto"/>
        </w:rPr>
      </w:pPr>
    </w:p>
    <w:p>
      <w:pPr>
        <w:spacing w:after="0" w:line="210" w:lineRule="exact"/>
        <w:rPr>
          <w:sz w:val="20"/>
          <w:szCs w:val="20"/>
          <w:color w:val="auto"/>
        </w:rPr>
      </w:pPr>
    </w:p>
    <w:p>
      <w:pPr>
        <w:jc w:val="both"/>
        <w:ind w:left="2980" w:right="559"/>
        <w:spacing w:after="0" w:line="284" w:lineRule="auto"/>
        <w:rPr>
          <w:sz w:val="20"/>
          <w:szCs w:val="20"/>
          <w:color w:val="auto"/>
        </w:rPr>
      </w:pPr>
      <w:r>
        <w:rPr>
          <w:rFonts w:ascii="Arial" w:cs="Arial" w:eastAsia="Arial" w:hAnsi="Arial"/>
          <w:sz w:val="16"/>
          <w:szCs w:val="16"/>
          <w:color w:val="auto"/>
        </w:rPr>
        <w:t>challenge the enforceability of these waivers and bring claims against the trust account for monies owed them.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Marcum LLP, our independent registered public accounting firm, and the underwriters of the offering will not execute agreements with us waiving such claims to the monies held in the trust account.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that it is unlikely that our sponsor will be able to satisfy its indemnification obligations if it is required to do so.</w:t>
      </w:r>
    </w:p>
    <w:p>
      <w:pPr>
        <w:spacing w:after="0" w:line="139"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7"/>
          <w:szCs w:val="17"/>
          <w:color w:val="auto"/>
        </w:rPr>
        <w:t>The holders of the founder shares, representative shares and private subunits (or underlying securities) will not participate in any redemption distribution from our trust account with respect to such securities.</w:t>
      </w:r>
    </w:p>
    <w:p>
      <w:pPr>
        <w:spacing w:after="0" w:line="138"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6"/>
          <w:szCs w:val="16"/>
          <w:color w:val="auto"/>
        </w:rPr>
        <w:t>If we are unable to consummate an initial business combination and we expend all of the net proceeds of this offering not deposited in the trust account, we expect that the initial per-subunit redemption price will be approximately $10.00 (which is equal to the anticipated aggregate amount then on deposit in the trust account excluding interest earned on the funds held in the trust account). The proceeds deposited in the trust account could, however, become subject to claims of our creditors that are in preference to the claims of our stockholders.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we cannot assure you that the actual per-subunit redemption price will not be less than approximately $10.00.</w:t>
      </w:r>
    </w:p>
    <w:p>
      <w:pPr>
        <w:spacing w:after="0" w:line="144" w:lineRule="exact"/>
        <w:rPr>
          <w:sz w:val="20"/>
          <w:szCs w:val="20"/>
          <w:color w:val="auto"/>
        </w:rPr>
      </w:pPr>
    </w:p>
    <w:p>
      <w:pPr>
        <w:jc w:val="both"/>
        <w:ind w:left="2980" w:right="559"/>
        <w:spacing w:after="0" w:line="255" w:lineRule="auto"/>
        <w:rPr>
          <w:sz w:val="20"/>
          <w:szCs w:val="20"/>
          <w:color w:val="auto"/>
        </w:rPr>
      </w:pPr>
      <w:r>
        <w:rPr>
          <w:rFonts w:ascii="Arial" w:cs="Arial" w:eastAsia="Arial" w:hAnsi="Arial"/>
          <w:sz w:val="18"/>
          <w:szCs w:val="18"/>
          <w:color w:val="auto"/>
        </w:rPr>
        <w:t>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65" w:lineRule="exact"/>
        <w:rPr>
          <w:sz w:val="20"/>
          <w:szCs w:val="20"/>
          <w:color w:val="auto"/>
        </w:rPr>
      </w:pPr>
    </w:p>
    <w:p>
      <w:pPr>
        <w:jc w:val="both"/>
        <w:ind w:left="2980" w:right="559"/>
        <w:spacing w:after="0" w:line="286" w:lineRule="auto"/>
        <w:rPr>
          <w:sz w:val="20"/>
          <w:szCs w:val="20"/>
          <w:color w:val="auto"/>
        </w:rPr>
      </w:pPr>
      <w:r>
        <w:rPr>
          <w:rFonts w:ascii="Arial" w:cs="Arial" w:eastAsia="Arial" w:hAnsi="Arial"/>
          <w:sz w:val="16"/>
          <w:szCs w:val="16"/>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unless we provide our public stockholders with the opportunity to convert their subunits upon the approval of any such amendment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ectPr>
          <w:pgSz w:w="11900" w:h="16838" w:orient="portrait"/>
          <w:cols w:equalWidth="0" w:num="1">
            <w:col w:w="9019"/>
          </w:cols>
          <w:pgMar w:left="1440" w:top="274" w:right="1440" w:bottom="1128"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28" w:gutter="0" w:footer="0" w:header="0"/>
          <w:type w:val="continuous"/>
        </w:sectPr>
      </w:pPr>
    </w:p>
    <w:bookmarkStart w:id="21" w:name="page22"/>
    <w:bookmarkEnd w:id="2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405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40500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Conflict of Interest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 xml:space="preserve">EarlyBirdCapital has a “conflict of interest” within the meaning of FINRA Rule 5121(f)(5)(B) in this offering because it and its affiliates collectively own more than 10% of our shares. Due to this conflict of interest, I-Bankers Securities, Inc. is acting as a “qualified independent underwriter” in accordance with FINRA Rule 5121, which requires, among other things, that a qualified independent underwriter participate in the preparation of, and exercise the usual standards of “due diligence” with respect to, this prospectus and the registration statement of which it forms a part. I-Bankers will receive no other compensation in this offering other than customary underwriting commissions. We have agreed to indemnify I-Bankers against certain liabilities incurred in connection with acting as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 See </w:t>
      </w:r>
      <w:r>
        <w:rPr>
          <w:rFonts w:ascii="Arial" w:cs="Arial" w:eastAsia="Arial" w:hAnsi="Arial"/>
          <w:sz w:val="16"/>
          <w:szCs w:val="16"/>
          <w:i w:val="1"/>
          <w:iCs w:val="1"/>
          <w:color w:val="auto"/>
        </w:rPr>
        <w:t xml:space="preserve">“Underwriting — Conflicts of Interest” </w:t>
      </w:r>
      <w:r>
        <w:rPr>
          <w:rFonts w:ascii="Arial" w:cs="Arial" w:eastAsia="Arial" w:hAnsi="Arial"/>
          <w:sz w:val="16"/>
          <w:szCs w:val="16"/>
          <w:color w:val="auto"/>
        </w:rPr>
        <w:t>for further information.</w:t>
      </w:r>
    </w:p>
    <w:p>
      <w:pPr>
        <w:spacing w:after="0" w:line="200" w:lineRule="exact"/>
        <w:rPr>
          <w:sz w:val="20"/>
          <w:szCs w:val="20"/>
          <w:color w:val="auto"/>
        </w:rPr>
      </w:pPr>
    </w:p>
    <w:p>
      <w:pPr>
        <w:sectPr>
          <w:pgSz w:w="11900" w:h="16838" w:orient="portrait"/>
          <w:cols w:equalWidth="0" w:num="2">
            <w:col w:w="2260" w:space="720"/>
            <w:col w:w="6039"/>
          </w:cols>
          <w:pgMar w:left="1440" w:top="274" w:right="1440" w:bottom="144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w:t>
      </w:r>
    </w:p>
    <w:p>
      <w:pPr>
        <w:spacing w:after="0" w:line="148" w:lineRule="exact"/>
        <w:rPr>
          <w:sz w:val="20"/>
          <w:szCs w:val="20"/>
          <w:color w:val="auto"/>
        </w:rPr>
      </w:pPr>
    </w:p>
    <w:p>
      <w:pPr>
        <w:jc w:val="both"/>
        <w:ind w:left="540" w:right="559"/>
        <w:spacing w:after="0" w:line="254" w:lineRule="auto"/>
        <w:rPr>
          <w:sz w:val="20"/>
          <w:szCs w:val="20"/>
          <w:color w:val="auto"/>
        </w:rPr>
      </w:pPr>
      <w:r>
        <w:rPr>
          <w:rFonts w:ascii="Arial" w:cs="Arial" w:eastAsia="Arial" w:hAnsi="Arial"/>
          <w:sz w:val="18"/>
          <w:szCs w:val="18"/>
          <w:color w:val="auto"/>
        </w:rPr>
        <w:t>In making your decision on whether to invest in our securities, you should take into account the special risks we face as a blank check company focused on the hemp industry,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8"/>
          <w:szCs w:val="18"/>
          <w:i w:val="1"/>
          <w:iCs w:val="1"/>
          <w:color w:val="auto"/>
        </w:rPr>
        <w:t>Proposed</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 Comparison to offerings of blank check companies subject to Rule 419</w:t>
      </w:r>
      <w:r>
        <w:rPr>
          <w:rFonts w:ascii="Arial" w:cs="Arial" w:eastAsia="Arial" w:hAnsi="Arial"/>
          <w:sz w:val="18"/>
          <w:szCs w:val="18"/>
          <w:color w:val="auto"/>
        </w:rPr>
        <w:t>.” You should carefully</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these and the other risks set forth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20 of this prospectus.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 w:name="page23"/>
    <w:bookmarkEnd w:id="22"/>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02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9202420"/>
                    </a:xfrm>
                    <a:prstGeom prst="rect">
                      <a:avLst/>
                    </a:prstGeom>
                    <a:noFill/>
                  </pic:spPr>
                </pic:pic>
              </a:graphicData>
            </a:graphic>
          </wp:anchor>
        </w:drawing>
      </w:r>
    </w:p>
    <w:p>
      <w:pPr>
        <w:sectPr>
          <w:pgSz w:w="11900" w:h="16838" w:orient="portrait"/>
          <w:cols w:equalWidth="0" w:num="1">
            <w:col w:w="9019"/>
          </w:cols>
          <w:pgMar w:left="1440" w:top="274" w:right="1440" w:bottom="939"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jc w:val="both"/>
        <w:ind w:left="540" w:right="559"/>
        <w:spacing w:after="0" w:line="293"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titled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83" w:lineRule="exact"/>
        <w:rPr>
          <w:sz w:val="20"/>
          <w:szCs w:val="20"/>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lack of operating history;</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public stockholders will forfeit a portion of their warrants if they redeem their subunits</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potential delay in receiving distributions from the trust account;</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stockholders’ potential lack of opportunity to vote on our proposed business combination;</w:t>
      </w:r>
    </w:p>
    <w:p>
      <w:pPr>
        <w:spacing w:after="0" w:line="155" w:lineRule="exact"/>
        <w:rPr>
          <w:rFonts w:ascii="Arial" w:cs="Arial" w:eastAsia="Arial" w:hAnsi="Arial"/>
          <w:sz w:val="17"/>
          <w:szCs w:val="17"/>
          <w:color w:val="auto"/>
        </w:rPr>
      </w:pPr>
    </w:p>
    <w:p>
      <w:pPr>
        <w:ind w:left="1400" w:right="559" w:hanging="424"/>
        <w:spacing w:after="0" w:line="277" w:lineRule="auto"/>
        <w:tabs>
          <w:tab w:leader="none" w:pos="16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protections afforded to investors of blank check companies that comply with Rule 419;</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deviation from our acquisition criteria;</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7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issuance of additional equity and/or debt securities to complete a business combination;</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potential lack of working capital;</w:t>
      </w:r>
    </w:p>
    <w:p>
      <w:pPr>
        <w:spacing w:after="0" w:line="144" w:lineRule="exact"/>
        <w:rPr>
          <w:rFonts w:ascii="Arial" w:cs="Arial" w:eastAsia="Arial" w:hAnsi="Arial"/>
          <w:sz w:val="18"/>
          <w:szCs w:val="18"/>
          <w:color w:val="auto"/>
        </w:rPr>
      </w:pPr>
    </w:p>
    <w:p>
      <w:pPr>
        <w:ind w:left="1400" w:right="559" w:hanging="424"/>
        <w:spacing w:after="0" w:line="277" w:lineRule="auto"/>
        <w:tabs>
          <w:tab w:leader="none" w:pos="15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third-party claims to reduce the per-share redemption price for our common stock;</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40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negative interest rates for securities in which we invest the funds held in the trust account;</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stockholders’ potential to be held liable for claims by third parties against us;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failure to enforce our sponsor’s indemnification obligations;</w:t>
      </w:r>
    </w:p>
    <w:p>
      <w:pPr>
        <w:spacing w:after="0" w:line="130" w:lineRule="exact"/>
        <w:rPr>
          <w:rFonts w:ascii="Arial" w:cs="Arial" w:eastAsia="Arial" w:hAnsi="Arial"/>
          <w:sz w:val="18"/>
          <w:szCs w:val="18"/>
          <w:color w:val="auto"/>
        </w:rPr>
      </w:pPr>
    </w:p>
    <w:p>
      <w:pPr>
        <w:ind w:left="1400" w:right="559" w:hanging="424"/>
        <w:spacing w:after="0" w:line="277" w:lineRule="auto"/>
        <w:tabs>
          <w:tab w:leader="none" w:pos="15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our warrant holders to be limited to exercising warrants only on a “cashless basis;”</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inability of our warrant holders to obtain a favorable judicial forum for disputes with our company;</w:t>
      </w:r>
    </w:p>
    <w:p>
      <w:pPr>
        <w:spacing w:after="0" w:line="75"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conflicts of interest of our sponsor, officers and directors and EarlyBirdCapital;</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delisting of our securities by Nasdaq;</w:t>
      </w:r>
    </w:p>
    <w:p>
      <w:pPr>
        <w:spacing w:after="0" w:line="130" w:lineRule="exact"/>
        <w:rPr>
          <w:rFonts w:ascii="Arial" w:cs="Arial" w:eastAsia="Arial" w:hAnsi="Arial"/>
          <w:sz w:val="18"/>
          <w:szCs w:val="18"/>
          <w:color w:val="auto"/>
        </w:rPr>
      </w:pPr>
    </w:p>
    <w:p>
      <w:pPr>
        <w:ind w:left="1400" w:right="559" w:hanging="424"/>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potential dependence on a single target business with a limited number of products or services;</w:t>
      </w:r>
    </w:p>
    <w:p>
      <w:pPr>
        <w:spacing w:after="0" w:line="89"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stockholders’ inability to vote or redeem their shares in connection with our extensions;</w:t>
      </w:r>
    </w:p>
    <w:p>
      <w:pPr>
        <w:spacing w:after="0" w:line="142" w:lineRule="exact"/>
        <w:rPr>
          <w:rFonts w:ascii="Arial" w:cs="Arial" w:eastAsia="Arial" w:hAnsi="Arial"/>
          <w:sz w:val="17"/>
          <w:szCs w:val="17"/>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of our shares being redeemed and warrants becoming worthless;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competitors potentially with advantages over us in seeking business combinations;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obtain additional financing;</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initial stockholders controlling a substantial interest in us;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adverse effect of the warrants on the market price of our common stock;</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disadvantageous timing for redeeming warrants;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potential adverse effect of registration rights on the market price of our common stock;</w:t>
      </w:r>
    </w:p>
    <w:p>
      <w:pPr>
        <w:spacing w:after="0" w:line="155" w:lineRule="exact"/>
        <w:rPr>
          <w:rFonts w:ascii="Arial" w:cs="Arial" w:eastAsia="Arial" w:hAnsi="Arial"/>
          <w:sz w:val="17"/>
          <w:szCs w:val="17"/>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impact of COVID-19 and related risks;</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potential business combination with a company located in a foreign jurisdiction;</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changes in laws or regulations; tax consequences to business combinations; and</w:t>
      </w:r>
    </w:p>
    <w:p>
      <w:pPr>
        <w:spacing w:after="0" w:line="142" w:lineRule="exact"/>
        <w:rPr>
          <w:rFonts w:ascii="Arial" w:cs="Arial" w:eastAsia="Arial" w:hAnsi="Arial"/>
          <w:sz w:val="17"/>
          <w:szCs w:val="17"/>
          <w:color w:val="auto"/>
        </w:rPr>
      </w:pPr>
    </w:p>
    <w:p>
      <w:pPr>
        <w:ind w:left="1400" w:hanging="42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exclusive forum provisions in our amended and restated certificate of incorporation.</w:t>
      </w:r>
    </w:p>
    <w:p>
      <w:pPr>
        <w:sectPr>
          <w:pgSz w:w="11900" w:h="16838" w:orient="portrait"/>
          <w:cols w:equalWidth="0" w:num="1">
            <w:col w:w="9019"/>
          </w:cols>
          <w:pgMar w:left="1440" w:top="274" w:right="1440" w:bottom="939"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39" w:gutter="0" w:footer="0" w:header="0"/>
          <w:type w:val="continuous"/>
        </w:sectPr>
      </w:pPr>
    </w:p>
    <w:bookmarkStart w:id="23" w:name="page24"/>
    <w:bookmarkEnd w:id="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376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737616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center"/>
              <w:ind w:left="15"/>
              <w:spacing w:after="0"/>
              <w:rPr>
                <w:sz w:val="20"/>
                <w:szCs w:val="20"/>
                <w:color w:val="auto"/>
              </w:rPr>
            </w:pPr>
            <w:r>
              <w:rPr>
                <w:rFonts w:ascii="Arial" w:cs="Arial" w:eastAsia="Arial" w:hAnsi="Arial"/>
                <w:sz w:val="16"/>
                <w:szCs w:val="16"/>
                <w:b w:val="1"/>
                <w:bCs w:val="1"/>
                <w:color w:val="auto"/>
                <w:w w:val="92"/>
              </w:rPr>
              <w:t>January 4,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After Issuance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of the Founder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3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13"/>
              <w:spacing w:after="0"/>
              <w:rPr>
                <w:sz w:val="20"/>
                <w:szCs w:val="20"/>
                <w:color w:val="auto"/>
              </w:rPr>
            </w:pPr>
            <w:r>
              <w:rPr>
                <w:rFonts w:ascii="Arial" w:cs="Arial" w:eastAsia="Arial" w:hAnsi="Arial"/>
                <w:sz w:val="16"/>
                <w:szCs w:val="16"/>
                <w:b w:val="1"/>
                <w:bCs w:val="1"/>
                <w:color w:val="auto"/>
                <w:w w:val="93"/>
              </w:rPr>
              <w:t>Actual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12"/>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As Adjusted</w:t>
            </w:r>
          </w:p>
        </w:tc>
      </w:tr>
      <w:tr>
        <w:trPr>
          <w:trHeight w:val="46"/>
        </w:trPr>
        <w:tc>
          <w:tcPr>
            <w:tcW w:w="37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3"/>
        </w:trPr>
        <w:tc>
          <w:tcPr>
            <w:tcW w:w="3760" w:type="dxa"/>
            <w:vAlign w:val="bottom"/>
          </w:tcPr>
          <w:p>
            <w:pPr>
              <w:ind w:left="180"/>
              <w:spacing w:after="0"/>
              <w:rPr>
                <w:sz w:val="20"/>
                <w:szCs w:val="20"/>
                <w:color w:val="auto"/>
              </w:rPr>
            </w:pPr>
            <w:r>
              <w:rPr>
                <w:rFonts w:ascii="Arial" w:cs="Arial" w:eastAsia="Arial" w:hAnsi="Arial"/>
                <w:sz w:val="18"/>
                <w:szCs w:val="18"/>
                <w:color w:val="auto"/>
              </w:rPr>
              <w:t>Working (deficiency) capital</w:t>
            </w:r>
            <w:r>
              <w:rPr>
                <w:rFonts w:ascii="Arial" w:cs="Arial" w:eastAsia="Arial" w:hAnsi="Arial"/>
                <w:sz w:val="20"/>
                <w:szCs w:val="20"/>
                <w:color w:val="auto"/>
                <w:vertAlign w:val="superscript"/>
              </w:rPr>
              <w:t>(1)</w:t>
            </w:r>
          </w:p>
        </w:tc>
        <w:tc>
          <w:tcPr>
            <w:tcW w:w="72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3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100,774,319</w:t>
            </w:r>
          </w:p>
        </w:tc>
      </w:tr>
      <w:tr>
        <w:trPr>
          <w:trHeight w:val="283"/>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r>
              <w:rPr>
                <w:rFonts w:ascii="Arial" w:cs="Arial" w:eastAsia="Arial" w:hAnsi="Arial"/>
                <w:sz w:val="20"/>
                <w:szCs w:val="20"/>
                <w:color w:val="auto"/>
                <w:vertAlign w:val="superscript"/>
              </w:rPr>
              <w:t>(2)</w:t>
            </w: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100,774,319</w:t>
            </w:r>
          </w:p>
        </w:tc>
      </w:tr>
      <w:tr>
        <w:trPr>
          <w:trHeight w:val="243"/>
        </w:trPr>
        <w:tc>
          <w:tcPr>
            <w:tcW w:w="37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3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Value of common stock subject to possible</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1"/>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redemption</w:t>
            </w:r>
            <w:r>
              <w:rPr>
                <w:rFonts w:ascii="Arial" w:cs="Arial" w:eastAsia="Arial" w:hAnsi="Arial"/>
                <w:sz w:val="20"/>
                <w:szCs w:val="20"/>
                <w:color w:val="auto"/>
                <w:vertAlign w:val="superscript"/>
              </w:rPr>
              <w:t>(3)</w:t>
            </w:r>
          </w:p>
        </w:tc>
        <w:tc>
          <w:tcPr>
            <w:tcW w:w="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95,774,310</w:t>
            </w:r>
          </w:p>
        </w:tc>
      </w:tr>
      <w:tr>
        <w:trPr>
          <w:trHeight w:val="291"/>
        </w:trPr>
        <w:tc>
          <w:tcPr>
            <w:tcW w:w="3760" w:type="dxa"/>
            <w:vAlign w:val="bottom"/>
          </w:tcPr>
          <w:p>
            <w:pPr>
              <w:ind w:left="180"/>
              <w:spacing w:after="0"/>
              <w:rPr>
                <w:sz w:val="20"/>
                <w:szCs w:val="20"/>
                <w:color w:val="auto"/>
              </w:rPr>
            </w:pPr>
            <w:r>
              <w:rPr>
                <w:rFonts w:ascii="Arial" w:cs="Arial" w:eastAsia="Arial" w:hAnsi="Arial"/>
                <w:sz w:val="18"/>
                <w:szCs w:val="18"/>
                <w:color w:val="auto"/>
              </w:rPr>
              <w:t>Stockholders’ equity/(deficit)</w:t>
            </w:r>
            <w:r>
              <w:rPr>
                <w:rFonts w:ascii="Arial" w:cs="Arial" w:eastAsia="Arial" w:hAnsi="Arial"/>
                <w:sz w:val="20"/>
                <w:szCs w:val="20"/>
                <w:color w:val="auto"/>
                <w:vertAlign w:val="superscript"/>
              </w:rPr>
              <w:t>(4)</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24,284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5,000,009</w:t>
            </w:r>
          </w:p>
        </w:tc>
      </w:tr>
    </w:tbl>
    <w:p>
      <w:pPr>
        <w:spacing w:after="0" w:line="3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980" w:right="559" w:hanging="436"/>
        <w:spacing w:after="0" w:line="265"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 adjusted” calculation includes $100,000,000 of cash held in trust from the proceeds of this offering and the sale of the private units, plus $750,000 of cash held outside the trust account, plus $25,000 from the issuance of founder shares, plus $35 from the issuance of the representative shares, minus $716 of actual stockholder’s deficit at December 31, 2020.</w:t>
      </w:r>
    </w:p>
    <w:p>
      <w:pPr>
        <w:spacing w:after="0" w:line="1" w:lineRule="exact"/>
        <w:rPr>
          <w:rFonts w:ascii="Arial" w:cs="Arial" w:eastAsia="Arial" w:hAnsi="Arial"/>
          <w:sz w:val="16"/>
          <w:szCs w:val="16"/>
          <w:color w:val="auto"/>
        </w:rPr>
      </w:pPr>
    </w:p>
    <w:p>
      <w:pPr>
        <w:jc w:val="both"/>
        <w:ind w:left="980" w:right="559" w:hanging="436"/>
        <w:spacing w:after="0" w:line="264" w:lineRule="auto"/>
        <w:tabs>
          <w:tab w:leader="none" w:pos="101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 adjusted” calculation equals $100,000,000 of cash held in trust from the proceeds of this offering and the sale of the private units, plus $750,000 in cash held outside the trust account, plus $25,000 from the issuance of founder shares, plus $35 from the issuance of the representative shares, minus $716 of actual stockholder’s deficit at December 31, 2020.</w:t>
      </w:r>
    </w:p>
    <w:p>
      <w:pPr>
        <w:jc w:val="both"/>
        <w:ind w:left="980" w:right="559" w:hanging="436"/>
        <w:spacing w:after="0" w:line="281" w:lineRule="auto"/>
        <w:tabs>
          <w:tab w:leader="none" w:pos="977"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“as adjusted” calculation equals the “as adjusted” total assets, less the “as adjusted” total liabilities, less the “as adjusted” stockholders’ equity, which is set to approximate the minimum net tangible assets threshold of at least $5,000,001 either immediately prior to or upon consummation of our initial business combination.</w:t>
      </w:r>
    </w:p>
    <w:p>
      <w:pPr>
        <w:spacing w:after="0" w:line="1" w:lineRule="exact"/>
        <w:rPr>
          <w:rFonts w:ascii="Arial" w:cs="Arial" w:eastAsia="Arial" w:hAnsi="Arial"/>
          <w:sz w:val="15"/>
          <w:szCs w:val="15"/>
          <w:color w:val="auto"/>
        </w:rPr>
      </w:pPr>
    </w:p>
    <w:p>
      <w:pPr>
        <w:jc w:val="both"/>
        <w:ind w:left="980" w:right="559" w:hanging="436"/>
        <w:spacing w:after="0" w:line="295" w:lineRule="auto"/>
        <w:tabs>
          <w:tab w:leader="none" w:pos="9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Excludes 9,577,431 shares of common stock included in the subunits which are subject to conversion in connection with our initial business combination. The “as adjusted” calculation equals the “as adjusted” total assets, less the “as adjusted” total liabilities, less the value of shares of common stock included in the subunits that may be converted in connection with our initial business combination ($10.00 per subunit).</w:t>
      </w:r>
    </w:p>
    <w:p>
      <w:pPr>
        <w:spacing w:after="0" w:line="102"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The “as adjusted” information gives effect to the issuance of the founder shares, the issuance of the representative shares, the sale of the units we are offering and the sale of the private units, including the application of the related gross proceeds and the payment of the estimated remaining costs from such sale and the repayment of the accrued and other liabilities required to be repaid.</w:t>
      </w:r>
    </w:p>
    <w:p>
      <w:pPr>
        <w:spacing w:after="0" w:line="106"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The “as adjusted” total assets amount includes the $100,000,000 to be held in the trust account (or $115,000,000 if the over-allotment option is exercised in full) which, except for limited situations described in this prospectus, will be available to us only upon the consummation of a business combination within the time period described in this prospectus. If a business combination is not so consummated, the trust account, less amounts we are permitted to withdraw from interest earned on the funds in the trust account as described in this prospectus, will be distributed solely to our public stockholders (subject to our obligations under Delaware law to provide for claims of creditors).</w:t>
      </w:r>
    </w:p>
    <w:p>
      <w:pPr>
        <w:spacing w:after="0" w:line="110"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we seek stockholder approval, a majority of the outstanding shares of common stock voted are voted in favor of the business combination.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the risks described below, which we believe represent the material risks related to the offering, together with the other information contained in this prospectus, before making a decision to invest in our units.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Associated with Our Business and Securities</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are a company with no operating history and, accordingly, you will not have any basis on which to evaluate our ability to achieve our business objective.</w:t>
      </w:r>
    </w:p>
    <w:p>
      <w:pPr>
        <w:spacing w:after="0" w:line="103"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We are a company with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acquire an operating business.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178"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7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 xml:space="preserve">As of December 31, 2020, we had no cash and a working capital deficit of $716. Further, we have incurred and expect to continue to incur significant costs in pursuit of our finance and acquisition plans. Management’s plans to address this need for capital through this offering are discussed in the section of this prospectus titled </w:t>
      </w: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We cannot assure</w:t>
      </w:r>
      <w:r>
        <w:rPr>
          <w:rFonts w:ascii="Arial" w:cs="Arial" w:eastAsia="Arial" w:hAnsi="Arial"/>
          <w:sz w:val="16"/>
          <w:szCs w:val="16"/>
          <w:i w:val="1"/>
          <w:iCs w:val="1"/>
          <w:color w:val="auto"/>
        </w:rPr>
        <w:t xml:space="preserve"> </w:t>
      </w:r>
      <w:r>
        <w:rPr>
          <w:rFonts w:ascii="Arial" w:cs="Arial" w:eastAsia="Arial" w:hAnsi="Arial"/>
          <w:sz w:val="16"/>
          <w:szCs w:val="16"/>
          <w:color w:val="auto"/>
        </w:rPr>
        <w:t>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6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Public stockholders exercising their redemption rights with respect to the subunits included in the units sold in this offering will forfeit the portion of warrants included in the subunits without the payment of any additional consideration.</w:t>
      </w:r>
    </w:p>
    <w:p>
      <w:pPr>
        <w:spacing w:after="0" w:line="103"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Pursuant to our amended and restated certificate of incorporation, public stockholders will be entitled to redeem their subunits for a portion of the trust account if the business combination is consummated. Accordingly, the warrants included in the subunits are subject to forfeiture, without the payment of any additional consideration, if the holder elects to cause us to redeem the subunit of which the warrant forms a part. This is different than in other similarly structured blank check companies where a redeeming stockholder is able to keep any warrants he may still hold, whether included within a unit or held separately. Accordingly, investors may have a disincentive to exercise their redemption rights because they will automatically forfeit the one-quarter warrant included in the subunit.</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are unable to consummate a business combination, our public stockholders may be forced to wait more than 18 months before receiving distributions from the trust account.</w:t>
      </w:r>
    </w:p>
    <w:p>
      <w:pPr>
        <w:spacing w:after="0" w:line="10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18 months from the closing of this offering in which to complete a business combination. We have no obligation to return funds to investors prior to such date unless we consummate a business combination prior thereto and only then in cases where investors have sought to convert or sell their subunits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subunits or warrants, potentially at a loss.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17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public stockholders may seek to convert their subunits, regardless of whether they vote for or against the proposed business combination or do not vote at all, into their pro rata share of the aggregate amount then on deposit in the trust account (net of taxes payable), or (2) provide our public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elsewhere in this prospectus. Accordingly, it is possible that we will consummate our initial business combination even if holders of a majority of our public subunits do not approve of the business combination we consummate.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16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Since the net proceeds of this offering are intended to be used to complete a business combination with a target business that has not been identified, we may be deemed to be a “blank check” company under the United States securities laws. However, since we will have net tangible assets in excess of $5,000,000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a business combination within 18 months of the effective date of the initial registration statement and restrict the use of interest earned on the funds held in the trust account. Because we are not subject to Rule 419, our units will be immediately tradable and we will be entitled to withdraw amounts from the funds held in the trust account prior to the completion of a business combination.</w:t>
      </w:r>
    </w:p>
    <w:p>
      <w:pPr>
        <w:spacing w:after="0" w:line="18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If we determine to change our acquisition criteria or guidelines, many of the disclosures contained in this prospectus would not be applicable and you would be investing in our company without any basis on which to evaluate the potential target business we may acquire.</w:t>
      </w:r>
    </w:p>
    <w:p>
      <w:pPr>
        <w:spacing w:after="0" w:line="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could seek to deviate from the acquisition criteria or guidelines disclosed in this prospectus although we have no current intention to do so. For instance, we currently anticipate acquiring a target business operating in the technology industry. However, we are not obligated to do so and may determine to merge with or acquire a company in another industry if the terms of the transaction are determined by us to be favorable to our public stockholders. In such event, many of the acquisition criteria and guidelines set forth in this prospectus would not be applicable. Accordingly, investors may be making an investment in our company without any basis on which to evaluate the potential target business we may acquire. Regardless of whether or not we deviate from the acquisition criteria or guidelines in connection with any proposed business combination, investors will always be given the opportunity to convert their subunits or sell them to us in a tender offer in connection with any proposed business combination as described in this prospectus.</w:t>
      </w:r>
    </w:p>
    <w:p>
      <w:pPr>
        <w:spacing w:after="0" w:line="18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issue shares of our capital stock to complete a business combination, which would reduce the equity interest of our stockholders and likely cause a change in control of our ownership.</w:t>
      </w:r>
    </w:p>
    <w:p>
      <w:pPr>
        <w:spacing w:after="0" w:line="6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certificate of incorporation authorizes the issuance of up to 31,000,000 shares of common stock, par value $.0001 per share. Immediately after this offering and the purchase of the private units (assuming no exercise of the underwriters’ over-allotment option), there will be 12,625,000 authorized but unissued shares of common stock available for issuance (after appropriate reservation for the issuance of the shares underlying the public and private subunits and warrants). Although we have no commitment as of the date of this offering, we may issue a substantial</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number of additional shares of common stock or shares of preferred stock, or a combination of common stock and preferred stock, to complete a business combination. The issuance of additional shares of common stock will not reduce the per-subunit conversion amount in the trust account. The issuance of additional shares of common stock or preferred stock in a business combination:</w:t>
      </w:r>
    </w:p>
    <w:p>
      <w:pPr>
        <w:spacing w:after="0" w:line="119" w:lineRule="exact"/>
        <w:rPr>
          <w:sz w:val="20"/>
          <w:szCs w:val="20"/>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86" w:lineRule="auto"/>
        <w:tabs>
          <w:tab w:leader="none" w:pos="1338"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We may issue debt securities to complete a business combination, which could restrict our operations thereafter.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issue debt securities to complete a business combination,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repay our debt obligations;</w:t>
      </w:r>
    </w:p>
    <w:p>
      <w:pPr>
        <w:spacing w:after="0" w:line="102" w:lineRule="exact"/>
        <w:rPr>
          <w:rFonts w:ascii="Arial" w:cs="Arial" w:eastAsia="Arial" w:hAnsi="Arial"/>
          <w:sz w:val="18"/>
          <w:szCs w:val="18"/>
          <w:color w:val="auto"/>
        </w:rPr>
      </w:pPr>
    </w:p>
    <w:p>
      <w:pPr>
        <w:jc w:val="both"/>
        <w:ind w:left="1320" w:right="459" w:hanging="434"/>
        <w:spacing w:after="0" w:line="263" w:lineRule="auto"/>
        <w:tabs>
          <w:tab w:leader="none" w:pos="13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59" w:hanging="434"/>
        <w:spacing w:after="0" w:line="308" w:lineRule="auto"/>
        <w:tabs>
          <w:tab w:leader="none" w:pos="15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per-subunit conversion amount in the trust account.</w:t>
      </w:r>
    </w:p>
    <w:p>
      <w:pPr>
        <w:spacing w:after="0" w:line="17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the net proceeds of this offering not being held in trust, together with the interest earned on the funds in the trust account available to us, are insufficient to allow us to operate for at least the next 18 months, we may be unable to complete a business combination.</w:t>
      </w:r>
    </w:p>
    <w:p>
      <w:pPr>
        <w:spacing w:after="0" w:line="11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Of the net proceeds of this offering, only approximately $750,000 will be available to us initially outside the trust account to fund our working capital requirements. We will also have access to interest earned on the funds held in the trust account for taxes. We believe that, upon closing of this offering, such funds will be sufficient to allow us to operate for at least the next 18 months; however, we cannot assure you that our estimate is accurate. Accordingly, if we use all of the funds held outside of the trust account and all interest available to us, we may not have sufficient funds available with which to structure, negotiate or close an initial business combination. In such event, we would need to borrow funds from our sponsor, initial stockholders, officers or directors or their affiliates to operate or may be forced to liquidate. Our sponsor, initial stockholders, officers, directors and their affiliates may, but are not obligated to, loan us funds, from time to time or at any time, in whatever amount that they deem reasonable in their sole discretion for our working capital needs. Each loan would be evidenced by a promissory note. The notes would either be paid upon consummation of our initial business combination, without interest, or, at the holder’s discretion, up to $1,500,000 of the notes may be converted into units at a price of $10.00 per unit.</w:t>
      </w:r>
    </w:p>
    <w:p>
      <w:pPr>
        <w:spacing w:after="0" w:line="18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trust could be reduced and the per-subunit redemption price received by stockholders may be less than $10.00.</w:t>
      </w:r>
    </w:p>
    <w:p>
      <w:pPr>
        <w:spacing w:after="0" w:line="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our sponsor has agreed (subject to certain exceptions described elsewhere in this prospectus) that it will be liable to ensure that the proceeds in the trust account are not reduced below $10.00 per subunit by the claims of target businesses or claims of vendors or other entities that are owed money by us for services rendered or contracted for or products sold to us.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As a result, the per-subunit distribution from the trust account may be less than $10.00, plus interest, due to such claims.</w:t>
      </w:r>
    </w:p>
    <w:p>
      <w:pPr>
        <w:spacing w:after="0" w:line="10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w:t>
      </w:r>
    </w:p>
    <w:p>
      <w:pPr>
        <w:spacing w:after="0" w:line="18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1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18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Our amended and restated certificate of incorporation provides that we will continue in existence only until 18 months from the closing of this offering. If we are unable to complete an initial business combination by 18 months, we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us (net of taxes payable), divided by the number of then outstanding public subunits, which redemption will completely extinguish public stockholders’ rights as holders of subunits (including the right to receive further liquidation distributions, if any), subject to applicable law. Public stockholders will also forfeit the one-quarter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72"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Our directors may decide not to enforce our sponsor’s indemnification obligations, resulting in a reduction in the amount of funds in the trust account available for distribution to our public stockholders.</w:t>
      </w:r>
    </w:p>
    <w:p>
      <w:pPr>
        <w:spacing w:after="0" w:line="5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the event that the proceeds in the trust account are reduced below $10.00 per public subunit and our sponsor asserts that it is unable to satisfy its obligations or that it has no indemnification obligations related to a particular claim, our independent directors would determine whether to take legal action against our sponsor to enforce such indemnification obligations.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subunit.</w:t>
      </w:r>
    </w:p>
    <w:p>
      <w:pPr>
        <w:spacing w:after="0" w:line="177"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If we do not file and maintain a current and effective prospectus relating to the common stock issuable upon exercise of the warrants, holders will only be able to exercise such warrants on a “cashless basis.”</w:t>
      </w:r>
    </w:p>
    <w:p>
      <w:pPr>
        <w:spacing w:after="0" w:line="56"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6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9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1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with any “enforcement action” brought in any such court to enforce the forum provisions, and (y) having service of process made upon such warrant holder in any such enforcement action by service upon such warrant holder’s counsel in the foreign action as agent for such warrant holder.</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9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1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private warrants may be exercised at a time when the public warrants may not be exercised.</w:t>
      </w:r>
    </w:p>
    <w:p>
      <w:pPr>
        <w:spacing w:after="0" w:line="15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Once the private warrants become exercisable, such warrants may immediately be exercised on a cashless basis, at the holder’s option, so long as they are held by the initial purchasers or their permitted transferees. The public warrants, however, will only be exercisable on a cashless basis at the option of the holders if we fail to register the shares issuable upon exercise of the warrants under the Securities Act within 90 days following the closing of our initial business combination. Accordingly, it is possible that the holders of the private warrants could exercise such warrants at a time when the holders of public warrants could not.</w:t>
      </w:r>
    </w:p>
    <w:p>
      <w:pPr>
        <w:spacing w:after="0" w:line="17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with the approval by the holders of at least 50% of the then outstanding public warrants, including warrants included in the public subunits.</w:t>
      </w:r>
    </w:p>
    <w:p>
      <w:pPr>
        <w:spacing w:after="0" w:line="11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public warrants, including warrants included in the public subunits, in order to make any change that adversely affects the interests of the registered holders.</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144" w:lineRule="exact"/>
        <w:rPr>
          <w:sz w:val="20"/>
          <w:szCs w:val="20"/>
          <w:color w:val="auto"/>
        </w:rPr>
      </w:pPr>
    </w:p>
    <w:p>
      <w:pPr>
        <w:jc w:val="both"/>
        <w:ind w:left="1320" w:right="459" w:hanging="434"/>
        <w:spacing w:after="0" w:line="263" w:lineRule="auto"/>
        <w:tabs>
          <w:tab w:leader="none" w:pos="13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issue additional shares of common stock or equity-linked securities for capital raising purposes in connection with the closing of our initial business combination at an issue price or effective issue price of less than $9.20 per share,</w:t>
      </w:r>
    </w:p>
    <w:p>
      <w:pPr>
        <w:spacing w:after="0" w:line="116" w:lineRule="exact"/>
        <w:rPr>
          <w:rFonts w:ascii="Arial" w:cs="Arial" w:eastAsia="Arial" w:hAnsi="Arial"/>
          <w:sz w:val="18"/>
          <w:szCs w:val="18"/>
          <w:color w:val="auto"/>
        </w:rPr>
      </w:pPr>
    </w:p>
    <w:p>
      <w:pPr>
        <w:jc w:val="both"/>
        <w:ind w:left="1320" w:right="459" w:hanging="434"/>
        <w:spacing w:after="0" w:line="311" w:lineRule="auto"/>
        <w:tabs>
          <w:tab w:leader="none" w:pos="14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price at which we issue the additional shares of common stock or equity-linked securities, and the $18.00 redemption trigger price will be adjusted to 180% of this amount. This may make it more difficult for us to consummate an initial business combination with a target business.</w:t>
      </w:r>
    </w:p>
    <w:p>
      <w:pPr>
        <w:spacing w:after="0" w:line="18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a business combination, we are unable to currently ascertain the merits or risks of the industry or business in which we may ultimately operate.</w:t>
      </w:r>
    </w:p>
    <w:p>
      <w:pPr>
        <w:spacing w:after="0" w:line="1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may pursue an acquisition opportunity in any business industry or sector, although we intend to focus on companies in the industry as described in this prospectus.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w:t>
      </w:r>
    </w:p>
    <w:p>
      <w:pPr>
        <w:spacing w:after="0" w:line="172"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9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is required to commit any specified amount of time to our affairs and, accordingly, our officers will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1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role of our key personnel after a business combination, however, cannot presently be ascertained. Although some of our key personnel may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officers and directors may not have significant experience or knowledge regarding the jurisdiction or industry of the target business we may seek to acquire.</w:t>
      </w:r>
    </w:p>
    <w:p>
      <w:pPr>
        <w:spacing w:after="0" w:line="10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may consummate a business combination with a target business in any geographic location or industry we choose, although we intend to focus our search for businesses in the technology industry that are compliant with applicable federal, state and local laws and regulation of those jurisdictions in which it is located or operates. We cannot assure you that our officers and directors will have enough experience or have sufficient knowledge relating to the jurisdiction of the target or its industry to make an informed decision regarding a business combination.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7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17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officers and directors will allocate their time to other businesses thereby causing conflicts of interest in their determination as to how much time to devote to our affairs. This could have a negative impact on our ability to consummate a business combination.</w:t>
      </w:r>
    </w:p>
    <w:p>
      <w:pPr>
        <w:spacing w:after="0" w:line="116"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Our officers and directors will not commit their full time to our affairs. We presently expect each of our officers and directors to devote such amount of time as they reasonably believe is necessary to our business. We do not intend to have any full time employees prior to the consummation of our initial business combination. The foregoing could have a negative impact on our ability to consummate our initial business combination.</w:t>
      </w:r>
    </w:p>
    <w:p>
      <w:pPr>
        <w:spacing w:after="0" w:line="15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officers and directors may have a conflict of interest in determining whether a particular target business is appropriate for a business combination.</w:t>
      </w:r>
    </w:p>
    <w:p>
      <w:pPr>
        <w:spacing w:after="0" w:line="10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sponsor has waived its right to convert its founder shares or any other shares purchased in this offering or thereafter, or to receive distributions from the trust account with respect to its founder shares upon our liquidation if we are unable to consummate a business combination. Accordingly, the shares acquired prior to this offering, as well as the private units (and underlying securities) and any warrants purchased by our officers or directors in the aftermarket, will be worthless if we do not consummate a business combination. The personal and financial interests of our directors and officers may influence their motivation in timely identifying and selecting a target business and completing a business combination and in determining whether the terms, conditions and timing of a particular business combination are appropriate and in our stockholders’ best interest.</w:t>
      </w:r>
    </w:p>
    <w:p>
      <w:pPr>
        <w:spacing w:after="0" w:line="165"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b w:val="1"/>
          <w:bCs w:val="1"/>
          <w:i w:val="1"/>
          <w:iCs w:val="1"/>
          <w:color w:val="auto"/>
        </w:rPr>
        <w:t>Our officers and directors or their affiliates have pre-existing fiduciary and contractual obligations and may in the future become affiliated with other entities engaged in business activities similar to those intended to be conducted by us (and they may also become affiliated another blank check company that may have acquisition objectives that are similar to ours). Accordingly, they may have conflicts of interest in determining to which entity a particular business opportunity should be presented.</w:t>
      </w:r>
    </w:p>
    <w:p>
      <w:pPr>
        <w:spacing w:after="0" w:line="8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Certain of our officers and directors or their affiliates have pre-existing fiduciary and contractual obligations to other companies. For example, Messrs. Cannon, Long and Sheehan are officers or director of Ackrell SPAC Partners I Co., which is a black check company which completed an IPO in December 2020 raising $139 million, with the stated focus on potential business combinations in the branded fast-moving consumer goods industry.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Additionally, our officers and directors may in the future become affiliated with entities that are engaged in a similar business, including another blank check company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our officers’ and directors’ fiduciary duties under Delaware law. For a more detailed description of our officers’ and directors’ business affiliations and the potential conflicts of interest that you should be aware of, see the sections titled “</w:t>
      </w:r>
      <w:r>
        <w:rPr>
          <w:rFonts w:ascii="Arial" w:cs="Arial" w:eastAsia="Arial" w:hAnsi="Arial"/>
          <w:sz w:val="17"/>
          <w:szCs w:val="17"/>
          <w:i w:val="1"/>
          <w:iCs w:val="1"/>
          <w:color w:val="auto"/>
        </w:rPr>
        <w:t>Management — Directors and</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w:t>
      </w:r>
      <w:r>
        <w:rPr>
          <w:rFonts w:ascii="Arial" w:cs="Arial" w:eastAsia="Arial" w:hAnsi="Arial"/>
          <w:sz w:val="17"/>
          <w:szCs w:val="17"/>
          <w:color w:val="auto"/>
        </w:rPr>
        <w:t>” and “</w:t>
      </w:r>
      <w:r>
        <w:rPr>
          <w:rFonts w:ascii="Arial" w:cs="Arial" w:eastAsia="Arial" w:hAnsi="Arial"/>
          <w:sz w:val="17"/>
          <w:szCs w:val="17"/>
          <w:i w:val="1"/>
          <w:iCs w:val="1"/>
          <w:color w:val="auto"/>
        </w:rPr>
        <w:t>Management — Conflicts of Interest</w:t>
      </w:r>
      <w:r>
        <w:rPr>
          <w:rFonts w:ascii="Arial" w:cs="Arial" w:eastAsia="Arial" w:hAnsi="Arial"/>
          <w:sz w:val="17"/>
          <w:szCs w:val="17"/>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EarlyBirdCapital may have a conflict of interest in connection with our initial business combination.</w:t>
      </w:r>
    </w:p>
    <w:p>
      <w:pPr>
        <w:spacing w:after="0" w:line="15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engaged EarlyBirdCapital to assist us in connection with our initial business combination. We will pay EarlyBirdCapital a cash fee for such services in an aggregate amount equal to up to 3.5% of the total gross proceeds raised in the offering only if we consummate our initial business combination. The private units purchased by EarlyBirdCapital and/or its designees and the representative shares issued to EarlyBirdCapital and/or its designees will also be worthless if we do not consummate an initial business combination. These financial interests may result in EarlyBirdCapital having a conflict of interest when providing the services to us in connection with an initial business combination.</w:t>
      </w:r>
    </w:p>
    <w:p>
      <w:pPr>
        <w:spacing w:after="0" w:line="17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03"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intend to apply to have our units listed on Nasdaq. We expect that our units will be listed on Nasdaq on or promptly after the date of this prospectus. Following the date the subunits and warrants are eligible to trade separately, we anticipate that the subunits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 million)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2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4" w:lineRule="exact"/>
        <w:rPr>
          <w:sz w:val="20"/>
          <w:szCs w:val="20"/>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subunits and warrants will be listed on Nasdaq, our units, subunits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disclosure requirements applicable to emerging growth companies will make our subunits less attractive to investors.</w:t>
      </w:r>
    </w:p>
    <w:p>
      <w:pPr>
        <w:spacing w:after="0" w:line="4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 year period or revenues exceed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subunits less attractive because we may rely on these provisions. If some investors find our subunits less attractive as a result, there may be a less active trading market for our subunits and our subunit price may be more volatile.</w:t>
      </w:r>
    </w:p>
    <w:p>
      <w:pPr>
        <w:spacing w:after="0" w:line="16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27"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16"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96"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The ability of our stockholders to exercise their conversion rights or sell their subunits to us in a tender offer may not allow us to effectuate the most desirable business combination or optimize our capital structure.</w:t>
      </w:r>
    </w:p>
    <w:p>
      <w:pPr>
        <w:spacing w:after="0" w:line="1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If our business combination requires us to use substantially all of our cash to pay the purchase price, because we will not know how many stockholders may exercise conversion rights or seek to sell their subunits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In connection with any vote to approve a business combination, we will offer each public stockholder the option to vote in favor of a proposed business combination and still seek conversion of his, her or its subunits.</w:t>
      </w:r>
    </w:p>
    <w:p>
      <w:pPr>
        <w:spacing w:after="0" w:line="10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In connection with any vote to approve a business combination, we will offer each public stockholder (but not our sponsor, officers or directors) the right to have his, her or its subunits converted to cash (subject to the limitations described elsewhere in this prospectus) regardless of whether such stockholder votes for or against such proposed business combination or does not vote at all. The ability to seek conversion while voting in favor of our proposed business combination may make it more likely that we will consummate a business combination.</w:t>
      </w:r>
    </w:p>
    <w:p>
      <w:pPr>
        <w:spacing w:after="0" w:line="192" w:lineRule="exact"/>
        <w:rPr>
          <w:sz w:val="20"/>
          <w:szCs w:val="20"/>
          <w:color w:val="auto"/>
        </w:rPr>
      </w:pPr>
    </w:p>
    <w:p>
      <w:pPr>
        <w:jc w:val="both"/>
        <w:ind w:left="460" w:right="479"/>
        <w:spacing w:after="0" w:line="340" w:lineRule="auto"/>
        <w:rPr>
          <w:sz w:val="20"/>
          <w:szCs w:val="20"/>
          <w:color w:val="auto"/>
        </w:rPr>
      </w:pPr>
      <w:r>
        <w:rPr>
          <w:rFonts w:ascii="Arial" w:cs="Arial" w:eastAsia="Arial" w:hAnsi="Arial"/>
          <w:sz w:val="15"/>
          <w:szCs w:val="15"/>
          <w:b w:val="1"/>
          <w:bCs w:val="1"/>
          <w:i w:val="1"/>
          <w:iCs w:val="1"/>
          <w:color w:val="auto"/>
        </w:rPr>
        <w:t>We do not have a specified maximum conversion threshold. The absence of such a conversion threshold may make it easier for us to consummate a business combination even where a substantial number of public stockholders seek to convert their shares to cash in connection with the vote on the business combination.</w:t>
      </w:r>
    </w:p>
    <w:p>
      <w:pPr>
        <w:spacing w:after="0" w:line="6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have no specified percentage threshold for conversion in our amended and restated certificate of incorporation. As a result, we may be able to consummate a business combination even though a substantial number of our public stockholders do not agree with the transaction and have converted their shares. However, in no event will we consummate an initial business combination unless we have net tangible assets of at least $5,000,001 immediately prior to or upon consummation of our initial business combination.</w:t>
      </w:r>
    </w:p>
    <w:p>
      <w:pPr>
        <w:spacing w:after="0" w:line="161"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In connection with any stockholder meeting called to approve a proposed initial business combination, we may 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p>
    <w:p>
      <w:pPr>
        <w:spacing w:after="0" w:line="90"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or does not vote at all, to demand that we convert his or her subunits into a pro rata share of the trust account as of two business days prior to the consummation of the initial business combination. However, any stockholder redeeming its subunits will forfeit the one-quarter of a warrant included in such subunit, without the payment of any additional consideration. We may require public stockholders who wish to convert their subunits in connection with a proposed business combination to either (i) tender their certificates to our transfer agent or (ii) deliver their subunits to the transfer agent electronically using the Depository Trust Company’s DWAC (Deposit/Withdrawal At Custodian) System, at the holders’ option, in each case prior to a date set forth in the tender offer documents or proxy materials sent in connection with the proposal to approve the business combination. In order to obtain a physical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subunits through the DWAC System, we cannot assure you of this fact. Accordingly, if it takes longer than we anticipate for stockholders to deliver their subunits, stockholders who wish to convert may be unable to meet the deadline for exercising their conversion rights and thus may be unable to convert their subunits.</w:t>
      </w:r>
    </w:p>
    <w:p>
      <w:pPr>
        <w:spacing w:after="0" w:line="18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in connection with any stockholder meeting called to approve a proposed business combination, we require public stockholders who wish to convert their subunits to comply with specific requirements for conversion, such converting stockholders may be unable to sell their securities when they wish to in the event that the proposed business combination is not approved.</w:t>
      </w:r>
    </w:p>
    <w:p>
      <w:pPr>
        <w:spacing w:after="0" w:line="9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we require public stockholders who wish to convert their subunits to comply with specific requirements for conversion and such proposed business combination is not consummated, we will promptly return such certificates to the tendering public stockholders. Accordingly, investors who attempted to convert their subunits in such a circumstance will be unable to sell their securities after the failed acquisition until we have returned their securities to them. The market price for our subunits may decline during this time and you may not be able to sell your securities when you wish to, even while other stockholders that did not seek conversion may be able to sell their securities.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this offering,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and the future dilution they potentially represent, may not be viewed favorably by certain target businesses. Any of the foregoing may place us at a competitive disadvantage in successfully negotiating a business combination.</w:t>
      </w:r>
    </w:p>
    <w:p>
      <w:pPr>
        <w:spacing w:after="0" w:line="1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1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together with interest earned on the funds held in the trust account available to us to pay our income or other tax obligations, will be sufficient to allow us to consummate a business combination, because we have not yet identified any prospective target business, we cannot ascertain the capital requirements for any particular transaction. If the net proceeds of this offering prove to be insufficient, either because of the size of the business combination, the depletion of the available net proceeds in search of a target business, or the obligation to convert into cash a significant number of subunits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7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initial stockholders will control a substantial interest in us and thus may influence certain actions requiring a stockholder vote.</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consummation of our offering, our initial stockholders will own approximately 21.2% of our issued and outstanding shares of common stock (assuming they do not purchase any units in this offering and assuming the over-allotment option is not exercised). None of our sponsor, officers, directors, initial stockholders or their affiliates have indicated any intention to purchase units in this offering or any units, subunits or warrants from persons in the open market or in private transactions. However, our sponsor, officers, directors, initial stockholders or their affiliates could determine in the future to make such purchases in the open market or in private transactions, to the extent permitted by law, in order to influence the vote or magnitude of the number of stockholders seeking to tender their subunits to us. In connection with any vote for a proposed business combination, our initial stockholders, as well as all of our officers and directors, have agreed to vote their founder shares and shares of common stock included in subunits owned by them immediately before this offering as well as any shares of common stock included in subunits acquired in this offering or in the aftermarket in favor of such proposed business combination.</w:t>
      </w:r>
    </w:p>
    <w:p>
      <w:pPr>
        <w:spacing w:after="0" w:line="9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a business combination, in which case all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93" w:lineRule="auto"/>
        <w:rPr>
          <w:sz w:val="20"/>
          <w:szCs w:val="20"/>
          <w:color w:val="auto"/>
        </w:rPr>
      </w:pPr>
      <w:r>
        <w:rPr>
          <w:rFonts w:ascii="Arial" w:cs="Arial" w:eastAsia="Arial" w:hAnsi="Arial"/>
          <w:sz w:val="16"/>
          <w:szCs w:val="16"/>
          <w:color w:val="auto"/>
        </w:rPr>
        <w:t>current directors will continue in office until at least the consummation of the business combination. Accordingly, you may not be able to exercise your voting rights under corporate law for up to 18 months from the closing of this offering. If there is an annual meeting, as a consequence of our “staggered” board of directors, only a minority of the board of directors will be considered for election and our sponsor, because of their ownership position, will have considerable influence regarding the outcome. Accordingly, our initial stockholders will continue to exert control at least until the consummation of a business combination.</w:t>
      </w:r>
    </w:p>
    <w:p>
      <w:pPr>
        <w:spacing w:after="0" w:line="16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Our initial stockholders and the holders of the representative shares paid a nominal price for the founder shares and representative shares and, accordingly, you will experience immediate and substantial dilution from the purchase of our shares of common stock.</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initial stockholders and the holders of the representative shares acquired the founder shares and representative shares at a nominal price, significantly contributing to this dilution. Upon consummation of this offering, you and the other new investors will incur an immediate and substantial dilution of approximately 86.2% or $8.62 per share (the difference between the pro forma net tangible book value per share $1.38, and the initial offering price of $10.00 per unit). This is because investors in this offering will be contributing approximately 96.6% of the total amount paid to us for our outstanding securities after this offering but will only own approximately 75.8% of our outstanding securities (assuming the over-allotment option is not exercised) and this becomes exacerbated to the extent that public stockholders seek to convert their subunits into a pro rata share of the trust proceeds. Accordingly, the per-share purchase price you will be paying substantially exceeds our per share net tangible book value.</w:t>
      </w:r>
    </w:p>
    <w:p>
      <w:pPr>
        <w:spacing w:after="0" w:line="17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Our outstanding warrants may have an adverse effect on the market price of our subunits and make it more difficult to effect a business combination.</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be issuing warrants to purchase an aggregate of 5,000,000 shares of common stock as part of the units and subunits offered by this prospectus and private warrants to purchase an aggregate of 175,000 shares of common stock. We may also issue other units to our sponsor, initial stockholders, officers, directors or their affiliates in payment of working capital loans made to us as described in this prospectus. To the extent we issue shares of common stock to effect a business combination, the potential for the issuance of a substantial number of additional shares upon exercise of these warrants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warrants may make it more difficult to effectuate a business combination or increase the cost of acquiring the target business. Additionally, the sale, or even the possibility of sale, of the shares underlying the warrants could have an adverse effect on the market price for our securities or on our ability to obtain future financing. If and to the extent these warrants are exercised, you may experience dilution to your holdings.</w:t>
      </w:r>
    </w:p>
    <w:p>
      <w:pPr>
        <w:spacing w:after="0" w:line="16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8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have the ability to redeem outstanding warrants (excluding the private warrants and any warrants underlying additional units issued to our sponsor, officers or directors in payment of working capital loans made to us) at any time after they become exercisable and prior to their expiration, at a price of $0.01 per warrant, provided that the last reported sales price of the common stock equals or exceeds $18.00 per share (as adjusted for stock splits, stock dividends, reorganizations and recapitalizations) for any 20 trading days within a 30 trading-day period commencing once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(or any warrants underlying additional units issued to our sponsor, officers or directors in payment of working capital loans made to us) will be redeemable by us so long as they are held by the initial purchasers or their permitted transferees.</w:t>
      </w:r>
    </w:p>
    <w:p>
      <w:pPr>
        <w:spacing w:after="0" w:line="17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9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If we call our public warrants for redemption after the redemption criteria described elsewhere in this prospectus have been satisfied, our management will have the option to require any holder that wishes to exercise his warrant (including any private warrants)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16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1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initial stockholders are entitled to make a demand that we register the resale of the founder shares at any time commencing three months prior to the date on which their shares may be released from escrow. Additionally, the holders of representative shares, the private units and any units our sponsor, initial stockholders, officers, directors, or their affiliates may be issued in payment of working capital loans made to us, are entitled to demand that we register the resale of the representative shares, private units and any other units we issue to them (and the underlying securities) commencing at any time after we consummate an initial business combination. The presence of these additional securities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securities.</w:t>
      </w:r>
    </w:p>
    <w:p>
      <w:pPr>
        <w:spacing w:after="0" w:line="17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16"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58"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5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reporting, record keeping, voting, proxy, compliance policies and procedures and disclosure requirements and other rules and regulations.</w:t>
      </w:r>
    </w:p>
    <w:p>
      <w:pPr>
        <w:spacing w:after="0" w:line="103"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Compliance with these additional regulatory burdens would require additional expense for which we have not allotted.</w:t>
      </w:r>
    </w:p>
    <w:p>
      <w:pPr>
        <w:spacing w:after="0" w:line="17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Our search for an initial business combination, and any target business with which we ultimately consummate an initial business combination, may be materially adversely affected by the coronavirus (COVID-19) pandemic and other events, and the status of debt and equity markets.</w:t>
      </w:r>
    </w:p>
    <w:p>
      <w:pPr>
        <w:spacing w:after="0" w:line="9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coronavirus disease (COVID-19) pandemic has adversely affected, and other events (such as terrorist attacks, natural disasters or a significant outbreak of other infectious diseases) could adversely affect, the economies and financial markets worldwide, and the business of any potential target business with which we consummate an initial business combination could be materially and adversely affected. Furthermore, we may be unable to complete an initial business combination if concerns relating to COVID-19 continue to restrict travel, limit the ability to have meetings with potential investors or the target company’s personnel, vendors and services providers are unavailable</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to negotiate and consummate a transaction in a timely manner. The extent to which COVID-19 impacts our search for an initial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events (such as terrorist attacks, natural disasters or a significant outbreak of other infectious diseases) continue for an extensive period of time, our ability to consummate an initial business combination, or the operations of a target business with which we ultimately consummate an initial business combination, may be materially adversely affected.</w:t>
      </w:r>
    </w:p>
    <w:p>
      <w:pPr>
        <w:spacing w:after="0" w:line="12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In addition, our ability to consummate a transaction may be dependent on our ability to raise additional equity and debt financing which may be impacted by COVID-19 and other events (such as terrorist attacks, natural disasters or a significant outbreak of other infectious diseases), including as a result of increased market volatility, decreased market liquidity in third-party financing being unavailable on terms acceptable to us or at all.</w:t>
      </w:r>
    </w:p>
    <w:p>
      <w:pPr>
        <w:spacing w:after="0" w:line="18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Because there are numerous companies with business plans similar to ours seeking to effectuate business combinations, it may be more difficult for us to do so.</w:t>
      </w:r>
    </w:p>
    <w:p>
      <w:pPr>
        <w:spacing w:after="0" w:line="10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In 2020, based upon publicly available information, in excess of 240 blank check companies similarly structured to us completed initial public offerings, and many others have filed registration statements for initial public offerings that were completed in the beginning of 2021. Very few of these companies have consummated a business combination. Accordingly, there are many other blank check companies that are seeking to carry out a business plan similar to our business plan. While, like us, some of those companies may focus on specific industries, all of them, like us, may consummate a business combination in any industry they choose. We may, therefore, be subject to competition from these and other companies with a business plan similar to ours, which, as a result, may increase demand for privately-held companies to combine with companies structured similarly to ours. However, it is also possible that there are only a limited number of attractive target businesses available to such entities, or that many privately-held target businesses may not be inclined to enter into business combinations with publicly held blank check companies like us. We cannot assure you that we will be able to successfully compete for an attractive business combination. Additionally, because of this competition, we cannot assure you that we will be able to effectuate a business combination within the required time periods. If we are unable to find a suitable target business within such time periods, we will be forced to liquidate.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determination for the offering price of our units is more arbitrary than the pricing of securities for an operating company in a particular industry.</w:t>
      </w:r>
    </w:p>
    <w:p>
      <w:pPr>
        <w:spacing w:after="0" w:line="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subunits and warrants were negotiated between us and EarlyBirdCapital. Factors considered in determining the prices and terms of the units, including the securities underlying the units, include:</w:t>
      </w:r>
    </w:p>
    <w:p>
      <w:pPr>
        <w:spacing w:after="0" w:line="119" w:lineRule="exact"/>
        <w:rPr>
          <w:sz w:val="20"/>
          <w:szCs w:val="20"/>
          <w:color w:val="auto"/>
        </w:rPr>
      </w:pPr>
    </w:p>
    <w:p>
      <w:pPr>
        <w:ind w:left="1320" w:right="479" w:hanging="434"/>
        <w:spacing w:after="0" w:line="277" w:lineRule="auto"/>
        <w:tabs>
          <w:tab w:leader="none" w:pos="15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If we do not conduct an adequate due diligence investigation of a target business, we may be required to subsequently take write-downs or write-offs or incur restructuring, impairment or other charges that could have a significant negative effect on our financial condition, results of operations and our stock price, which could cause you to lose some or all of your investment.</w:t>
      </w:r>
    </w:p>
    <w:p>
      <w:pPr>
        <w:spacing w:after="0" w:line="10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be forced to later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68"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The requirement that we complete an initial business combination within 18 months from the closing of this offering may give potential target businesses leverage over us in negotiating a business combination.</w:t>
      </w:r>
    </w:p>
    <w:p>
      <w:pPr>
        <w:spacing w:after="0" w:line="1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have 18 months to complete an initial business combination from the closing of this offering.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9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1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We will only be required to obtain a fairness opinion with respect to the target business that we seek to acquire if it is an entity that is affiliated with any of our sponsor, initial stockholders, officers, directors or their affiliates. In all other instances, we will have no obligation to obtain an opinion. Accordingly, investors will be relying solely on the judgment of our board of directors in approving a proposed business combination.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Resources could be spent researching acquisitions that are not consummated, which could materially adversely affect subsequent attempts to locate and acquire or merge with another business.</w:t>
      </w:r>
    </w:p>
    <w:p>
      <w:pPr>
        <w:spacing w:after="0" w:line="43"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1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Compliance with the Sarbanes-Oxley Act of 2002 will require substantial financial and management resources and may increase the time and costs of completing an acquisition.</w:t>
      </w:r>
    </w:p>
    <w:p>
      <w:pPr>
        <w:spacing w:after="0" w:line="103"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Section 404 of the Sarbanes-Oxley Act of 2002 requires that we evaluate and report on our system of internal controls and may require that we have such system of internal controls audited beginning with our Annual Report on Form 10-K for the year ending December 31, 2022.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w:t>
      </w:r>
    </w:p>
    <w:p>
      <w:pPr>
        <w:spacing w:after="0" w:line="12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in a foreign jurisdiction, we would be subject to a variety of additional risks that may negatively impact our operations.</w:t>
      </w:r>
    </w:p>
    <w:p>
      <w:pPr>
        <w:spacing w:after="0" w:line="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If we are successful in consummating a business combination with a target business in a foreign country, we would be subject to any special considerations or risks associated with companies operating in the target business’ home jurisdiction, including any of the following:</w:t>
      </w:r>
    </w:p>
    <w:p>
      <w:pPr>
        <w:spacing w:after="0" w:line="116"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We cannot assure you that we would be able to adequately address these additional risks. If we were unable to do so, our operations might suffer.</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0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6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1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w:t>
      </w:r>
    </w:p>
    <w:p>
      <w:pPr>
        <w:spacing w:after="0" w:line="98"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49"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U.S. generally accepted accounting principles or international financial reporting standards.</w:t>
      </w:r>
    </w:p>
    <w:p>
      <w:pPr>
        <w:spacing w:after="0" w:line="10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will need to be audited in accordance with U.S. GAAP at the time of the consummation of the business combination. These financial statement requirements may limit the pool of potential target businesses we may acquire.</w:t>
      </w:r>
    </w:p>
    <w:p>
      <w:pPr>
        <w:spacing w:after="0" w:line="17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03"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ectPr>
          <w:pgSz w:w="11900" w:h="16838" w:orient="portrait"/>
          <w:cols w:equalWidth="0" w:num="1">
            <w:col w:w="9019"/>
          </w:cols>
          <w:pgMar w:left="1440" w:top="274"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may be tax consequences to our business combinations that may adversely affect us.</w:t>
      </w:r>
    </w:p>
    <w:p>
      <w:pPr>
        <w:spacing w:after="0" w:line="15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171"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An investment in this offering may involve adverse U.S. federal income tax consequences because the redemption price per subunit is greater than an investor’s initial tax basis in a subunit.</w:t>
      </w:r>
    </w:p>
    <w:p>
      <w:pPr>
        <w:spacing w:after="0" w:line="7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Although we intend to take a contrary position, if our subunits are not viewed as participating in our corporate growth (i.e. our future earnings or increases in our net asset value) to any significant extent (other than by reason of any “conversion” feature) due to our limited potential for corporate growth prior to a business combination, there is a risk that an investor’s entitlement to receive payments upon a redemption of its subunits in excess of the investor’s initial tax basis in its subunits (see “Taxation — Material U.S. Federal Income Tax Considerations — Allocation of Purchase Price of a Unit and Characterization of a Unit and its Components”) will result in constructive income to the investor. This could affect the timing and character of income recognition and result in U.S. federal income tax liability to the investor without the investor’s receipt of cash from us. Prospective investors are urged to consult their own tax advisors with respect to these tax risks, as well as the specific tax consequences to them of purchasing, holding or disposing of our securities.</w:t>
      </w:r>
    </w:p>
    <w:p>
      <w:pPr>
        <w:spacing w:after="0" w:line="16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9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 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3" w:name="page44"/>
    <w:bookmarkEnd w:id="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7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Cyber incidents or attacks directed at us could result in information theft, data corruption, operational disruption and/or financial loss.</w:t>
      </w:r>
    </w:p>
    <w:p>
      <w:pPr>
        <w:spacing w:after="0" w:line="103"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6"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seek business combination opportunities in industries outside of the technology industry and related sectors (which may or may not be outside of our management’s areas of expertise).</w:t>
      </w:r>
    </w:p>
    <w:p>
      <w:pPr>
        <w:spacing w:after="0" w:line="7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intend to focus our search for a target business or businesses in the technology industry and related sectors. Because we have not yet identified or approached any specific target business or industry, we cannot provide specific risks of any business combination. However, risks inherent in investments in the technology industry include, but are not limited to, the following:</w:t>
      </w:r>
    </w:p>
    <w:p>
      <w:pPr>
        <w:spacing w:after="0" w:line="106" w:lineRule="exact"/>
        <w:rPr>
          <w:sz w:val="20"/>
          <w:szCs w:val="20"/>
          <w:color w:val="auto"/>
        </w:rPr>
      </w:pPr>
    </w:p>
    <w:p>
      <w:pPr>
        <w:ind w:left="1320" w:right="479" w:hanging="434"/>
        <w:spacing w:after="0" w:line="277" w:lineRule="auto"/>
        <w:tabs>
          <w:tab w:leader="none" w:pos="1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competition in the industry, which could cause a loss of market share, lower prices or an increase in advertising and promotional expenditures;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predict, identify and interpret changes in technology trends or preferences and develop and offer new competitive products rapidly enough to meet those changes;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 global economic conditions decreasing demand for products or causing customers and other business partners to suffer financial hardship;</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optimize the supply chain or disruption of the supply chain;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fluctuations, including due to changes in the costs of labor, transportation, energy, pension and healthcare;</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or product liability claims should products prove defective;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changes in customer relationships or in end user demand for products;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maintain and expand reputation and brand image;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Reliance on third parties, such as suppliers, distributors and contractors, for certain functions; and</w:t>
      </w:r>
    </w:p>
    <w:p>
      <w:pPr>
        <w:spacing w:after="0" w:line="180" w:lineRule="exact"/>
        <w:rPr>
          <w:rFonts w:ascii="Arial" w:cs="Arial" w:eastAsia="Arial" w:hAnsi="Arial"/>
          <w:sz w:val="16"/>
          <w:szCs w:val="16"/>
          <w:color w:val="auto"/>
        </w:rPr>
      </w:pPr>
    </w:p>
    <w:p>
      <w:pPr>
        <w:ind w:left="1320" w:right="479" w:hanging="434"/>
        <w:spacing w:after="0" w:line="277" w:lineRule="auto"/>
        <w:tabs>
          <w:tab w:leader="none" w:pos="14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obtain, maintain and enforce necessary intellectual property protections and to avoid infringing upon the intellectual property rights of others.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We may seek business combination opportunities in industries outside of the technology industry and related sectors (which may or may not be outside of our management’s areas of expertise).</w:t>
      </w:r>
    </w:p>
    <w:p>
      <w:pPr>
        <w:spacing w:after="0" w:line="6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intend to focus on identifying business combination candidates in the technology industry and related sectors, we will consider a business combination outside of the technology industry and related sectors if a business combination candidate is presented to us and we determine that such candidate offers an attractive acquisition opportunity for our company or we are unable to identify a suitable candidate in the technology industry and related sectors after having expended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an initial business combination outside of the technology industry and related sectors, our management’s expertise may not be directly applicable to its evaluation or operation, and the information contained herein regarding the technology industry and related sectors would not be relevant to an understanding of the initial business combination we elect to consummate.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13" w:lineRule="exact"/>
        <w:rPr>
          <w:sz w:val="20"/>
          <w:szCs w:val="20"/>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 the technology industry;</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5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a business combination in the technology industry;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 in the technology industry;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changes in control of us if we acquire one or more target businesses for stock;</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proceeds not held in the trust account or available to us from interest income on the trust account balance; 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financial performance following this offering or following our initial business combination.</w:t>
      </w:r>
    </w:p>
    <w:p>
      <w:pPr>
        <w:spacing w:after="0" w:line="16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479"/>
        <w:spacing w:after="0" w:line="342" w:lineRule="auto"/>
        <w:rPr>
          <w:sz w:val="20"/>
          <w:szCs w:val="20"/>
          <w:color w:val="auto"/>
        </w:rPr>
      </w:pPr>
      <w:r>
        <w:rPr>
          <w:rFonts w:ascii="Arial" w:cs="Arial" w:eastAsia="Arial" w:hAnsi="Arial"/>
          <w:sz w:val="16"/>
          <w:szCs w:val="16"/>
          <w:color w:val="auto"/>
        </w:rPr>
        <w:t>We estimate that the net proceeds of this offering, in addition to the funds we will receive from the sale of the private units (all of which will be deposited into the trust account), will be as set forth in the following table:</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2520" w:type="dxa"/>
            <w:vAlign w:val="bottom"/>
            <w:gridSpan w:val="10"/>
          </w:tcPr>
          <w:p>
            <w:pPr>
              <w:jc w:val="right"/>
              <w:ind w:right="80"/>
              <w:spacing w:after="0"/>
              <w:rPr>
                <w:sz w:val="20"/>
                <w:szCs w:val="20"/>
                <w:color w:val="auto"/>
              </w:rPr>
            </w:pPr>
            <w:r>
              <w:rPr>
                <w:rFonts w:ascii="Arial" w:cs="Arial" w:eastAsia="Arial" w:hAnsi="Arial"/>
                <w:sz w:val="16"/>
                <w:szCs w:val="16"/>
                <w:b w:val="1"/>
                <w:bCs w:val="1"/>
                <w:color w:val="auto"/>
                <w:w w:val="98"/>
              </w:rPr>
              <w:t>Over-Allotment   Over-Allotment</w:t>
            </w:r>
          </w:p>
        </w:tc>
      </w:t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24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Option Exercised</w:t>
            </w: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From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100,000,000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115,000,000</w:t>
            </w: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From private placement</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3,800,000</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 gross proceeds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103,500,000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118,800,000</w:t>
            </w:r>
          </w:p>
        </w:tc>
        <w:tc>
          <w:tcPr>
            <w:tcW w:w="160" w:type="dxa"/>
            <w:vAlign w:val="bottom"/>
          </w:tcPr>
          <w:p>
            <w:pPr>
              <w:spacing w:after="0"/>
              <w:rPr>
                <w:sz w:val="19"/>
                <w:szCs w:val="19"/>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8"/>
              </w:rPr>
              <w:t>Underwriting discount payable at closing (2.0% of gross proceeds from</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1"/>
        </w:trPr>
        <w:tc>
          <w:tcPr>
            <w:tcW w:w="5580" w:type="dxa"/>
            <w:vAlign w:val="bottom"/>
          </w:tcPr>
          <w:p>
            <w:pPr>
              <w:ind w:left="180"/>
              <w:spacing w:after="0"/>
              <w:rPr>
                <w:sz w:val="20"/>
                <w:szCs w:val="20"/>
                <w:color w:val="auto"/>
              </w:rPr>
            </w:pPr>
            <w:r>
              <w:rPr>
                <w:rFonts w:ascii="Arial" w:cs="Arial" w:eastAsia="Arial" w:hAnsi="Arial"/>
                <w:sz w:val="18"/>
                <w:szCs w:val="18"/>
                <w:color w:val="auto"/>
              </w:rPr>
              <w:t>units offered to public)</w:t>
            </w:r>
          </w:p>
        </w:tc>
        <w:tc>
          <w:tcPr>
            <w:tcW w:w="120" w:type="dxa"/>
            <w:vAlign w:val="bottom"/>
          </w:tcPr>
          <w:p>
            <w:pPr>
              <w:spacing w:after="0"/>
              <w:rPr>
                <w:sz w:val="23"/>
                <w:szCs w:val="23"/>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2,000,000</w:t>
            </w:r>
            <w:r>
              <w:rPr>
                <w:rFonts w:ascii="Arial" w:cs="Arial" w:eastAsia="Arial" w:hAnsi="Arial"/>
                <w:sz w:val="20"/>
                <w:szCs w:val="20"/>
                <w:color w:val="auto"/>
                <w:vertAlign w:val="superscript"/>
              </w:rPr>
              <w:t>(2)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2,300,000</w:t>
            </w:r>
            <w:r>
              <w:rPr>
                <w:rFonts w:ascii="Arial" w:cs="Arial" w:eastAsia="Arial" w:hAnsi="Arial"/>
                <w:sz w:val="20"/>
                <w:szCs w:val="20"/>
                <w:color w:val="auto"/>
                <w:vertAlign w:val="superscript"/>
              </w:rPr>
              <w:t>(2)</w:t>
            </w: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225,000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Nasdaq listing fees (including deferred portion)</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75,000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35,000</w:t>
            </w: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32,629</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19,763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19,763</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D&amp;O Insurance</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22,608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22,608</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3,050,000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Held in trust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100,000,000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115,000,000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Not held in trust</w:t>
            </w: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750,000</w:t>
            </w: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net proceeds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100,750,000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115,750,000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99"/>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5"/>
              </w:rPr>
              <w:t>Percentage</w:t>
            </w: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77"/>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Use of net proceeds not held in trust</w:t>
            </w:r>
            <w:r>
              <w:rPr>
                <w:rFonts w:ascii="Arial" w:cs="Arial" w:eastAsia="Arial" w:hAnsi="Arial"/>
                <w:sz w:val="20"/>
                <w:szCs w:val="20"/>
                <w:i w:val="1"/>
                <w:iCs w:val="1"/>
                <w:color w:val="auto"/>
                <w:vertAlign w:val="superscript"/>
              </w:rPr>
              <w:t>(3)(4)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7"/>
              </w:rPr>
              <w:t>Legal, accounting and other expenses attendant to the search for target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businesses and to the due diligence, investigation, structuring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negotiation of a business combination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240,000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32.0%</w:t>
            </w: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Legal, accounting, audit and other fees relating to SEC reporting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Payment of administrative fee to an affiliate of our Chairman</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($10,000 per month for up to 18 months)</w:t>
            </w:r>
          </w:p>
        </w:tc>
        <w:tc>
          <w:tcPr>
            <w:tcW w:w="12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180,000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9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portion of the offering expenses, including the SEC registration fee, the FINRA filing fee, the non-refundable portion of the Nasdaq listing fee and a portion of the legal and audit fees, will have been paid from the loan we received from our sponsor described below. These funds will be repaid out of the proceeds of this offering available to us.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discounts or commissions will be paid with respect to the purchase of the private units.</w:t>
      </w:r>
    </w:p>
    <w:p>
      <w:pPr>
        <w:spacing w:after="0" w:line="18" w:lineRule="exact"/>
        <w:rPr>
          <w:rFonts w:ascii="Arial" w:cs="Arial" w:eastAsia="Arial" w:hAnsi="Arial"/>
          <w:sz w:val="16"/>
          <w:szCs w:val="16"/>
          <w:color w:val="auto"/>
        </w:rPr>
      </w:pPr>
    </w:p>
    <w:p>
      <w:pPr>
        <w:jc w:val="both"/>
        <w:ind w:left="880" w:right="459" w:hanging="426"/>
        <w:spacing w:after="0" w:line="281" w:lineRule="auto"/>
        <w:tabs>
          <w:tab w:leader="none" w:pos="9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amount of proceeds not held in trust will remain constant at approximately $750,000 even if the over-allotment option is exercised. The amount in the table above does not include interest available to us from the trust account. The proceeds held in the trust account may be invested only in U.S. government treasury obligations with a maturity of 185 days or less or in money market funds meeting certain conditions under Rule 2a-7 under the Investment Company Act which invest only in direct U.S. government treasury obligations. We estimate that the after-tax interest earned on the trust account will be approximately $100,000 per year, assuming an interest rate of 0.1% per year; however, we can provide no assurances regarding this amount.</w:t>
      </w:r>
    </w:p>
    <w:p>
      <w:pPr>
        <w:spacing w:after="0" w:line="3" w:lineRule="exact"/>
        <w:rPr>
          <w:rFonts w:ascii="Arial" w:cs="Arial" w:eastAsia="Arial" w:hAnsi="Arial"/>
          <w:sz w:val="15"/>
          <w:szCs w:val="15"/>
          <w:color w:val="auto"/>
        </w:rPr>
      </w:pPr>
    </w:p>
    <w:p>
      <w:pPr>
        <w:jc w:val="both"/>
        <w:ind w:left="880" w:right="459" w:hanging="426"/>
        <w:spacing w:after="0" w:line="290" w:lineRule="auto"/>
        <w:tabs>
          <w:tab w:leader="none" w:pos="961"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ectPr>
          <w:pgSz w:w="11900" w:h="16838" w:orient="portrait"/>
          <w:cols w:equalWidth="0" w:num="1">
            <w:col w:w="9019"/>
          </w:cols>
          <w:pgMar w:left="1440" w:top="274" w:right="1440" w:bottom="993"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93" w:gutter="0" w:footer="0" w:header="0"/>
          <w:type w:val="continuous"/>
        </w:sectPr>
      </w:pPr>
    </w:p>
    <w:bookmarkStart w:id="47" w:name="page48"/>
    <w:bookmarkEnd w:id="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Our sponsor and EarlyBirdCapital have committed that they and/or their designees will purchase the private units (for an aggregate purchase price of $3,500,000) from us on a private placement basis simultaneously with the consummation of this offering. They have also agreed that if the over-allotment option is exercised by the underwriters in full or in part, they will purchase from us an additional number of private units (up to a maximum of 30,000 private units at a price of $10.00 per private unit)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securities) are identical to the units (and underlying securities) sold in this offering subject to certain limited exceptions as described elsewhere in this prospectus. All of the proceeds we receive from these purchases will be placed in the trust account described below.</w:t>
      </w:r>
    </w:p>
    <w:p>
      <w:pPr>
        <w:spacing w:after="0" w:line="10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$100,000,000, or 115,000,000 if the over-allotment option is exercised in full, of net proceeds of this offering and the sale of the private units will be placed in a U.S.-based trust account maintained by Continental Stock Transfer &amp; Trust Company, New York, New York, as trustee. The funds held in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we are not deemed to be an investment company under the Investment Company Act. Except with respect to interest earned on the funds held in the trust account that may be released to us to pay our income or other tax obligations, the proceeds will not be released from the trust account until the earlier of the completion of a business combination or our redemption of 100% of the outstanding public subunits if we have not completed a business combination in the required time period. The proceeds held in the trust account may be used as consideration to pay the sellers of a target business with which we complete a business combination. Any amounts not paid as consideration to the sellers of the target business may be used to finance operations of the target business.</w:t>
      </w:r>
    </w:p>
    <w:p>
      <w:pPr>
        <w:spacing w:after="0" w:line="117"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payment to an affiliate of our Chief Executive Officer of a monthly fee of $10,000 is for general and administrative services including office space, utilities and secretarial support. This arrangement is being agreed to by such party for our benefit and is not intended to provide our Chairman with compensation in lieu of a salary. We believe, based on rents and fees for similar services in other comparable areas, that the fee charged by such party is at least as favorable as we could have obtained from an unaffiliated person. This arrangement will terminate upon completion of our initial business combination or the distribution of the trust account to our public stockholders.</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1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Regardless of whether the over-allotment option is exercised in full, the net proceeds from this offering available to us out of trust for our working capital requirements in searching for a business combination will be approximately $750,000. We intend to use the proceeds for miscellaneous expenses such as paying for director and officer liability insurance premiums and for due diligence, legal, accounting and other expenses of structuring and negotiating business combinations, as well as for reimbursement of any out-of-pocket expenses incurred by our sponsor, officers and directors in connection with activities on our behalf as described above. The allocation of the net proceeds available to us outside of the trust account represents our best estimate of the intended uses of these funds. In the event that our assumptions prove to be inaccurate, we may reallocate some of such proceeds within the above described categories.</w:t>
      </w:r>
    </w:p>
    <w:p>
      <w:pPr>
        <w:spacing w:after="0" w:line="113"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Arial" w:cs="Arial" w:eastAsia="Arial" w:hAnsi="Arial"/>
          <w:sz w:val="17"/>
          <w:szCs w:val="17"/>
          <w:i w:val="1"/>
          <w:iCs w:val="1"/>
          <w:color w:val="auto"/>
        </w:rPr>
        <w:t>Underwriting — Business Combination Marketing</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the extent that our capital stock is used in whole or in part as consideration to effect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the proceeds held in the trust account which are not used to consummate a business combination will be disbursed to the combined company and will, along with any other net proceeds not expended, be used as working capital to finance the operations of the</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8" w:name="page49"/>
    <w:bookmarkEnd w:id="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target business. Such working capital funds could be used in a variety of ways including continuing or expanding the target business’ operations, for strategic acquisitions and for marketing and research and development of existing or new products.</w:t>
      </w:r>
    </w:p>
    <w:p>
      <w:pPr>
        <w:spacing w:after="0" w:line="11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sponsor has agreed to advance us the funds necessary to complete such liquidation (currently anticipated to be no more than $15,000) and has agreed not to seek repayment of such expenses.</w:t>
      </w:r>
    </w:p>
    <w:p>
      <w:pPr>
        <w:spacing w:after="0" w:line="11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sponsor has agreed to loan us an aggregate of up to $300,000, which will be used to pay a portion of the expenses of this offering referenced in the line items above for SEC registration fee, FINRA filing fee, the non-refundable portion of the Nasdaq listing fee and a portion of the legal and audit fees and expenses. The note governing the loan is non-interest bearing and is payable on the earlier to occur of March 31, 2021, the consummation of this offering, or the abandonment of this offering. The loan will be payable without interest. The loan will be repaid out of the proceeds of this offering available to us for payment of offering expenses. As of the date of this prospectus, no loans had been made to us by our sponsor.</w:t>
      </w:r>
    </w:p>
    <w:p>
      <w:pPr>
        <w:spacing w:after="0" w:line="9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believe that, upon consummation of this offering, we will have sufficient available funds to operate for the next 18 months from the closing of this offering, assuming that a business combination is not consummated during that time. However, if necessary, 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1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A public stockholder will be entitled to receive funds from the trust account (including interest earned on his, her or its portion of the trust account to the extent not previously released to us) only in the event of (i) our redemption of 100% of the outstanding public subunits if we have not completed a business combination in the required time period, (ii) if that public stockholder converts such subunits, or sells such subunits to us in a tender offer, in connection with a business combination which we consummate or (iii)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This redemption right shall apply in the event of the approval of any such amendment to our amended and restated certificate of incorporation, whether proposed by our sponsor, initial stockholders, executive officers, directors or any other person. In no other circumstances will a public stockholder have any right or interest of any kind to or in the trust account.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Further, if we incur any indebtedness, our ability to declare dividends may be limited by restrictive covenants we may agree to in connection therewith.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ownership of our sponsor at 20.0% of our issued and outstanding shares of our common stock upon the consummation of this offering (not including the private units and underlying securities and the representative shares and assuming the initial stockholders do not purchase units in this offering).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and subunits we are offering by this prospectus, and the pro forma net tangible book value per share after this offering constitutes the dilution to investors in this offering. Such calculation does not reflect any dilution associated with the sale and exercise of warrants. Net tangible book value per share is determined by dividing our net tangible book value, which is our total tangible assets less total liabilities (including the value of shares of common stock which may be converted into cash or sold in a tender offer), by the number of outstanding shares of common stock.</w:t>
      </w:r>
    </w:p>
    <w:p>
      <w:pPr>
        <w:spacing w:after="0" w:line="12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At December 31, 2020, after giving effect to the sale of 2,875,000 founder shares that occurred on January 4, 2021 for an aggregate purchase price of $25,000 (the “Issuance of the Founder Shares”), our net tangible book deficit would have been $716, or approximately a net tangible book deficit of $0.00 per share of common stock. After giving effect to the sale of 10,000,000 shares of common stock included in the subunits we are offering by this prospectus, the Issuance of the Founder shares, the sale of the private units, the issuance of the representative shares and the deduction of underwriting commissions and estimated expenses of this offering, our pro forma net tangible book value at December 31, 2020 would have been $5,000,009 or $1.38 per share, representing an immediate increase in net tangible book value (as decreased by the value of the approximately 9,577,431 shares of common stock included in subunits that may be converted to cash and assuming no exercise of the underwriters’ over-allotment option) of $1.38 per share to our initial stockholders and an immediate dilution of $8.62 per share or 86.2% to our public stockholders not exercising their conversion rights. The decrease attributable to public shares subject to conversion is included in the calculation below at $10.00 per subunit, as all public stockholders have the right to convert.</w:t>
      </w:r>
    </w:p>
    <w:p>
      <w:pPr>
        <w:spacing w:after="0" w:line="10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warrants included in the units: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Without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Over-allotment</w:t>
            </w:r>
          </w:p>
        </w:tc>
        <w:tc>
          <w:tcPr>
            <w:tcW w:w="1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Net tangible book deficit before this offering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vMerge w:val="continue"/>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Increase attributable to public stockholders and sale of the private units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36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1.38</w:t>
            </w:r>
          </w:p>
        </w:tc>
        <w:tc>
          <w:tcPr>
            <w:tcW w:w="3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8.62</w:t>
            </w:r>
          </w:p>
        </w:tc>
        <w:tc>
          <w:tcPr>
            <w:tcW w:w="3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public stockholders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$95,774,310 because holders of up to approximately 95.8%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stockholders meeting, including interest earned on the funds held in the trust account and not previously released to us to pay our franchise and income taxes), divided by the number of shares of common stock sold in this offering.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with respect to our existing stockholders and the public stockholders: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222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w w:val="88"/>
              </w:rPr>
              <w:t>Average Price</w:t>
            </w:r>
          </w:p>
        </w:tc>
        <w:tc>
          <w:tcPr>
            <w:tcW w:w="0" w:type="dxa"/>
            <w:vAlign w:val="bottom"/>
          </w:tcPr>
          <w:p>
            <w:pPr>
              <w:spacing w:after="0"/>
              <w:rPr>
                <w:sz w:val="1"/>
                <w:szCs w:val="1"/>
                <w:color w:val="auto"/>
              </w:rPr>
            </w:pPr>
          </w:p>
        </w:tc>
      </w:tr>
      <w:tr>
        <w:trPr>
          <w:trHeight w:val="47"/>
        </w:trPr>
        <w:tc>
          <w:tcPr>
            <w:tcW w:w="22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Number</w:t>
            </w:r>
          </w:p>
        </w:tc>
        <w:tc>
          <w:tcPr>
            <w:tcW w:w="106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73"/>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47"/>
        </w:trPr>
        <w:tc>
          <w:tcPr>
            <w:tcW w:w="22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Representative shares</w:t>
            </w:r>
            <w:r>
              <w:rPr>
                <w:rFonts w:ascii="Arial" w:cs="Arial" w:eastAsia="Arial" w:hAnsi="Arial"/>
                <w:sz w:val="20"/>
                <w:szCs w:val="20"/>
                <w:color w:val="auto"/>
                <w:vertAlign w:val="superscript"/>
              </w:rPr>
              <w:t>(2)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stockholders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0"/>
                <w:szCs w:val="20"/>
                <w:color w:val="auto"/>
              </w:rPr>
            </w:pPr>
            <w:r>
              <w:rPr>
                <w:rFonts w:ascii="Arial" w:cs="Arial" w:eastAsia="Arial" w:hAnsi="Arial"/>
                <w:sz w:val="18"/>
                <w:szCs w:val="18"/>
                <w:color w:val="auto"/>
              </w:rPr>
              <w:t>Public stockholders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103,525,035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59" w:hanging="426"/>
        <w:spacing w:after="0" w:line="266" w:lineRule="auto"/>
        <w:tabs>
          <w:tab w:leader="none" w:pos="962"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an aggregate of 375,000 founder shares have been forfeited as a result thereof.</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Assumes the issuance of an additional 350,000 shares underlying the representative shares.</w:t>
      </w:r>
    </w:p>
    <w:p>
      <w:pPr>
        <w:sectPr>
          <w:pgSz w:w="11900" w:h="16838" w:orient="portrait"/>
          <w:cols w:equalWidth="0" w:num="1">
            <w:col w:w="9019"/>
          </w:cols>
          <w:pgMar w:left="1440" w:top="274" w:right="1440"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net tangible book value after the offering is calculated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Arial" w:cs="Arial" w:eastAsia="Arial" w:hAnsi="Arial"/>
                <w:sz w:val="16"/>
                <w:szCs w:val="16"/>
                <w:b w:val="1"/>
                <w:bCs w:val="1"/>
                <w:color w:val="auto"/>
              </w:rPr>
              <w:t>Without</w:t>
            </w:r>
          </w:p>
        </w:tc>
        <w:tc>
          <w:tcPr>
            <w:tcW w:w="10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252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auto"/>
              </w:rPr>
              <w:t>Over-allotment   Over-allotment</w:t>
            </w: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proceeds from this offering and sale of the private units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100,750,000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115,750,000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Plus: Proceeds from the issuance of representative shares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Plus: Offering costs paid in advance, excluded from tangible book value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this offering</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p>
        </w:tc>
        <w:tc>
          <w:tcPr>
            <w:tcW w:w="1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(95,774,310)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(110,774,310)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this offering</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Common stock forfeited if over-allotment is not exercised</w:t>
            </w: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underlying the representative shares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Common stock included in the units offered</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included in the private units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Less: common stock subject to redemption</w:t>
            </w:r>
          </w:p>
        </w:tc>
        <w:tc>
          <w:tcPr>
            <w:tcW w:w="1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(9,577,431)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(11,077,431)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3,622,569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4,027,569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3960"/>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The following table sets forth our capitalization at December 31, 2020, prior to the issuance of the founder shares, and at January 4, 2021, after the issuance of the founder shares, and also as adjusted to give effect to the issuance of the representative shares, the sale of our units and the private units and the application of the estimated net proceeds derived from the sale of such securities: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w w:val="93"/>
              </w:rPr>
              <w:t>January 4,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After Issuance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1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of the Founder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141"/>
              <w:spacing w:after="0"/>
              <w:rPr>
                <w:sz w:val="20"/>
                <w:szCs w:val="20"/>
                <w:color w:val="auto"/>
              </w:rPr>
            </w:pPr>
            <w:r>
              <w:rPr>
                <w:rFonts w:ascii="Arial" w:cs="Arial" w:eastAsia="Arial" w:hAnsi="Arial"/>
                <w:sz w:val="16"/>
                <w:szCs w:val="16"/>
                <w:b w:val="1"/>
                <w:bCs w:val="1"/>
                <w:color w:val="auto"/>
                <w:w w:val="93"/>
              </w:rPr>
              <w:t>Actual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As Adjusted</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related party</w:t>
            </w:r>
            <w:r>
              <w:rPr>
                <w:rFonts w:ascii="Arial" w:cs="Arial" w:eastAsia="Arial" w:hAnsi="Arial"/>
                <w:sz w:val="20"/>
                <w:szCs w:val="20"/>
                <w:color w:val="auto"/>
                <w:vertAlign w:val="superscript"/>
              </w:rPr>
              <w:t>(1)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360" w:type="dxa"/>
            <w:vAlign w:val="bottom"/>
          </w:tcPr>
          <w:p>
            <w:pPr>
              <w:spacing w:after="0" w:line="182" w:lineRule="exact"/>
              <w:rPr>
                <w:sz w:val="20"/>
                <w:szCs w:val="20"/>
                <w:color w:val="auto"/>
              </w:rPr>
            </w:pPr>
            <w:r>
              <w:rPr>
                <w:rFonts w:ascii="Arial" w:cs="Arial" w:eastAsia="Arial" w:hAnsi="Arial"/>
                <w:sz w:val="18"/>
                <w:szCs w:val="18"/>
                <w:color w:val="auto"/>
                <w:w w:val="98"/>
              </w:rPr>
              <w:t>Common stock, subject to redemption, 0 and 9,577,431</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94"/>
              </w:rPr>
              <w:t>shares which are subject to possible redemption, actual</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360" w:type="dxa"/>
            <w:vAlign w:val="bottom"/>
          </w:tcPr>
          <w:p>
            <w:pPr>
              <w:ind w:left="180"/>
              <w:spacing w:after="0"/>
              <w:rPr>
                <w:sz w:val="20"/>
                <w:szCs w:val="20"/>
                <w:color w:val="auto"/>
              </w:rPr>
            </w:pPr>
            <w:r>
              <w:rPr>
                <w:rFonts w:ascii="Arial" w:cs="Arial" w:eastAsia="Arial" w:hAnsi="Arial"/>
                <w:sz w:val="18"/>
                <w:szCs w:val="18"/>
                <w:color w:val="auto"/>
              </w:rPr>
              <w:t>and as adjusted, respectively</w:t>
            </w:r>
            <w:r>
              <w:rPr>
                <w:rFonts w:ascii="Arial" w:cs="Arial" w:eastAsia="Arial" w:hAnsi="Arial"/>
                <w:sz w:val="20"/>
                <w:szCs w:val="20"/>
                <w:color w:val="auto"/>
                <w:vertAlign w:val="superscript"/>
              </w:rPr>
              <w:t>(2)</w:t>
            </w:r>
          </w:p>
        </w:tc>
        <w:tc>
          <w:tcPr>
            <w:tcW w:w="220" w:type="dxa"/>
            <w:vAlign w:val="bottom"/>
          </w:tcPr>
          <w:p>
            <w:pPr>
              <w:spacing w:after="0"/>
              <w:rPr>
                <w:sz w:val="23"/>
                <w:szCs w:val="23"/>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95,774,310</w:t>
            </w:r>
          </w:p>
        </w:tc>
        <w:tc>
          <w:tcPr>
            <w:tcW w:w="0" w:type="dxa"/>
            <w:vAlign w:val="bottom"/>
          </w:tcPr>
          <w:p>
            <w:pPr>
              <w:spacing w:after="0"/>
              <w:rPr>
                <w:sz w:val="1"/>
                <w:szCs w:val="1"/>
                <w:color w:val="auto"/>
              </w:rPr>
            </w:pPr>
          </w:p>
        </w:tc>
      </w:tr>
      <w:tr>
        <w:trPr>
          <w:trHeight w:val="182"/>
        </w:trPr>
        <w:tc>
          <w:tcPr>
            <w:tcW w:w="4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Common stock, $0.0001 par value, 31,000,000 shares</w:t>
            </w: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authorized, 0, 2,875,000 and 3,622,569 shares issued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and outstanding, actual as of December 31, 2020, as of</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after issuance of the founder shares, and as adjusted,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r>
              <w:rPr>
                <w:rFonts w:ascii="Arial" w:cs="Arial" w:eastAsia="Arial" w:hAnsi="Arial"/>
                <w:sz w:val="20"/>
                <w:szCs w:val="20"/>
                <w:color w:val="auto"/>
                <w:vertAlign w:val="superscript"/>
              </w:rPr>
              <w:t>(3)</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5,000,363</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 stockholders’ equity/(deficit)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(716</w:t>
            </w:r>
          </w:p>
        </w:tc>
        <w:tc>
          <w:tcPr>
            <w:tcW w:w="140" w:type="dxa"/>
            <w:vAlign w:val="bottom"/>
            <w:vMerge w:val="continue"/>
          </w:tcPr>
          <w:p>
            <w:pPr>
              <w:spacing w:after="0"/>
              <w:rPr>
                <w:sz w:val="20"/>
                <w:szCs w:val="20"/>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24,284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5,000,009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24,284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100,774,319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265" w:lineRule="auto"/>
        <w:tabs>
          <w:tab w:leader="none" w:pos="9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was $0 outstanding at December 31, 2020 and January 4, 2021 under the $300,000 promissory note issued to our sponsor. The note is non-interest bearing and is payable on the earlier to occur of March 31, 2021, the consummation of this offering or the abandonment of this offering.</w:t>
      </w:r>
    </w:p>
    <w:p>
      <w:pPr>
        <w:spacing w:after="0" w:line="1" w:lineRule="exact"/>
        <w:rPr>
          <w:rFonts w:ascii="Arial" w:cs="Arial" w:eastAsia="Arial" w:hAnsi="Arial"/>
          <w:sz w:val="16"/>
          <w:szCs w:val="16"/>
          <w:color w:val="auto"/>
        </w:rPr>
      </w:pPr>
    </w:p>
    <w:p>
      <w:pPr>
        <w:jc w:val="both"/>
        <w:ind w:left="880" w:right="479" w:hanging="426"/>
        <w:spacing w:after="0" w:line="281" w:lineRule="auto"/>
        <w:tabs>
          <w:tab w:leader="none" w:pos="928" w:val="left"/>
        </w:tabs>
        <w:numPr>
          <w:ilvl w:val="0"/>
          <w:numId w:val="24"/>
        </w:numPr>
        <w:rPr>
          <w:rFonts w:ascii="Arial" w:cs="Arial" w:eastAsia="Arial" w:hAnsi="Arial"/>
          <w:sz w:val="15"/>
          <w:szCs w:val="15"/>
          <w:color w:val="auto"/>
        </w:rPr>
      </w:pPr>
      <w:r>
        <w:rPr>
          <w:rFonts w:ascii="Arial" w:cs="Arial" w:eastAsia="Arial" w:hAnsi="Arial"/>
          <w:sz w:val="15"/>
          <w:szCs w:val="15"/>
          <w:color w:val="auto"/>
        </w:rPr>
        <w:t>Upon the consummation of our initial business combination, we will provide our stockholders (but not our sponsor, initial stockholders, officers or directors) with the opportunity to convert or sell their public subunits for cash equal to their pro rata share of the aggregate amount then on deposit in the trust account as of two business days prior to the consummation of the initial business combination, including interest not previously released to us (less taxes payable), subject to the limitations described herein whereby our net tangible assets will be maintained at a minimum of $5,000,001 either immediately prior to or upon consummation.</w:t>
      </w:r>
    </w:p>
    <w:p>
      <w:pPr>
        <w:spacing w:after="0" w:line="3" w:lineRule="exact"/>
        <w:rPr>
          <w:rFonts w:ascii="Arial" w:cs="Arial" w:eastAsia="Arial" w:hAnsi="Arial"/>
          <w:sz w:val="15"/>
          <w:szCs w:val="15"/>
          <w:color w:val="auto"/>
        </w:rPr>
      </w:pPr>
    </w:p>
    <w:p>
      <w:pPr>
        <w:jc w:val="both"/>
        <w:ind w:left="880" w:right="479" w:hanging="426"/>
        <w:spacing w:after="0" w:line="270" w:lineRule="auto"/>
        <w:tabs>
          <w:tab w:leader="none" w:pos="90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“January 4, 2021” information includes the 2,875,000 founder shares that we had issued for $25,000 on January 4, 2021. The “as adjusted” information gives effect to the issuance of the founder shares that occurred on January 4, 2021, the issuance of the 350,000 representative shares, the sale of the units we are offering and the sale of the private units and assumes the over-allotment option has not been exercised and an aggregate of 350,000 founder shares have been forfeited as a result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3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 The issuance of additional shares of common stock or preferred stock:</w:t>
      </w:r>
    </w:p>
    <w:p>
      <w:pPr>
        <w:spacing w:after="0" w:line="110" w:lineRule="exact"/>
        <w:rPr>
          <w:sz w:val="20"/>
          <w:szCs w:val="20"/>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77" w:lineRule="auto"/>
        <w:tabs>
          <w:tab w:leader="none" w:pos="14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4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89" w:lineRule="exact"/>
        <w:rPr>
          <w:rFonts w:ascii="Arial" w:cs="Arial" w:eastAsia="Arial" w:hAnsi="Arial"/>
          <w:sz w:val="18"/>
          <w:szCs w:val="18"/>
          <w:color w:val="auto"/>
        </w:rPr>
      </w:pPr>
    </w:p>
    <w:p>
      <w:pPr>
        <w:ind w:left="1320" w:right="479" w:hanging="434"/>
        <w:spacing w:after="0" w:line="308" w:lineRule="auto"/>
        <w:tabs>
          <w:tab w:leader="none" w:pos="1459"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w:t>
      </w:r>
    </w:p>
    <w:p>
      <w:pPr>
        <w:spacing w:after="0" w:line="7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are an emerging growth company as defined in the JOBS Act.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As indicated in the accompanying financial statements, at December 31, 2020, we had cash balance of $0 and a working capital deficit of $716. Further, we have incurred and expect to continue to incur significant costs in pursuit of our financing and acquisition plans. Management’s plans to address this uncertainty through this offering are discussed above. We cannot assure you that our plans to raise capital or to consummate an initial business combination will be successful. These factors, among others, raise substantial doubt about our ability to continue as a going concern.</w:t>
      </w:r>
    </w:p>
    <w:p>
      <w:pPr>
        <w:spacing w:after="0" w:line="12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liquidity needs have been satisfied to date through the payment of certain of our deferred offering costs with the $25,000 purchase price of the founder shares and loans from our sponsor in an aggregate amount of $300,000 that are more fully described below. We estimate that the net proceeds from (i) the sale of the units in this offering, after deducting offering expenses of approximately $750,000 and underwriting discounts and commissions of $2,000,000 (or $2,300,000 if the over-allotment option is exercised in full) and (ii) the sale of the private units for a purchase price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of $3,500,000 (or $3,800,000 if the over-allotment option is exercised in full) will be $100,750,000 (or $115,750,000 if the over-allotment option is exercised in full). Of this amount, $100,000,000 (or $115,000,000 if the over-allotment option is exercised in full) will be held in the trust account. The remaining $750,000 will not be held in trust.</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may use substantially all of the net proceeds of this offering, including the funds held in the trust account, to acquire a target business and to pay our expenses relating thereto, including a fee payable to EarlyBirdCapital, upon consummation of our initial business combination for assisting us in connection with our initial business combination, as described under the section titled “</w:t>
      </w:r>
      <w:r>
        <w:rPr>
          <w:rFonts w:ascii="Arial" w:cs="Arial" w:eastAsia="Arial" w:hAnsi="Arial"/>
          <w:sz w:val="17"/>
          <w:szCs w:val="17"/>
          <w:i w:val="1"/>
          <w:iCs w:val="1"/>
          <w:color w:val="auto"/>
        </w:rPr>
        <w:t>Underwriting — Business Combination Marketing</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the extent that our capital stock is used in whole or in part as consideration to effect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business combination if the funds available to us outside of the trust account were insufficient to cover such expenses.</w:t>
      </w:r>
    </w:p>
    <w:p>
      <w:pPr>
        <w:spacing w:after="0" w:line="111"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believe that, upon consummation of this offering, the approximate $750,000 of net proceeds not held in the trust account, together with the interest earned on the trust account that is available to us, will be sufficient to allow us to operate for at least the next 18 months,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approximately:</w:t>
      </w:r>
    </w:p>
    <w:p>
      <w:pPr>
        <w:spacing w:after="0" w:line="84" w:lineRule="exact"/>
        <w:rPr>
          <w:sz w:val="20"/>
          <w:szCs w:val="20"/>
          <w:color w:val="auto"/>
        </w:rPr>
      </w:pPr>
    </w:p>
    <w:p>
      <w:pPr>
        <w:jc w:val="both"/>
        <w:ind w:left="1320" w:right="479" w:hanging="434"/>
        <w:spacing w:after="0" w:line="263" w:lineRule="auto"/>
        <w:tabs>
          <w:tab w:leader="none" w:pos="14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$240,000 of expenses for the search for target businesses and for the legal, accounting and other expenses attendant to the due diligence investigations, structuring and negotiating of a business combination;</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$180,000 of expenses in legal, audit, accounting and other fees relating to our SEC reporting obligations;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$180,000 for the payment of the administrative fee to an affiliate of our Chief Executive Officer (of $10,000 per month for up to 18 months);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$150,000 for general working capital that will be used for miscellaneous expenses.</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our estimates of the above costs are less than the actual costs,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subunits upon consummation of our initial business combination, in which case we may issue additional securities or incur debt in connection with such business combination. We do not have a maximum debt leverage ratio or a policy with respect to how much debt we may incur. The amount of debt we will be willing to incur will depend on the facts and circumstances of the proposed business combination and market conditions at the time of the potential business combination. At this time, we are not party to any arrangement or understanding with any third party with respect to raising additional funds through the sale of our securities or the incurrence of debt.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w:t>
      </w:r>
    </w:p>
    <w:p>
      <w:pPr>
        <w:spacing w:after="0" w:line="10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February 1, 2021, the sponsor funded to us $100,000 pursuant to the promissory note. On February 10, 2021, the sponsor funded to us an additional $25,000 pursuant to the promissory note, for an aggregate amount of $125,000. We intend to repay the loan from the proceeds of this offering not being placed in trust upon consummation of this offering.</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are obligated, commencing on the date of this prospectus, to pay SPAC Partners LLC, an affiliate of our Chief Executive Officer, a monthly fee of $10,000 for general and administrative services.</w:t>
      </w:r>
    </w:p>
    <w:p>
      <w:pPr>
        <w:spacing w:after="0" w:line="10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On January 13, 2021, we issued to EarlyBirdCapital and its designees an aggregate of 350,000 representative shares of common stock at $0.0001 per share. The holders of the representative shares have agreed (A) to vote the representative shares in favor of any proposed business combination, (B) not to convert representative shares in connection with a stockholder vote to approve a proposed initial business combination or sell the representative shares to us in a tender offer in connection with a proposed initial business combination and</w:t>
      </w:r>
    </w:p>
    <w:p>
      <w:pPr>
        <w:spacing w:after="0" w:line="2" w:lineRule="exact"/>
        <w:rPr>
          <w:sz w:val="20"/>
          <w:szCs w:val="20"/>
          <w:color w:val="auto"/>
        </w:rPr>
      </w:pPr>
    </w:p>
    <w:p>
      <w:pPr>
        <w:ind w:left="460" w:right="459" w:hanging="6"/>
        <w:spacing w:after="0" w:line="260" w:lineRule="auto"/>
        <w:tabs>
          <w:tab w:leader="none" w:pos="7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the representative shares will not participate in any liquidating distributions from our trust account upon winding up if a business combination is not consummated.</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EarlyBirdCapital is acting as representative of the underwriters in this offering and will be paid underwriting commissions equal to 2% of the gross proceeds of this offering. We will engage EarlyBirdCapital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in connection with our initial business combination, assist us in obtaining stockholder approval for the business combination and assist us with our press releases and public filings in connection with the business combination. We will pay EarlyBirdCapital a cash fee for such services upon the consummation of our initial business combination in an amount equal to 3.5% of the gross proceeds of this offering (exclusive of any applicable finders’ fees which might become payable); provided that up to 30% of the fee may be allocated at our sole discretion to other FINRA members that assist us in identifying or consummating an initial business combination.</w:t>
      </w:r>
    </w:p>
    <w:p>
      <w:pPr>
        <w:spacing w:after="0" w:line="10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2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consists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As of the date of this prospectus, we have not completed an assessment, nor have our auditors tested our systems, of internal controls. We expect to assess the internal controls of our target</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a business combination may have internal controls that need improvement in areas such as:</w:t>
      </w:r>
    </w:p>
    <w:p>
      <w:pPr>
        <w:spacing w:after="0" w:line="94" w:lineRule="exact"/>
        <w:rPr>
          <w:sz w:val="20"/>
          <w:szCs w:val="20"/>
          <w:color w:val="auto"/>
        </w:rPr>
      </w:pPr>
    </w:p>
    <w:p>
      <w:pPr>
        <w:ind w:left="1300" w:hanging="41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7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the date of this prospectus,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are a blank check company formed under the laws of the State of Delaware on September 15, 2020. We were formed for the purpose of entering into a merger, share exchange, asset acquisition, stock purchase, recapitalization, reorganization or other similar business combination with one or more businesses or entities, which we refer to as a “target business.” To date, our efforts have been limited to organizational activities as well as activities related to this offering. None of our officers, directors, promoters and other affiliates has engaged in any substantive discussions on our behalf with representatives of other companies regarding the possibility of a potential business combination with us. Our initial business combination and value creation strategy will be to identify, acquire and, after our initial business combination, assist in the growth of a technology business in the United States. Our focus will be on the artificial intelligence, cloud services and automotive technology sectors. However, we are not limited to the technology industry, or the named sectors, and we may pursue a business combination opportunity in any business or industry we choose and we may pursue a company with operations or opportunities outside of the United States.</w:t>
      </w:r>
    </w:p>
    <w:p>
      <w:pPr>
        <w:spacing w:after="0" w:line="100"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Our Chairman, Dr. Eric R. Ball, and special advisor, Mr. Brent Callinicos, both have long track records of senior management leadership in high growth technology companies. Within the technology industry, our initial focus will be on the artificial intelligence, cloud services and automotive technology sectors. Our management team possesses a strong understanding of the SPAC structure and market. Our Chief Executive Officer, Stephen N. Cannon, has served as a member of management for five SPACs that have completed initial public offerings, four of which have consummated a business combination.</w:t>
      </w:r>
    </w:p>
    <w:p>
      <w:pPr>
        <w:spacing w:after="0" w:line="11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Dr. Eric R Ball, our Chairman, is the founder and General Partner of Impact Venture Capital, or Impact VC. Impact VC is a Silicon Valley based venture firm investing in early-stage applied artificial intelligence startup companies since 2016. Previously Mr. Ball held several senior level management positions in high growth technology companies. He was the Chief Financial Officer for C3.AI from 2015 to 2016. Prior to that Dr. Ball spent over a decade with Oracle Corp, including acting as Senior Vice President &amp; Treasurer, and previously was a senior financial professional for Flextronics International, Cisco Systems, Avery Dennison, and AT&amp;T. Dr. Ball has served as advisor and board member of several technology companies, including currently serving as chairman of the audit committee for the board of Glu Mobile Inc.</w:t>
      </w:r>
    </w:p>
    <w:p>
      <w:pPr>
        <w:spacing w:after="0" w:line="97"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Mr. Brent Callinicos is our special advisor. Mr. Callinicos is currently an angel investor, active in investing in early-stage technology companies. Mr. Callinicos was formerly the Chief Operating Officer and Chief Financial Officer of Virgin Hyperloop One. Prior to that, Mr. Callinicos was the Chief Financial Officer of Uber Technologies Inc. Prior to that, Mr. Callinicos was the Vice President, Treasurer and Chief Accountant of Google Inc., now known as Alphabet Inc. Prior to that, Mr. Callinicos held several senior management roles at Microsoft, including as Treasurer, Vice President of Worldwide Licensing and Pricing, and CFO of the Platforms and Services Division. Mr. Callinicos has served as an advisor to several technology companies and currently sits on several boards.</w:t>
      </w:r>
    </w:p>
    <w:p>
      <w:pPr>
        <w:spacing w:after="0" w:line="12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Stephen N. Cannon, our Chief Executive Officer, has served as a member of management for five SPACs that have completed initial public offerings, four of which have consummated a business combination. The fifth SPAC, Ackrell SPAC Partners I Co., completed its IPO in December 2020 and is searching for target businesses with which to consummate a potential business combination with a focus on the branded fast-moving consumer goods industry.</w:t>
      </w:r>
    </w:p>
    <w:p>
      <w:pPr>
        <w:spacing w:after="0" w:line="12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Daniel L Sheehan, our Chief Operating Officer, and Long Long, our Chief Financial Officer, are also currently serving as members of the board and management, respectively, for Ackrell SPAC Partners I Co.</w:t>
      </w:r>
    </w:p>
    <w:p>
      <w:pPr>
        <w:spacing w:after="0" w:line="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Bryant B. Edwards, a director of ours, served as Chief Operating Officer and director for Twelve Seas Investment Co., a SPAC which successful closed its business combination in December 2019.</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While we may pursue a business combination target in any business, industry or geographical location, we intend to focus our search for businesses in the technology industry, and our focus will be on the artificial intelligence, cloud services and automotive technology sectors.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management team consists of seasoned professionals who have experience spanning the technology industry, including the sectors within the technology industry that we intend to focus on initially, mergers and acquisitions, corporate finance, corporate governance and compliance, legal and regulatory matters and investment management. See “</w:t>
      </w:r>
      <w:r>
        <w:rPr>
          <w:rFonts w:ascii="Arial" w:cs="Arial" w:eastAsia="Arial" w:hAnsi="Arial"/>
          <w:sz w:val="17"/>
          <w:szCs w:val="17"/>
          <w:i w:val="1"/>
          <w:iCs w:val="1"/>
          <w:color w:val="auto"/>
        </w:rPr>
        <w:t>Management</w:t>
      </w:r>
      <w:r>
        <w:rPr>
          <w:rFonts w:ascii="Arial" w:cs="Arial" w:eastAsia="Arial" w:hAnsi="Arial"/>
          <w:sz w:val="17"/>
          <w:szCs w:val="17"/>
          <w:color w:val="auto"/>
        </w:rPr>
        <w:t>” for additional information about our directors and executive officers. We believe that our officers’ and directors’ industry expertise, transaction experience and relationships may provide us with a substantial number of attractive potential business combination targets.</w:t>
      </w:r>
    </w:p>
    <w:p>
      <w:pPr>
        <w:spacing w:after="0" w:line="110"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The past performance of our management team or of their affiliates is not a guarantee either (i) that we will be able to identify a suitable candidate for our initial business combination or (ii) of success with respect to any business combination we may consummate. You should not rely on the historical record of our management team’s or their affiliates’ performance as indicative of our future performance.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believe that there are a range of target businesses that could benefit from our industry knowledge, relationships, capital and public vehicle. Our strategy is to identify and complete our initial business combination with a target operating in the technology industry. Our focus will be on the artificial intelligence, cloud services and automotive technology sectors. While we intend to initially focus on potential opportunities in the United States, the technology industry is global and we may pursue opportunities internationally.</w:t>
      </w:r>
    </w:p>
    <w:p>
      <w:pPr>
        <w:spacing w:after="0" w:line="8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Following the completion of this offering, our management team plans to identify and contact potential target businesses and start to evaluate and pursue a possible business combination. In addition, we will communicate the parameters of our search to our network of relationships and transaction sources to help us identify potential target businesses. We intend to leverage our team’s collective experience in the technology industry and capital markets to successfully complete a business combination, and then continue to support our target business with our industry relationships, insights and regulatory knowledge, financial expertise and capital resources.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we are well positioned to find and attract an exciting technology business, and to help them as a newly public company grow and thrive, offering a partnership that extends far beyond our capital. Our management team’s deep operational experience, product experience, extensive networks, and track records as investors, advisors, and board members make us an attractive partner.</w:t>
      </w:r>
    </w:p>
    <w:p>
      <w:pPr>
        <w:spacing w:after="0" w:line="10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are dedicated to finding bold founders, operators, and inventors who are committed to building a leading business and would benefit from access to the public markets as well as working with our team. We have a proven track record of success in the technology industry as senior executives, investors and board members and are confident that we can partner with other founders, shareholder and management to help support building a category-defining business. We believe we possess the following tools to drive value creation at a company:</w:t>
      </w:r>
    </w:p>
    <w:p>
      <w:pPr>
        <w:spacing w:after="0" w:line="7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b w:val="1"/>
          <w:bCs w:val="1"/>
          <w:color w:val="auto"/>
        </w:rPr>
        <w:t xml:space="preserve">Experience recognizing key technology trends: </w:t>
      </w:r>
      <w:r>
        <w:rPr>
          <w:rFonts w:ascii="Arial" w:cs="Arial" w:eastAsia="Arial" w:hAnsi="Arial"/>
          <w:sz w:val="17"/>
          <w:szCs w:val="17"/>
          <w:color w:val="auto"/>
        </w:rPr>
        <w:t>Our team has demonstrated a long history of managing and</w:t>
      </w:r>
      <w:r>
        <w:rPr>
          <w:rFonts w:ascii="Arial" w:cs="Arial" w:eastAsia="Arial" w:hAnsi="Arial"/>
          <w:sz w:val="17"/>
          <w:szCs w:val="17"/>
          <w:b w:val="1"/>
          <w:bCs w:val="1"/>
          <w:color w:val="auto"/>
        </w:rPr>
        <w:t xml:space="preserve"> </w:t>
      </w:r>
      <w:r>
        <w:rPr>
          <w:rFonts w:ascii="Arial" w:cs="Arial" w:eastAsia="Arial" w:hAnsi="Arial"/>
          <w:sz w:val="17"/>
          <w:szCs w:val="17"/>
          <w:color w:val="auto"/>
        </w:rPr>
        <w:t>growing businesses at the epicenter of major technology trends. More recently, certain team members have been active in identifying and investing, at earlier stages, in companies focus on the next big trend, such as artificial intelligence, cloud services and automotive technology. For the technology industry especially, history has shown that small early stage companies, of even just five years ago, are often among the most exciting group of companies seeking a public listing in the near future. We believe our recent activity in identifying investment opportunities in early stage companies in key technology trends, is an advantage when combined with our track record of managing and growing successful public technology companies, and unique in our ability to identify and successful secure an initial business combination.</w:t>
      </w:r>
    </w:p>
    <w:p>
      <w:pPr>
        <w:spacing w:after="0" w:line="106" w:lineRule="exact"/>
        <w:rPr>
          <w:sz w:val="20"/>
          <w:szCs w:val="20"/>
          <w:color w:val="auto"/>
        </w:rPr>
      </w:pPr>
    </w:p>
    <w:p>
      <w:pPr>
        <w:jc w:val="both"/>
        <w:ind w:left="460" w:right="459"/>
        <w:spacing w:after="0" w:line="281" w:lineRule="auto"/>
        <w:rPr>
          <w:sz w:val="20"/>
          <w:szCs w:val="20"/>
          <w:color w:val="auto"/>
        </w:rPr>
      </w:pPr>
      <w:r>
        <w:rPr>
          <w:rFonts w:ascii="Arial" w:cs="Arial" w:eastAsia="Arial" w:hAnsi="Arial"/>
          <w:sz w:val="17"/>
          <w:szCs w:val="17"/>
          <w:b w:val="1"/>
          <w:bCs w:val="1"/>
          <w:color w:val="auto"/>
        </w:rPr>
        <w:t xml:space="preserve">Experience identifying strong management teams: </w:t>
      </w:r>
      <w:r>
        <w:rPr>
          <w:rFonts w:ascii="Arial" w:cs="Arial" w:eastAsia="Arial" w:hAnsi="Arial"/>
          <w:sz w:val="17"/>
          <w:szCs w:val="17"/>
          <w:color w:val="auto"/>
        </w:rPr>
        <w:t>With key members of our team having had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senior executive roles at key technology companies, we believe we have an ability to identify the characteristics of successful business leaders, and effective in engaging with these management teams. In addition, key members of our team have more recently been investing in many founder led businesses.</w:t>
      </w:r>
    </w:p>
    <w:p>
      <w:pPr>
        <w:spacing w:after="0" w:line="97"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 xml:space="preserve">History of operating experience: </w:t>
      </w:r>
      <w:r>
        <w:rPr>
          <w:rFonts w:ascii="Arial" w:cs="Arial" w:eastAsia="Arial" w:hAnsi="Arial"/>
          <w:sz w:val="18"/>
          <w:szCs w:val="18"/>
          <w:color w:val="auto"/>
        </w:rPr>
        <w:t>The members of our team are seasoned operators having held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level roles in various companies. We have experience in developing and executing strategy, building and retaining teams, and executing business combinations among other activities.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56" w:lineRule="auto"/>
        <w:rPr>
          <w:sz w:val="20"/>
          <w:szCs w:val="20"/>
          <w:color w:val="auto"/>
        </w:rPr>
      </w:pPr>
      <w:r>
        <w:rPr>
          <w:rFonts w:ascii="Arial" w:cs="Arial" w:eastAsia="Arial" w:hAnsi="Arial"/>
          <w:sz w:val="18"/>
          <w:szCs w:val="18"/>
          <w:b w:val="1"/>
          <w:bCs w:val="1"/>
          <w:color w:val="auto"/>
        </w:rPr>
        <w:t xml:space="preserve">Deep network and connections to company founders: </w:t>
      </w:r>
      <w:r>
        <w:rPr>
          <w:rFonts w:ascii="Arial" w:cs="Arial" w:eastAsia="Arial" w:hAnsi="Arial"/>
          <w:sz w:val="18"/>
          <w:szCs w:val="18"/>
          <w:color w:val="auto"/>
        </w:rPr>
        <w:t>Our team has numerous existing connections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founders and business leaders across sectors within the technology industry. We have invested in many companies, served on many boards and have worked with many influential founders and senior management teams within the technology industry, and specifically the sectors we intend to initially focus on. We believe our network and our connections will assist in the successful selection of our initial business combination and subsequent guidance of the company.</w:t>
      </w:r>
    </w:p>
    <w:p>
      <w:pPr>
        <w:spacing w:after="0" w:line="12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b w:val="1"/>
          <w:bCs w:val="1"/>
          <w:color w:val="auto"/>
        </w:rPr>
        <w:t xml:space="preserve">Significant Prior SPAC Experience: </w:t>
      </w:r>
      <w:r>
        <w:rPr>
          <w:rFonts w:ascii="Arial" w:cs="Arial" w:eastAsia="Arial" w:hAnsi="Arial"/>
          <w:sz w:val="16"/>
          <w:szCs w:val="16"/>
          <w:color w:val="auto"/>
        </w:rPr>
        <w:t>Our management team possesses a strong understanding of the SPAC</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 and market. Our CEO, Stephen N. Cannon, has served as a member of management for five SPACs that have completed initial public offerings, four of which have consummated business combinations. In the case of his most recent SPAC merger, Twelve Seas Investment Co, the common shares are currently trading approximately five percent above its SPAC IPO price. However, the stock price performance of Mr. Cannon’s prior SPACs has not always been positive for investors. For example, the common shares of the three other SPACs that previously consummated business combinations are currently trading below $10.00 per share. Further, Mr. Cannon’s other SPAC never consummated its IPO due to market conditions.</w:t>
      </w:r>
    </w:p>
    <w:p>
      <w:pPr>
        <w:spacing w:after="0" w:line="9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Following the completion of this offering, we will communicate with our founding team’s network, which includes private equity firms, venture capitalists, entrepreneurs and business leaders, to articulate the parameters for our search for a partner company and a potential business combination and to begin the process of pursuing and reviewing potential opportunities.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4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intend to leverage the extensive network and experience of our management team in identifying a suitable target within the technology industry and structuring a business combination that is attractive to both the target and our public stockholders. We have identified the following general criteria and guidelines that we believe are important in evaluating prospective target businesses. While we intend to use these criteria and guidelines in evaluating prospective businesses, we may deviate from these criteria and guidelines should we see fit to do so:</w:t>
      </w:r>
    </w:p>
    <w:p>
      <w:pPr>
        <w:spacing w:after="0" w:line="9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b w:val="1"/>
          <w:bCs w:val="1"/>
          <w:i w:val="1"/>
          <w:iCs w:val="1"/>
          <w:color w:val="auto"/>
        </w:rPr>
        <w:t xml:space="preserve">Clear and Sustainable Competitive Advantages: </w:t>
      </w:r>
      <w:r>
        <w:rPr>
          <w:rFonts w:ascii="Arial" w:cs="Arial" w:eastAsia="Arial" w:hAnsi="Arial"/>
          <w:sz w:val="16"/>
          <w:szCs w:val="16"/>
          <w:color w:val="auto"/>
        </w:rPr>
        <w:t>We intend to target businesses that differentiate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themselves from their peers in ways that are difficult to replicate and have clear competitive advantages. Members of our team have accomplished track records of founding, operating, and investing in the technology industry and intend to focus on prospective businesses that engage with technology to serve customers in novel and transformational manner. We believe our team’s expertise and understanding of innovative businesses will be paramount in identifying and assessing initial business combination candidates.</w:t>
      </w:r>
    </w:p>
    <w:p>
      <w:pPr>
        <w:spacing w:after="0" w:line="9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High Growth Potential: </w:t>
      </w:r>
      <w:r>
        <w:rPr>
          <w:rFonts w:ascii="Arial" w:cs="Arial" w:eastAsia="Arial" w:hAnsi="Arial"/>
          <w:sz w:val="18"/>
          <w:szCs w:val="18"/>
          <w:color w:val="auto"/>
        </w:rPr>
        <w:t>We intend to seek businesses that are well positioned to grow in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markets and which have clear plans on how to leverage additional capital to accelerate growth. We expect to target businesses that have had, or expect to have, strong cash flow generation. We believe that our team’s collective experiences engaging with innovative businesses positions us well to identify, nurture, and expand high potential businesses.</w:t>
      </w:r>
    </w:p>
    <w:p>
      <w:pPr>
        <w:spacing w:after="0" w:line="107"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b w:val="1"/>
          <w:bCs w:val="1"/>
          <w:i w:val="1"/>
          <w:iCs w:val="1"/>
          <w:color w:val="auto"/>
        </w:rPr>
        <w:t xml:space="preserve">Experienced Management Teams: </w:t>
      </w:r>
      <w:r>
        <w:rPr>
          <w:rFonts w:ascii="Arial" w:cs="Arial" w:eastAsia="Arial" w:hAnsi="Arial"/>
          <w:sz w:val="16"/>
          <w:szCs w:val="16"/>
          <w:color w:val="auto"/>
        </w:rPr>
        <w:t>We intend to seek to target businesses that have strong, experienced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dynamic management teams, many of whom will be founders of the businesses, but whom we believe may benefit from our financial, managerial and investment expertise as well as our extensive industry networks and insights. We believe that identifying such management teams is particularly important given our target industry.</w:t>
      </w:r>
    </w:p>
    <w:p>
      <w:pPr>
        <w:spacing w:after="0" w:line="90"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b w:val="1"/>
          <w:bCs w:val="1"/>
          <w:i w:val="1"/>
          <w:iCs w:val="1"/>
          <w:color w:val="auto"/>
        </w:rPr>
        <w:t xml:space="preserve">Attractive Valuations: </w:t>
      </w:r>
      <w:r>
        <w:rPr>
          <w:rFonts w:ascii="Arial" w:cs="Arial" w:eastAsia="Arial" w:hAnsi="Arial"/>
          <w:sz w:val="18"/>
          <w:szCs w:val="18"/>
          <w:color w:val="auto"/>
        </w:rPr>
        <w:t>We intend to only evaluate a business that, based on our due diligence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represents an attractive valuation relative to publicly listed companies with similar characteristics or in similar industry segments. We intend to seek businesses in which we believe we can add operational value through mentorship of management, knowledge of operating challenges, experience with industry dynamics, expertise in navigating public markets, and strategic relationships with investors, among others.</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Will Benefit from Being a Public Company: </w:t>
      </w:r>
      <w:r>
        <w:rPr>
          <w:rFonts w:ascii="Arial" w:cs="Arial" w:eastAsia="Arial" w:hAnsi="Arial"/>
          <w:sz w:val="18"/>
          <w:szCs w:val="18"/>
          <w:color w:val="auto"/>
        </w:rPr>
        <w:t>We intend to pursue a business that will benefit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a public company, including potentially having broader access to capital and a public currency for acquisitions.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a business combination which has not yet been identified. Accordingly, investors in this offering are investing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Not Identified a Target Business</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To date, we have not selected any target business on which to concentrate our search for a business combination. None of our sponsor, officers, directors, promoters and other affiliates has engaged in any substantive discussions on our behalf with representatives of other companies regarding the possibility of a potential merger, capital stock exchange, asset acquisition or other similar business combination with us. Additionally, we have not engaged or retained any agent or other representative to identify or locate such companies. Finally, we have not contacted any of the prospective target businesses that Ackrell SPAC Partners I Co. or Twelve Seas Investment Company had considered and rejected. We do not currently intend to contact any of such targets; however, we may do so if we become aware that the valuations, operations, profits or prospects of such target business, or the benefits of any potential transaction with such target business, would be attractive. As a result, we cannot assure you that we will be able to locate a target business or that we will be able to engage in a business combination with a target business on favorable terms or at all.</w:t>
      </w:r>
    </w:p>
    <w:p>
      <w:pPr>
        <w:spacing w:after="0" w:line="9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Subject to our management team’s pre-existing fiduciary obligations and the fair market value requirement described below, we will have virtually unrestricted flexibility in identifying and selecting a prospective acquisition candidate. We have not established any specific attributes or criteria (financial or otherwise) for prospective target businesses other than as described above. Accordingly, there is no basis for investors in this offering to evaluate the possible merits or risks of the target business with which we may ultimately complete a business combination. Although our management will endeavor to evaluate the risks inherent in a particular target business, we cannot assure you that we will properly ascertain or assess all significant risk factors.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5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While we have not yet selected a target business with which to consummate our initial business combination, we believe based on our management’s business knowledge and past experience that there are numerous potential candidates. We expect that our principal means of identifying potential target businesses will be through the extensive contacts and relationships of our sponsor, initial stockholders, officers and directors and their affiliates. While our officers and directors are not required to commit any specific amount of time in identifying or performing due diligence on potential target businesses, our officers and directors believe that the relationships they have developed over their careers and their access to our sponsor’s contacts and resources will generate a number of potential business combination opportunities that will warrant further investigation. We also anticipate that target business candidates will be brought to our attention from various unaffiliated sources, including investment bankers, venture capital funds, private equity funds, leveraged</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w:t>
      </w:r>
    </w:p>
    <w:p>
      <w:pPr>
        <w:spacing w:after="0" w:line="12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officers and directors must present to us all target business opportunities that have a fair market value of at least 80% of the assets held in the trust account (excluding taxes payable on the income accrued in the trust account)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In addition, we may pay consulting, success or finder fees to our sponsor, officers, directors, initial stockholders or their affiliates in connection with the consummation of our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04"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We have no present intention to enter into a business combination with a target business that is affiliated with any of our officers, directors or sponsor. However, we are not restricted from entering into any such transactions and may do so if (i) such transaction is approved by a majority of our disinterested independent directors and</w:t>
      </w:r>
    </w:p>
    <w:p>
      <w:pPr>
        <w:spacing w:after="0" w:line="2" w:lineRule="exact"/>
        <w:rPr>
          <w:sz w:val="20"/>
          <w:szCs w:val="20"/>
          <w:color w:val="auto"/>
        </w:rPr>
      </w:pPr>
    </w:p>
    <w:p>
      <w:pPr>
        <w:jc w:val="both"/>
        <w:ind w:left="460" w:right="459" w:hanging="6"/>
        <w:spacing w:after="0" w:line="255" w:lineRule="auto"/>
        <w:tabs>
          <w:tab w:leader="none" w:pos="7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obtain an opinion from an independent investment banking firm, or another independent entity that commonly renders valuation opinions, that the business combination is fair to our unaffiliated stockholders from a financial point of view.</w:t>
      </w:r>
    </w:p>
    <w:p>
      <w:pPr>
        <w:spacing w:after="0" w:line="10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Unlike other blank check company offerings, we have structured our offering to be an offering of units that consist of one subunit (consisting of one share of common stock and one-quarter of a warrant) and one-quarter of a warrant. We have structured our offering in this fashion for two primary reasons:</w:t>
      </w:r>
    </w:p>
    <w:p>
      <w:pPr>
        <w:spacing w:after="0" w:line="116" w:lineRule="exact"/>
        <w:rPr>
          <w:sz w:val="20"/>
          <w:szCs w:val="20"/>
          <w:color w:val="auto"/>
        </w:rPr>
      </w:pPr>
    </w:p>
    <w:p>
      <w:pPr>
        <w:jc w:val="both"/>
        <w:ind w:left="1320" w:right="459" w:hanging="434"/>
        <w:spacing w:after="0" w:line="255" w:lineRule="auto"/>
        <w:tabs>
          <w:tab w:leader="none" w:pos="15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24" w:lineRule="exact"/>
        <w:rPr>
          <w:rFonts w:ascii="Arial" w:cs="Arial" w:eastAsia="Arial" w:hAnsi="Arial"/>
          <w:sz w:val="18"/>
          <w:szCs w:val="18"/>
          <w:color w:val="auto"/>
        </w:rPr>
      </w:pPr>
    </w:p>
    <w:p>
      <w:pPr>
        <w:jc w:val="both"/>
        <w:ind w:left="1320" w:right="459" w:hanging="434"/>
        <w:spacing w:after="0" w:line="275" w:lineRule="auto"/>
        <w:tabs>
          <w:tab w:leader="none" w:pos="143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95"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58"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Subject to our management team’s pre-existing fiduciary obligations and the limitations that a target business have a fair market value of at least 80% of the balance in the trust account (excluding the taxes payable on the interest earned on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2" w:name="page63"/>
    <w:bookmarkEnd w:id="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Nasdaq listing rules require that the target business or businesses that we acquire must collectively have a fair market value equal to at least 80% of the balance of the funds in the trust account (excluding the taxes payable on the interest earned on the trust account)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0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currently anticipate structuring a business combination to acquire 100% of the equity interests or assets of the target business or businesses. We may, however, structure our initial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w:t>
      </w:r>
    </w:p>
    <w:p>
      <w:pPr>
        <w:spacing w:after="0" w:line="10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with respect to the satisfaction of such criteria. Additionally, pursuant to Nasdaq rules, any initial business combination must be approved by a majority of our independent directors.</w:t>
      </w:r>
    </w:p>
    <w:p>
      <w:pPr>
        <w:spacing w:after="0" w:line="100"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We will not be required to obtain an opinion from an investment banking firm as to the fair market value if our board of directors independently determines that the target business complies with the 80% threshold.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Although this process may entail the simultaneous acquisitions of several operating businesses and we may seek to effect a business combination with more than one target business, we expect to complete our business combination with a single business.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11" w:lineRule="exact"/>
        <w:rPr>
          <w:sz w:val="20"/>
          <w:szCs w:val="20"/>
          <w:color w:val="auto"/>
        </w:rPr>
      </w:pPr>
    </w:p>
    <w:p>
      <w:pPr>
        <w:jc w:val="both"/>
        <w:ind w:left="1320" w:right="459" w:hanging="434"/>
        <w:spacing w:after="0" w:line="263" w:lineRule="auto"/>
        <w:tabs>
          <w:tab w:leader="none" w:pos="14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spacing w:after="0" w:line="102" w:lineRule="exact"/>
        <w:rPr>
          <w:rFonts w:ascii="Arial" w:cs="Arial" w:eastAsia="Arial" w:hAnsi="Arial"/>
          <w:sz w:val="18"/>
          <w:szCs w:val="18"/>
          <w:color w:val="auto"/>
        </w:rPr>
      </w:pPr>
    </w:p>
    <w:p>
      <w:pPr>
        <w:ind w:left="1320" w:right="479" w:hanging="434"/>
        <w:spacing w:after="0" w:line="342" w:lineRule="auto"/>
        <w:tabs>
          <w:tab w:leader="none" w:pos="1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result in our dependency upon the performance of a single operating business or the development or market acceptance of a single or limited number of products, processes or services.</w:t>
      </w:r>
    </w:p>
    <w:p>
      <w:pPr>
        <w:spacing w:after="0" w:line="5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If we determine to simultaneously acquire several businesses and such businesses are owned by different sellers, we will need for each of such sellers to agree that our purchase of its business is contingent on the simultaneous closings of the other acquisitions, which may make it more difficult for us, and delay our ability, to complete the business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combination. With multiple acquisitions,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 Business’ Management</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Although we intend to scrutinize the management of a prospective target business when evaluating the desirability of effecting a business combination, we cannot assure you that our assessment of the target business’ management will prove to be correct. In addition, we cannot assure you that the future management will have the necessary skills, qualifications or abilities to manage a public company. Furthermore, the future role of our officers and directors, if any, in the target business following a business combination cannot presently be stated with any certainty. While it is possible that some of our key personnel will remain associated in senior management or advisory positions with us following a business combination, it is unlikely that they will devote their full 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10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proposed business combination, we will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 (2) 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all of his, her or its subunits rather than some pro rata portion of his, her or its subunits. The decision as to whether we will seek stockholder approval of a proposed business combination or will allow stockholders to sell their subunits to us in a tender offer will be made by us, solely in our discretion, and will be based on a variety of factors such as the timing of the transaction and whether the terms of the transaction would otherwise require us to seek stockholder approval. If we decide to allow our stockholders to sell their subunits to us in a tender offer,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2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either immediately prior to or upon consummation and this may force us to seek third party financing which may not be available on terms acceptable to us or at all. As a</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4" w:name="page65"/>
    <w:bookmarkEnd w:id="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result, we may not be able to consummate such initial business combination and we may not be able to locate another suitable target within the applicable time period, if at all. Public stockholders may therefore have to wait 18 months in order to be able to receive a pro rata share of the trust account.</w:t>
      </w:r>
    </w:p>
    <w:p>
      <w:pPr>
        <w:spacing w:after="0" w:line="116"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Our sponsor, initial stockholders, officers and directors have agreed (1) to vote any shares of common stock owned by them in favor of any proposed business combination, (2) not to convert any founder shares or subunits in connection with a stockholder vote to approve a proposed initial business combination and (3) not sell any founder shares of subunits in any tender in connection with a proposed initial business combination.</w:t>
      </w:r>
    </w:p>
    <w:p>
      <w:pPr>
        <w:spacing w:after="0" w:line="9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None of our officers, directors, sponsor, initial stockholders or their affiliates has indicated any intention to purchase units, subunits or warrants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sponsor, initial stockholders or their affiliates could make such purchases in the open market or in private transactions in order to influence the vote. Notwithstanding the foregoing, our officers, directors, sponsor, initial stockholders and their affiliates will not make purchases of units, subunits or warrants if the purchases would violate Section 9(a)(2) or Rule 10b-5 of the Exchange Act, which are rules designed to stop potential manipulation of a company’s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any meeting called to approve an initial business combination, public stockholders may seek to convert their subunits, regardless of whether they vote for or against the proposed business combination or do not vote at all, into their pro rata share of the aggregate amount then on deposit in the trust account as of two business days prior to the consummation of the initial business combination, less any taxes then due but not yet paid. Alternatively, we may provide our public stockholders with the opportunity to sell their subunits to us through a tender offer (and thereby avoid the need for a stockholder vote) for an amount equal to their pro rata share of the aggregate amount then on deposit in the trust account, less any taxes then due but not yet paid.</w:t>
      </w:r>
    </w:p>
    <w:p>
      <w:pPr>
        <w:spacing w:after="0" w:line="9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Our sponsor, initial stockholders and our officers and directors will not have conversion rights with respect to any founder shares or subunits owned by them, directly or indirectly, whether acquired prior to this offering or purchased by them in this offering or in the aftermarket. Additionally, the holders of the representative shares will not have conversion rights with respect to the representative shares.</w:t>
      </w:r>
    </w:p>
    <w:p>
      <w:pPr>
        <w:spacing w:after="0" w:line="104"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color w:val="auto"/>
        </w:rPr>
        <w:t>Furthermore, public stockholders who redeem or tender their subunits for their pro rata share of the trust account will continue to have the right to exercise any warrants held by them which are not included in a subunit, but will automatically forfeit the warrants included in the redeemed subunits. This is different than other similarly structured blank check companies where a redeeming or tendering stockholder is able to keep any warrants he may still hold, whether included in a unit or held separately. Common stock alone will not be entitled to receive the redemption amount. Accordingly, investors may have a disincentive to exercise the redemption rights because they will automatically forfeit, without the receipt of any additional consideration, the portion of the warrant included in the subunit.</w:t>
      </w:r>
    </w:p>
    <w:p>
      <w:pPr>
        <w:spacing w:after="0" w:line="97"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We may require public holders of subunits, whether they are a record holder or hold their subunits in “street name,” to either (i) tender their certificates to our transfer agent or (ii) deliver their subunits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20"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subunits or delivering them through the DWAC System. The transfer agent will typically charge the tendering broker $45.00 and it would be up to the broker whether or not to pass this cost on to the holder. However, this fee would be incurred regardless of whether or not we require holders seeking to exercise conversion rights. The need to deliver subunits is a requirement of exercising conversion rights regardless of the timing of when such delivery must be effectuated. However, in the event we require stockholders seeking to exercise conversion rights prior to the consummation of the proposed business combination and the proposed business combination is not consummated this may result in an increased cost to stockholders.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7"/>
          <w:szCs w:val="17"/>
          <w:i w:val="1"/>
          <w:iCs w:val="1"/>
          <w:color w:val="auto"/>
        </w:rPr>
        <w:t>In connection with any stockholder meeting called to approve a proposed initial business combination, we may</w:t>
      </w:r>
      <w:r>
        <w:rPr>
          <w:rFonts w:ascii="Arial" w:cs="Arial" w:eastAsia="Arial" w:hAnsi="Arial"/>
          <w:sz w:val="17"/>
          <w:szCs w:val="17"/>
          <w:color w:val="auto"/>
        </w:rPr>
        <w:t xml:space="preserve"> </w:t>
      </w:r>
      <w:r>
        <w:rPr>
          <w:rFonts w:ascii="Arial" w:cs="Arial" w:eastAsia="Arial" w:hAnsi="Arial"/>
          <w:sz w:val="17"/>
          <w:szCs w:val="17"/>
          <w:i w:val="1"/>
          <w:iCs w:val="1"/>
          <w:color w:val="auto"/>
        </w:rPr>
        <w:t>require stockholders who wish to convert their subunits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7"/>
          <w:szCs w:val="17"/>
          <w:color w:val="auto"/>
        </w:rPr>
        <w:t>” for further information on the risks of failing</w:t>
      </w:r>
      <w:r>
        <w:rPr>
          <w:rFonts w:ascii="Arial" w:cs="Arial" w:eastAsia="Arial" w:hAnsi="Arial"/>
          <w:sz w:val="17"/>
          <w:szCs w:val="17"/>
          <w:i w:val="1"/>
          <w:iCs w:val="1"/>
          <w:color w:val="auto"/>
        </w:rPr>
        <w:t xml:space="preserve"> </w:t>
      </w:r>
      <w:r>
        <w:rPr>
          <w:rFonts w:ascii="Arial" w:cs="Arial" w:eastAsia="Arial" w:hAnsi="Arial"/>
          <w:sz w:val="17"/>
          <w:szCs w:val="17"/>
          <w:color w:val="auto"/>
        </w:rPr>
        <w:t>to comply with these requirements.</w:t>
      </w:r>
    </w:p>
    <w:p>
      <w:pPr>
        <w:spacing w:after="0" w:line="117"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Any request to convert such subunits once made, may be withdrawn at any time up to the vote on the proposed business combination or the expiration of the tender offer. Furthermore, if a holder of a public subunit delivered his certificate in connection with an election of their conversion and subsequently decides prior to the applicable date not to elect to exercise such rights, he may simply request that the transfer agent return the certificate (physically or electronically).</w:t>
      </w:r>
    </w:p>
    <w:p>
      <w:pPr>
        <w:spacing w:after="0" w:line="12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If the initial business combination is not approved or completed for any reason, then our public stockholders who elected to exercise their conversion rights would not be entitled to convert their subunits for the applicable pro rata share of the trust account as of two business days prior to the consummation of the initial business combination. In such case, we will promptly return any subunits delivered by public 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if No Business Combination</w:t>
      </w:r>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amended and restated certificate of incorporation provides that we will have only 18 months to complete an initial business combination from the closing of this offering. If we have not completed an initial business combination by such date, we will (i) cease all operations except for the purpose of winding up and (ii) as promptly as reasonably possible but not more than ten business days thereafter, redeem 100% of the outstanding public subunits, at a per-share price, payable in cash, equal to the aggregate amount then on deposit in the trust account, including any interest not previously released to us but net of taxes payable, divided by the number of then outstanding public subunits, which redemption will completely extinguish public stockholders’ rights as stockholders (including the right to receive further liquidation distributions, if any), subject to applicable law. Public stockholders will also forfeit the one-quarter of a warrant included in the subunits being redeemed. As promptly as reasonably possible following such redemption, subject to the approval of our remaining stockholders and our board of directors, we will dissolve and liquidate, subject to our obligations under Delaware law to provide for claims of creditors and the requirements of other applicable law.</w:t>
      </w:r>
    </w:p>
    <w:p>
      <w:pPr>
        <w:spacing w:after="0" w:line="100"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Our sponsor, initial stockholders, officers and directors have agreed that they will not propose any amendment to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unless we provide our public stockholders with the opportunity to convert their subunits upon such approval at a per-subunit price, payable in cash, equal to the aggregate amount then on deposit in the trust account, including interest not previously released to us but net of franchise and income taxes payable, divided by the number of then outstanding public subunits. This redemption right shall apply in the event of the approval of any such amendment, whether proposed by our sponsor, initial stockholders, executive officers, directors or any other person.</w:t>
      </w:r>
    </w:p>
    <w:p>
      <w:pPr>
        <w:spacing w:after="0" w:line="10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subunits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subunit as soon as reasonably possible following our 18</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1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subunits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1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11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are required to seek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will not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subunit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our sponsor entered into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this offering against certain liabilities, including liabilities under the Securities Act. As a result, if we liquidate, the per-subunit distribution from the trust account could be less than $10.00 due to claims or potential claims of creditors.</w:t>
      </w:r>
    </w:p>
    <w:p>
      <w:pPr>
        <w:spacing w:after="0" w:line="32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anticipate notifying the trustee of the trust account to begin liquidating such assets promptly after the 18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month and anticipate it will take no more than 10 business days to effectuate such distribution. The holders of the founder shares and private subunits have waived their rights to participate in any liquidation distribution from the trust account with respect to such shares and subunits.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$15,000) and has contractually agreed not to seek repayment for such expenses.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are unable to complete an initial business combination and expend all of the net proceeds of this offering, other than the proceeds deposited in the trust account, and without taking into account interest, if any, earned on the trust account, the initial per-subunit redemption price would be $10.00. The proceeds deposited in the trust account could, however, become subject to claims of our creditors that are in preference to the claims of public stockholders.</w:t>
      </w:r>
    </w:p>
    <w:p>
      <w:pPr>
        <w:spacing w:after="0" w:line="12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a business combination within the required time period, if the stockholders seek to have us convert or purchase their respective subunits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2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subunit.</w:t>
      </w:r>
    </w:p>
    <w:p>
      <w:pPr>
        <w:spacing w:after="0" w:line="10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18 months from the closing of this offering,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amended and restated certificate of incorporation contains certain requirements and restrictions relating to this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convert or sell their subunits to us in connection with a business combination as described herein or affect the substance or timing of our obligation to redeem 100% of our public subunits if we do not complete a business combination within 18 months from the closing of this offering, we will provide dissenting public stockholders with the opportunity to convert their public subunits in connection with any such vote. This conversion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 shares, private subunits, private shares and any public subunits they may hold in connection with any vote to amend our amended and restated certificate of incorporation. Specifically, our amended and restated certificate of incorporation provides, among other things, that:</w:t>
      </w:r>
    </w:p>
    <w:p>
      <w:pPr>
        <w:spacing w:after="0" w:line="117" w:lineRule="exact"/>
        <w:rPr>
          <w:sz w:val="20"/>
          <w:szCs w:val="20"/>
          <w:color w:val="auto"/>
        </w:rPr>
      </w:pPr>
    </w:p>
    <w:p>
      <w:pPr>
        <w:jc w:val="both"/>
        <w:ind w:left="1320" w:right="459" w:hanging="434"/>
        <w:spacing w:after="0" w:line="286" w:lineRule="auto"/>
        <w:tabs>
          <w:tab w:leader="none" w:pos="13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shall either (1) seek stockholder approval of our initial business combination at a meeting called for such purpose at which stockholders may seek to convert their subunits, regardless of whether they vote for or against the proposed business combination or do not vote at all, into their pro rata share of the aggregate amount then on deposit in the trust account (net of taxes payable), or</w:t>
      </w:r>
    </w:p>
    <w:p>
      <w:pPr>
        <w:spacing w:after="0" w:line="1" w:lineRule="exact"/>
        <w:rPr>
          <w:rFonts w:ascii="Arial" w:cs="Arial" w:eastAsia="Arial" w:hAnsi="Arial"/>
          <w:sz w:val="16"/>
          <w:szCs w:val="16"/>
          <w:color w:val="auto"/>
        </w:rPr>
      </w:pPr>
    </w:p>
    <w:p>
      <w:pPr>
        <w:jc w:val="both"/>
        <w:ind w:left="1320" w:right="459" w:hanging="2"/>
        <w:spacing w:after="0" w:line="253" w:lineRule="auto"/>
        <w:tabs>
          <w:tab w:leader="none" w:pos="15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provide our stockholders with the opportunity to sell their subunits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9" w:lineRule="auto"/>
        <w:tabs>
          <w:tab w:leader="none" w:pos="13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if we seek stockholder approval, a majority of the outstanding shares of common stock voted are voted in favor of the business combination;</w:t>
      </w:r>
    </w:p>
    <w:p>
      <w:pPr>
        <w:spacing w:after="0" w:line="119" w:lineRule="exact"/>
        <w:rPr>
          <w:rFonts w:ascii="Arial" w:cs="Arial" w:eastAsia="Arial" w:hAnsi="Arial"/>
          <w:sz w:val="18"/>
          <w:szCs w:val="18"/>
          <w:color w:val="auto"/>
        </w:rPr>
      </w:pPr>
    </w:p>
    <w:p>
      <w:pPr>
        <w:jc w:val="both"/>
        <w:ind w:left="1320" w:right="459" w:hanging="434"/>
        <w:spacing w:after="0" w:line="263" w:lineRule="auto"/>
        <w:tabs>
          <w:tab w:leader="none" w:pos="14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months from the closing of this offering, then we will redeem all of the outstanding public subunits and thereafter liquidate and dissolve our company;</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consummation of this offering, $100.0 million, or $115.0 million if the over-allotment option is exercised in full, shall be placed into the trust account;</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stock that participates in any manner in the proceeds of the trust account, or that votes as a class with the common stock sold in this offering on an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that there may be numerous potential target businesses that we could acquire with the net proceeds of this offering, our ability to compete in acquiring certain sizable target businesses may be limited by our available financial resources.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58" w:lineRule="exact"/>
        <w:rPr>
          <w:sz w:val="20"/>
          <w:szCs w:val="20"/>
          <w:color w:val="auto"/>
        </w:rPr>
      </w:pPr>
    </w:p>
    <w:p>
      <w:pPr>
        <w:ind w:left="1320" w:right="459" w:hanging="434"/>
        <w:spacing w:after="0" w:line="277" w:lineRule="auto"/>
        <w:tabs>
          <w:tab w:leader="none" w:pos="13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obligation to seek stockholder approval of a business combination or engage in a tender offer may delay the completion of a transaction;</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obligation to convert or repurchase subunits held by our public stockholders may reduce the resources available to us for a business combination;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outstanding warrants, and the potential future dilution they represent.</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12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currently maintain our principal executive offices at 2093 Philadelphia Pike #1968, Claymont, DE 19703. The cost for this space is included in the $10,000 per-month fee SPAC Partners LLC, an affiliate of our Chief Executive Officer, will charge us for general and administrative services commencing on the date of this prospectus pursuant to a letter agreement between us and our sponsor. We believe that the fee charged by such party is at least as favorable as we could have obtained from an unaffiliated person. We consider our current office space, combined with the other office space otherwise available to our executive officers, adequate for our current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have three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acquire has been located, management may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 time employees prior to the consummation of a business combination.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6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have registered our units, subunits,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0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generally accepted accounting principles or international financial reporting standards.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1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may be required to have our internal control procedures audited for the fiscal year ending December 31, 2022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have net tangible assets in excess of $5,000,000 upon the successful consummation of this offering and will file a Current Report on Form 8-K, including an audited balance sheet demonstrating this fact.</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640" w:right="120" w:hanging="179"/>
        <w:spacing w:after="0" w:line="386" w:lineRule="auto"/>
        <w:rPr>
          <w:sz w:val="20"/>
          <w:szCs w:val="20"/>
          <w:color w:val="auto"/>
        </w:rPr>
      </w:pPr>
      <w:r>
        <w:rPr>
          <w:rFonts w:ascii="Arial" w:cs="Arial" w:eastAsia="Arial" w:hAnsi="Arial"/>
          <w:sz w:val="15"/>
          <w:szCs w:val="15"/>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Arial" w:cs="Arial" w:eastAsia="Arial" w:hAnsi="Arial"/>
                <w:sz w:val="16"/>
                <w:szCs w:val="16"/>
                <w:b w:val="1"/>
                <w:bCs w:val="1"/>
                <w:color w:val="auto"/>
              </w:rPr>
              <w:t>Terms of the Offering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ind w:left="30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gridSpan w:val="4"/>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820" w:type="dxa"/>
            <w:vAlign w:val="bottom"/>
            <w:gridSpan w:val="4"/>
          </w:tcPr>
          <w:p>
            <w:pPr>
              <w:spacing w:after="0" w:line="195" w:lineRule="exact"/>
              <w:rPr>
                <w:sz w:val="20"/>
                <w:szCs w:val="20"/>
                <w:color w:val="auto"/>
              </w:rPr>
            </w:pPr>
            <w:r>
              <w:rPr>
                <w:rFonts w:ascii="Arial" w:cs="Arial" w:eastAsia="Arial" w:hAnsi="Arial"/>
                <w:sz w:val="18"/>
                <w:szCs w:val="18"/>
                <w:color w:val="auto"/>
                <w:w w:val="89"/>
              </w:rPr>
              <w:t>$100,000,000 of the proceeds from this</w:t>
            </w:r>
          </w:p>
        </w:tc>
        <w:tc>
          <w:tcPr>
            <w:tcW w:w="100" w:type="dxa"/>
            <w:vAlign w:val="bottom"/>
            <w:vMerge w:val="continue"/>
          </w:tcPr>
          <w:p>
            <w:pPr>
              <w:spacing w:after="0"/>
              <w:rPr>
                <w:sz w:val="16"/>
                <w:szCs w:val="16"/>
                <w:color w:val="auto"/>
              </w:rPr>
            </w:pPr>
          </w:p>
        </w:tc>
        <w:tc>
          <w:tcPr>
            <w:tcW w:w="2940" w:type="dxa"/>
            <w:vAlign w:val="bottom"/>
          </w:tcPr>
          <w:p>
            <w:pPr>
              <w:spacing w:after="0" w:line="195" w:lineRule="exact"/>
              <w:rPr>
                <w:sz w:val="20"/>
                <w:szCs w:val="20"/>
                <w:color w:val="auto"/>
              </w:rPr>
            </w:pPr>
            <w:r>
              <w:rPr>
                <w:rFonts w:ascii="Arial" w:cs="Arial" w:eastAsia="Arial" w:hAnsi="Arial"/>
                <w:sz w:val="18"/>
                <w:szCs w:val="18"/>
                <w:color w:val="auto"/>
                <w:w w:val="99"/>
              </w:rPr>
              <w:t>$88,200,000 of the offering proceeds</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8"/>
              </w:rPr>
              <w:t>offering and sale of the private units</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5"/>
              </w:rPr>
              <w:t>would be required to be deposited into</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rPr>
              <w:t>will be deposited into a U.S.-based</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either  an  escrow  account  with  an</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trust</w:t>
            </w:r>
          </w:p>
        </w:tc>
        <w:tc>
          <w:tcPr>
            <w:tcW w:w="880" w:type="dxa"/>
            <w:vAlign w:val="bottom"/>
          </w:tcPr>
          <w:p>
            <w:pPr>
              <w:ind w:left="160"/>
              <w:spacing w:after="0"/>
              <w:rPr>
                <w:sz w:val="20"/>
                <w:szCs w:val="20"/>
                <w:color w:val="auto"/>
              </w:rPr>
            </w:pPr>
            <w:r>
              <w:rPr>
                <w:rFonts w:ascii="Arial" w:cs="Arial" w:eastAsia="Arial" w:hAnsi="Arial"/>
                <w:sz w:val="18"/>
                <w:szCs w:val="18"/>
                <w:color w:val="auto"/>
              </w:rPr>
              <w:t>account</w:t>
            </w:r>
          </w:p>
        </w:tc>
        <w:tc>
          <w:tcPr>
            <w:tcW w:w="1120" w:type="dxa"/>
            <w:vAlign w:val="bottom"/>
          </w:tcPr>
          <w:p>
            <w:pPr>
              <w:ind w:left="160"/>
              <w:spacing w:after="0"/>
              <w:rPr>
                <w:sz w:val="20"/>
                <w:szCs w:val="20"/>
                <w:color w:val="auto"/>
              </w:rPr>
            </w:pPr>
            <w:r>
              <w:rPr>
                <w:rFonts w:ascii="Arial" w:cs="Arial" w:eastAsia="Arial" w:hAnsi="Arial"/>
                <w:sz w:val="18"/>
                <w:szCs w:val="18"/>
                <w:color w:val="auto"/>
              </w:rPr>
              <w:t>maintained</w:t>
            </w:r>
          </w:p>
        </w:tc>
        <w:tc>
          <w:tcPr>
            <w:tcW w:w="340" w:type="dxa"/>
            <w:vAlign w:val="bottom"/>
          </w:tcPr>
          <w:p>
            <w:pPr>
              <w:ind w:left="160"/>
              <w:spacing w:after="0"/>
              <w:rPr>
                <w:sz w:val="20"/>
                <w:szCs w:val="20"/>
                <w:color w:val="auto"/>
              </w:rPr>
            </w:pPr>
            <w:r>
              <w:rPr>
                <w:rFonts w:ascii="Arial" w:cs="Arial" w:eastAsia="Arial" w:hAnsi="Arial"/>
                <w:sz w:val="18"/>
                <w:szCs w:val="18"/>
                <w:color w:val="auto"/>
                <w:w w:val="83"/>
              </w:rPr>
              <w:t>by</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insured depositary institution or in a</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4"/>
              </w:rPr>
              <w:t>Continental  Stock  Transfer  &amp;  Trust</w:t>
            </w: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2"/>
              </w:rPr>
              <w:t>separate bank account established by a</w:t>
            </w: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Company, acting as trustee</w:t>
            </w:r>
          </w:p>
        </w:tc>
        <w:tc>
          <w:tcPr>
            <w:tcW w:w="34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1"/>
              </w:rPr>
              <w:t>broker-dealer in which the broker-dealer</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w w:val="97"/>
              </w:rPr>
              <w:t>acts as trustee for persons having the</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beneficial interests in the account.</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2">
            <w:col w:w="1980" w:space="720"/>
            <w:col w:w="631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20"/>
        </w:trPr>
        <w:tc>
          <w:tcPr>
            <w:tcW w:w="2580" w:type="dxa"/>
            <w:vAlign w:val="bottom"/>
          </w:tcPr>
          <w:p>
            <w:pPr>
              <w:spacing w:after="0"/>
              <w:rPr>
                <w:sz w:val="20"/>
                <w:szCs w:val="20"/>
                <w:color w:val="auto"/>
              </w:rPr>
            </w:pPr>
            <w:r>
              <w:rPr>
                <w:rFonts w:ascii="Arial" w:cs="Arial" w:eastAsia="Arial" w:hAnsi="Arial"/>
                <w:sz w:val="18"/>
                <w:szCs w:val="18"/>
                <w:b w:val="1"/>
                <w:bCs w:val="1"/>
                <w:color w:val="auto"/>
                <w:w w:val="93"/>
              </w:rPr>
              <w:t xml:space="preserve">Investment of net proceeds  </w:t>
            </w:r>
            <w:r>
              <w:rPr>
                <w:rFonts w:ascii="Arial" w:cs="Arial" w:eastAsia="Arial" w:hAnsi="Arial"/>
                <w:sz w:val="18"/>
                <w:szCs w:val="18"/>
                <w:color w:val="auto"/>
                <w:w w:val="93"/>
              </w:rPr>
              <w:t>The</w:t>
            </w: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w w:val="98"/>
              </w:rPr>
              <w:t>$100,000,000 of proceeds from</w:t>
            </w:r>
          </w:p>
        </w:tc>
        <w:tc>
          <w:tcPr>
            <w:tcW w:w="2980" w:type="dxa"/>
            <w:vAlign w:val="bottom"/>
          </w:tcPr>
          <w:p>
            <w:pPr>
              <w:ind w:left="40"/>
              <w:spacing w:after="0"/>
              <w:rPr>
                <w:sz w:val="20"/>
                <w:szCs w:val="20"/>
                <w:color w:val="auto"/>
              </w:rPr>
            </w:pPr>
            <w:r>
              <w:rPr>
                <w:rFonts w:ascii="Arial" w:cs="Arial" w:eastAsia="Arial" w:hAnsi="Arial"/>
                <w:sz w:val="18"/>
                <w:szCs w:val="18"/>
                <w:color w:val="auto"/>
                <w:w w:val="96"/>
              </w:rPr>
              <w:t>Proceeds  could  be  invested  only  in</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this offering and sale of the private</w:t>
            </w:r>
          </w:p>
        </w:tc>
        <w:tc>
          <w:tcPr>
            <w:tcW w:w="2980" w:type="dxa"/>
            <w:vAlign w:val="bottom"/>
          </w:tcPr>
          <w:p>
            <w:pPr>
              <w:ind w:left="40"/>
              <w:spacing w:after="0"/>
              <w:rPr>
                <w:sz w:val="20"/>
                <w:szCs w:val="20"/>
                <w:color w:val="auto"/>
              </w:rPr>
            </w:pPr>
            <w:r>
              <w:rPr>
                <w:rFonts w:ascii="Arial" w:cs="Arial" w:eastAsia="Arial" w:hAnsi="Arial"/>
                <w:sz w:val="18"/>
                <w:szCs w:val="18"/>
                <w:color w:val="auto"/>
                <w:w w:val="99"/>
              </w:rPr>
              <w:t>specified securities such as a money</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4"/>
              </w:rPr>
              <w:t>units held in trust will only be invested</w:t>
            </w:r>
          </w:p>
        </w:tc>
        <w:tc>
          <w:tcPr>
            <w:tcW w:w="2980" w:type="dxa"/>
            <w:vAlign w:val="bottom"/>
          </w:tcPr>
          <w:p>
            <w:pPr>
              <w:ind w:left="40"/>
              <w:spacing w:after="0"/>
              <w:rPr>
                <w:sz w:val="20"/>
                <w:szCs w:val="20"/>
                <w:color w:val="auto"/>
              </w:rPr>
            </w:pPr>
            <w:r>
              <w:rPr>
                <w:rFonts w:ascii="Arial" w:cs="Arial" w:eastAsia="Arial" w:hAnsi="Arial"/>
                <w:sz w:val="18"/>
                <w:szCs w:val="18"/>
                <w:color w:val="auto"/>
                <w:w w:val="97"/>
              </w:rPr>
              <w:t>market fund meeting conditions of the</w:t>
            </w:r>
          </w:p>
        </w:tc>
      </w:tr>
      <w:tr>
        <w:trPr>
          <w:trHeight w:val="216"/>
        </w:trPr>
        <w:tc>
          <w:tcPr>
            <w:tcW w:w="2580" w:type="dxa"/>
            <w:vAlign w:val="bottom"/>
          </w:tcPr>
          <w:p>
            <w:pPr>
              <w:ind w:left="2240"/>
              <w:spacing w:after="0"/>
              <w:rPr>
                <w:sz w:val="20"/>
                <w:szCs w:val="20"/>
                <w:color w:val="auto"/>
              </w:rPr>
            </w:pPr>
            <w:r>
              <w:rPr>
                <w:rFonts w:ascii="Arial" w:cs="Arial" w:eastAsia="Arial" w:hAnsi="Arial"/>
                <w:sz w:val="18"/>
                <w:szCs w:val="18"/>
                <w:color w:val="auto"/>
              </w:rPr>
              <w:t>in</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United</w:t>
            </w:r>
          </w:p>
        </w:tc>
        <w:tc>
          <w:tcPr>
            <w:tcW w:w="680" w:type="dxa"/>
            <w:vAlign w:val="bottom"/>
          </w:tcPr>
          <w:p>
            <w:pPr>
              <w:ind w:left="40"/>
              <w:spacing w:after="0"/>
              <w:rPr>
                <w:sz w:val="20"/>
                <w:szCs w:val="20"/>
                <w:color w:val="auto"/>
              </w:rPr>
            </w:pPr>
            <w:r>
              <w:rPr>
                <w:rFonts w:ascii="Arial" w:cs="Arial" w:eastAsia="Arial" w:hAnsi="Arial"/>
                <w:sz w:val="18"/>
                <w:szCs w:val="18"/>
                <w:color w:val="auto"/>
              </w:rPr>
              <w:t>States</w:t>
            </w:r>
          </w:p>
        </w:tc>
        <w:tc>
          <w:tcPr>
            <w:tcW w:w="1060" w:type="dxa"/>
            <w:vAlign w:val="bottom"/>
          </w:tcPr>
          <w:p>
            <w:pPr>
              <w:jc w:val="right"/>
              <w:spacing w:after="0"/>
              <w:rPr>
                <w:sz w:val="20"/>
                <w:szCs w:val="20"/>
                <w:color w:val="auto"/>
              </w:rPr>
            </w:pPr>
            <w:r>
              <w:rPr>
                <w:rFonts w:ascii="Arial" w:cs="Arial" w:eastAsia="Arial" w:hAnsi="Arial"/>
                <w:sz w:val="18"/>
                <w:szCs w:val="18"/>
                <w:color w:val="auto"/>
                <w:w w:val="96"/>
              </w:rPr>
              <w:t>“government</w:t>
            </w:r>
          </w:p>
        </w:tc>
        <w:tc>
          <w:tcPr>
            <w:tcW w:w="2980" w:type="dxa"/>
            <w:vAlign w:val="bottom"/>
          </w:tcPr>
          <w:p>
            <w:pPr>
              <w:ind w:left="40"/>
              <w:spacing w:after="0"/>
              <w:rPr>
                <w:sz w:val="20"/>
                <w:szCs w:val="20"/>
                <w:color w:val="auto"/>
              </w:rPr>
            </w:pPr>
            <w:r>
              <w:rPr>
                <w:rFonts w:ascii="Arial" w:cs="Arial" w:eastAsia="Arial" w:hAnsi="Arial"/>
                <w:sz w:val="18"/>
                <w:szCs w:val="18"/>
                <w:color w:val="auto"/>
              </w:rPr>
              <w:t>Investment   Company   Act   or   in</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securities”  within  the  meaning  of</w:t>
            </w:r>
          </w:p>
        </w:tc>
        <w:tc>
          <w:tcPr>
            <w:tcW w:w="2980" w:type="dxa"/>
            <w:vAlign w:val="bottom"/>
          </w:tcPr>
          <w:p>
            <w:pPr>
              <w:ind w:left="40"/>
              <w:spacing w:after="0"/>
              <w:rPr>
                <w:sz w:val="20"/>
                <w:szCs w:val="20"/>
                <w:color w:val="auto"/>
              </w:rPr>
            </w:pPr>
            <w:r>
              <w:rPr>
                <w:rFonts w:ascii="Arial" w:cs="Arial" w:eastAsia="Arial" w:hAnsi="Arial"/>
                <w:sz w:val="18"/>
                <w:szCs w:val="18"/>
                <w:color w:val="auto"/>
                <w:w w:val="95"/>
              </w:rPr>
              <w:t>securities that are direct obligations of,</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7"/>
              </w:rPr>
              <w:t>Section  2(a)(16)  of  the  Investment</w:t>
            </w:r>
          </w:p>
        </w:tc>
        <w:tc>
          <w:tcPr>
            <w:tcW w:w="2980" w:type="dxa"/>
            <w:vAlign w:val="bottom"/>
          </w:tcPr>
          <w:p>
            <w:pPr>
              <w:ind w:left="40"/>
              <w:spacing w:after="0"/>
              <w:rPr>
                <w:sz w:val="20"/>
                <w:szCs w:val="20"/>
                <w:color w:val="auto"/>
              </w:rPr>
            </w:pPr>
            <w:r>
              <w:rPr>
                <w:rFonts w:ascii="Arial" w:cs="Arial" w:eastAsia="Arial" w:hAnsi="Arial"/>
                <w:sz w:val="18"/>
                <w:szCs w:val="18"/>
                <w:color w:val="auto"/>
                <w:w w:val="91"/>
              </w:rPr>
              <w:t>or obligations guaranteed as to principal</w:t>
            </w:r>
          </w:p>
        </w:tc>
      </w:tr>
      <w:tr>
        <w:trPr>
          <w:trHeight w:val="216"/>
        </w:trPr>
        <w:tc>
          <w:tcPr>
            <w:tcW w:w="3000" w:type="dxa"/>
            <w:vAlign w:val="bottom"/>
            <w:gridSpan w:val="2"/>
          </w:tcPr>
          <w:p>
            <w:pPr>
              <w:ind w:left="2240"/>
              <w:spacing w:after="0"/>
              <w:rPr>
                <w:sz w:val="20"/>
                <w:szCs w:val="20"/>
                <w:color w:val="auto"/>
              </w:rPr>
            </w:pPr>
            <w:r>
              <w:rPr>
                <w:rFonts w:ascii="Arial" w:cs="Arial" w:eastAsia="Arial" w:hAnsi="Arial"/>
                <w:sz w:val="18"/>
                <w:szCs w:val="18"/>
                <w:color w:val="auto"/>
                <w:w w:val="96"/>
              </w:rPr>
              <w:t>Company</w:t>
            </w:r>
          </w:p>
        </w:tc>
        <w:tc>
          <w:tcPr>
            <w:tcW w:w="380" w:type="dxa"/>
            <w:vAlign w:val="bottom"/>
          </w:tcPr>
          <w:p>
            <w:pPr>
              <w:ind w:left="80"/>
              <w:spacing w:after="0"/>
              <w:rPr>
                <w:sz w:val="20"/>
                <w:szCs w:val="20"/>
                <w:color w:val="auto"/>
              </w:rPr>
            </w:pPr>
            <w:r>
              <w:rPr>
                <w:rFonts w:ascii="Arial" w:cs="Arial" w:eastAsia="Arial" w:hAnsi="Arial"/>
                <w:sz w:val="18"/>
                <w:szCs w:val="18"/>
                <w:color w:val="auto"/>
              </w:rPr>
              <w:t>Act</w:t>
            </w:r>
          </w:p>
        </w:tc>
        <w:tc>
          <w:tcPr>
            <w:tcW w:w="680" w:type="dxa"/>
            <w:vAlign w:val="bottom"/>
          </w:tcPr>
          <w:p>
            <w:pPr>
              <w:ind w:left="100"/>
              <w:spacing w:after="0"/>
              <w:rPr>
                <w:sz w:val="20"/>
                <w:szCs w:val="20"/>
                <w:color w:val="auto"/>
              </w:rPr>
            </w:pPr>
            <w:r>
              <w:rPr>
                <w:rFonts w:ascii="Arial" w:cs="Arial" w:eastAsia="Arial" w:hAnsi="Arial"/>
                <w:sz w:val="18"/>
                <w:szCs w:val="18"/>
                <w:color w:val="auto"/>
              </w:rPr>
              <w:t>with  a</w:t>
            </w:r>
          </w:p>
        </w:tc>
        <w:tc>
          <w:tcPr>
            <w:tcW w:w="1060" w:type="dxa"/>
            <w:vAlign w:val="bottom"/>
          </w:tcPr>
          <w:p>
            <w:pPr>
              <w:jc w:val="right"/>
              <w:spacing w:after="0"/>
              <w:rPr>
                <w:sz w:val="20"/>
                <w:szCs w:val="20"/>
                <w:color w:val="auto"/>
              </w:rPr>
            </w:pPr>
            <w:r>
              <w:rPr>
                <w:rFonts w:ascii="Arial" w:cs="Arial" w:eastAsia="Arial" w:hAnsi="Arial"/>
                <w:sz w:val="18"/>
                <w:szCs w:val="18"/>
                <w:color w:val="auto"/>
              </w:rPr>
              <w:t>maturity  of</w:t>
            </w:r>
          </w:p>
        </w:tc>
        <w:tc>
          <w:tcPr>
            <w:tcW w:w="2980" w:type="dxa"/>
            <w:vAlign w:val="bottom"/>
          </w:tcPr>
          <w:p>
            <w:pPr>
              <w:ind w:left="40"/>
              <w:spacing w:after="0"/>
              <w:rPr>
                <w:sz w:val="20"/>
                <w:szCs w:val="20"/>
                <w:color w:val="auto"/>
              </w:rPr>
            </w:pPr>
            <w:r>
              <w:rPr>
                <w:rFonts w:ascii="Arial" w:cs="Arial" w:eastAsia="Arial" w:hAnsi="Arial"/>
                <w:sz w:val="18"/>
                <w:szCs w:val="18"/>
                <w:color w:val="auto"/>
              </w:rPr>
              <w:t>or interest by, the United States.</w:t>
            </w: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8"/>
              </w:rPr>
              <w:t>185 days or less or in money market</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2"/>
              </w:rPr>
              <w:t>funds meeting certain conditions under</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rPr>
              <w:t>Rule  2a-7  promulgated  under  the</w:t>
            </w:r>
          </w:p>
        </w:tc>
        <w:tc>
          <w:tcPr>
            <w:tcW w:w="2980" w:type="dxa"/>
            <w:vAlign w:val="bottom"/>
          </w:tcPr>
          <w:p>
            <w:pPr>
              <w:spacing w:after="0"/>
              <w:rPr>
                <w:sz w:val="18"/>
                <w:szCs w:val="18"/>
                <w:color w:val="auto"/>
              </w:rPr>
            </w:pPr>
          </w:p>
        </w:tc>
      </w:tr>
      <w:tr>
        <w:trPr>
          <w:trHeight w:val="216"/>
        </w:trPr>
        <w:tc>
          <w:tcPr>
            <w:tcW w:w="5120" w:type="dxa"/>
            <w:vAlign w:val="bottom"/>
            <w:gridSpan w:val="5"/>
          </w:tcPr>
          <w:p>
            <w:pPr>
              <w:ind w:left="2240"/>
              <w:spacing w:after="0"/>
              <w:rPr>
                <w:sz w:val="20"/>
                <w:szCs w:val="20"/>
                <w:color w:val="auto"/>
              </w:rPr>
            </w:pPr>
            <w:r>
              <w:rPr>
                <w:rFonts w:ascii="Arial" w:cs="Arial" w:eastAsia="Arial" w:hAnsi="Arial"/>
                <w:sz w:val="18"/>
                <w:szCs w:val="18"/>
                <w:color w:val="auto"/>
                <w:w w:val="94"/>
              </w:rPr>
              <w:t>Investment Company Act which invest</w:t>
            </w:r>
          </w:p>
        </w:tc>
        <w:tc>
          <w:tcPr>
            <w:tcW w:w="2980" w:type="dxa"/>
            <w:vAlign w:val="bottom"/>
          </w:tcPr>
          <w:p>
            <w:pPr>
              <w:spacing w:after="0"/>
              <w:rPr>
                <w:sz w:val="18"/>
                <w:szCs w:val="18"/>
                <w:color w:val="auto"/>
              </w:rPr>
            </w:pPr>
          </w:p>
        </w:tc>
      </w:tr>
      <w:tr>
        <w:trPr>
          <w:trHeight w:val="230"/>
        </w:trPr>
        <w:tc>
          <w:tcPr>
            <w:tcW w:w="2580" w:type="dxa"/>
            <w:vAlign w:val="bottom"/>
          </w:tcPr>
          <w:p>
            <w:pPr>
              <w:ind w:left="2240"/>
              <w:spacing w:after="0"/>
              <w:rPr>
                <w:sz w:val="20"/>
                <w:szCs w:val="20"/>
                <w:color w:val="auto"/>
              </w:rPr>
            </w:pPr>
            <w:r>
              <w:rPr>
                <w:rFonts w:ascii="Arial" w:cs="Arial" w:eastAsia="Arial" w:hAnsi="Arial"/>
                <w:sz w:val="18"/>
                <w:szCs w:val="18"/>
                <w:color w:val="auto"/>
                <w:w w:val="96"/>
              </w:rPr>
              <w:t>only</w:t>
            </w:r>
          </w:p>
        </w:tc>
        <w:tc>
          <w:tcPr>
            <w:tcW w:w="420" w:type="dxa"/>
            <w:vAlign w:val="bottom"/>
          </w:tcPr>
          <w:p>
            <w:pPr>
              <w:ind w:left="160"/>
              <w:spacing w:after="0"/>
              <w:rPr>
                <w:sz w:val="20"/>
                <w:szCs w:val="20"/>
                <w:color w:val="auto"/>
              </w:rPr>
            </w:pPr>
            <w:r>
              <w:rPr>
                <w:rFonts w:ascii="Arial" w:cs="Arial" w:eastAsia="Arial" w:hAnsi="Arial"/>
                <w:sz w:val="18"/>
                <w:szCs w:val="18"/>
                <w:color w:val="auto"/>
              </w:rPr>
              <w:t>in</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direct  U.S.</w:t>
            </w:r>
          </w:p>
        </w:tc>
        <w:tc>
          <w:tcPr>
            <w:tcW w:w="1060" w:type="dxa"/>
            <w:vAlign w:val="bottom"/>
          </w:tcPr>
          <w:p>
            <w:pPr>
              <w:jc w:val="right"/>
              <w:spacing w:after="0"/>
              <w:rPr>
                <w:sz w:val="20"/>
                <w:szCs w:val="20"/>
                <w:color w:val="auto"/>
              </w:rPr>
            </w:pPr>
            <w:r>
              <w:rPr>
                <w:rFonts w:ascii="Arial" w:cs="Arial" w:eastAsia="Arial" w:hAnsi="Arial"/>
                <w:sz w:val="18"/>
                <w:szCs w:val="18"/>
                <w:color w:val="auto"/>
              </w:rPr>
              <w:t>government</w:t>
            </w:r>
          </w:p>
        </w:tc>
        <w:tc>
          <w:tcPr>
            <w:tcW w:w="2980" w:type="dxa"/>
            <w:vAlign w:val="bottom"/>
          </w:tcPr>
          <w:p>
            <w:pPr>
              <w:spacing w:after="0"/>
              <w:rPr>
                <w:sz w:val="20"/>
                <w:szCs w:val="20"/>
                <w:color w:val="auto"/>
              </w:rPr>
            </w:pPr>
          </w:p>
        </w:tc>
      </w:tr>
    </w:tbl>
    <w:p>
      <w:pPr>
        <w:ind w:left="2700"/>
        <w:spacing w:after="0"/>
        <w:rPr>
          <w:sz w:val="20"/>
          <w:szCs w:val="20"/>
          <w:color w:val="auto"/>
        </w:rPr>
      </w:pPr>
      <w:r>
        <w:rPr>
          <w:rFonts w:ascii="Arial" w:cs="Arial" w:eastAsia="Arial" w:hAnsi="Arial"/>
          <w:sz w:val="18"/>
          <w:szCs w:val="18"/>
          <w:color w:val="auto"/>
        </w:rPr>
        <w:t>treasury obligations.</w:t>
      </w:r>
    </w:p>
    <w:p>
      <w:pPr>
        <w:sectPr>
          <w:pgSz w:w="11900" w:h="16838" w:orient="portrait"/>
          <w:cols w:equalWidth="0" w:num="1">
            <w:col w:w="9019"/>
          </w:cols>
          <w:pgMar w:left="1440" w:top="274" w:right="1440" w:bottom="1440" w:gutter="0" w:footer="0" w:header="0"/>
          <w:type w:val="continuous"/>
        </w:sectPr>
      </w:pPr>
    </w:p>
    <w:p>
      <w:pPr>
        <w:spacing w:after="0" w:line="180" w:lineRule="exact"/>
        <w:rPr>
          <w:sz w:val="20"/>
          <w:szCs w:val="20"/>
          <w:color w:val="auto"/>
        </w:rPr>
      </w:pPr>
    </w:p>
    <w:p>
      <w:pPr>
        <w:ind w:left="640" w:hanging="179"/>
        <w:spacing w:after="0" w:line="266"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479"/>
        <w:spacing w:after="0" w:line="253" w:lineRule="auto"/>
        <w:rPr>
          <w:sz w:val="20"/>
          <w:szCs w:val="20"/>
          <w:color w:val="auto"/>
        </w:rPr>
      </w:pPr>
      <w:r>
        <w:rPr>
          <w:rFonts w:ascii="Arial" w:cs="Arial" w:eastAsia="Arial" w:hAnsi="Arial"/>
          <w:sz w:val="18"/>
          <w:szCs w:val="18"/>
          <w:color w:val="auto"/>
        </w:rPr>
        <w:t>Our initial business combination must We would be restricted from acquiring a occur with one or more target target business unless the fair value of businesses that together have a fair such business or net assets to be market value of at least 80% of the acquired represent at least 80% of the assets held in the trust account maximum offering proceeds. (excluding the taxes payable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earned on the trust account)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time of the agreement to enter into</w:t>
      </w:r>
    </w:p>
    <w:p>
      <w:pPr>
        <w:spacing w:after="0" w:line="9" w:lineRule="exact"/>
        <w:rPr>
          <w:sz w:val="20"/>
          <w:szCs w:val="20"/>
          <w:color w:val="auto"/>
        </w:rPr>
      </w:pPr>
    </w:p>
    <w:p>
      <w:pPr>
        <w:spacing w:after="0"/>
        <w:tabs>
          <w:tab w:leader="none" w:pos="400" w:val="left"/>
          <w:tab w:leader="none" w:pos="1040" w:val="left"/>
          <w:tab w:leader="none" w:pos="1860" w:val="left"/>
        </w:tabs>
        <w:rPr>
          <w:sz w:val="20"/>
          <w:szCs w:val="20"/>
          <w:color w:val="auto"/>
        </w:rPr>
      </w:pPr>
      <w:r>
        <w:rPr>
          <w:rFonts w:ascii="Arial" w:cs="Arial" w:eastAsia="Arial" w:hAnsi="Arial"/>
          <w:sz w:val="18"/>
          <w:szCs w:val="18"/>
          <w:color w:val="auto"/>
        </w:rPr>
        <w:t>the</w:t>
        <w:tab/>
        <w:t>initial</w:t>
        <w:tab/>
        <w:t>business</w:t>
      </w:r>
      <w:r>
        <w:rPr>
          <w:sz w:val="20"/>
          <w:szCs w:val="20"/>
          <w:color w:val="auto"/>
        </w:rPr>
        <w:tab/>
      </w:r>
      <w:r>
        <w:rPr>
          <w:rFonts w:ascii="Arial" w:cs="Arial" w:eastAsia="Arial" w:hAnsi="Arial"/>
          <w:sz w:val="16"/>
          <w:szCs w:val="16"/>
          <w:color w:val="auto"/>
        </w:rPr>
        <w:t>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if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  not  then  listed  on  Nasdaq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whatever reason, we would no longer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required to meet the foregoing 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 market value test.</w:t>
      </w:r>
    </w:p>
    <w:p>
      <w:pPr>
        <w:spacing w:after="0" w:line="22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500" w:space="200"/>
            <w:col w:w="6319"/>
          </w:cols>
          <w:pgMar w:left="1440" w:top="274" w:right="1440" w:bottom="1440" w:gutter="0" w:footer="0" w:header="0"/>
          <w:type w:val="continuous"/>
        </w:sectPr>
      </w:pPr>
    </w:p>
    <w:bookmarkStart w:id="71" w:name="page72"/>
    <w:bookmarkEnd w:id="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Terms of the Offering</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4"/>
          </w:tcPr>
          <w:p>
            <w:pPr>
              <w:ind w:left="40"/>
              <w:spacing w:after="0"/>
              <w:rPr>
                <w:sz w:val="20"/>
                <w:szCs w:val="20"/>
                <w:color w:val="auto"/>
              </w:rPr>
            </w:pPr>
            <w:r>
              <w:rPr>
                <w:rFonts w:ascii="Arial" w:cs="Arial" w:eastAsia="Arial" w:hAnsi="Arial"/>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w w:val="92"/>
              </w:rPr>
              <w:t>Trading of securities issued</w:t>
            </w:r>
          </w:p>
        </w:tc>
        <w:tc>
          <w:tcPr>
            <w:tcW w:w="2820" w:type="dxa"/>
            <w:vAlign w:val="bottom"/>
            <w:tcBorders>
              <w:bottom w:val="single" w:sz="8" w:color="auto"/>
            </w:tcBorders>
            <w:gridSpan w:val="5"/>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9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240" w:type="dxa"/>
            <w:vAlign w:val="bottom"/>
            <w:vMerge w:val="continue"/>
          </w:tcPr>
          <w:p>
            <w:pPr>
              <w:spacing w:after="0"/>
              <w:rPr>
                <w:sz w:val="16"/>
                <w:szCs w:val="16"/>
                <w:color w:val="auto"/>
              </w:rPr>
            </w:pPr>
          </w:p>
        </w:tc>
        <w:tc>
          <w:tcPr>
            <w:tcW w:w="2820" w:type="dxa"/>
            <w:vAlign w:val="bottom"/>
            <w:gridSpan w:val="5"/>
          </w:tcPr>
          <w:p>
            <w:pPr>
              <w:spacing w:after="0" w:line="195" w:lineRule="exact"/>
              <w:rPr>
                <w:sz w:val="20"/>
                <w:szCs w:val="20"/>
                <w:color w:val="auto"/>
              </w:rPr>
            </w:pPr>
            <w:r>
              <w:rPr>
                <w:rFonts w:ascii="Arial" w:cs="Arial" w:eastAsia="Arial" w:hAnsi="Arial"/>
                <w:sz w:val="18"/>
                <w:szCs w:val="18"/>
                <w:color w:val="auto"/>
                <w:w w:val="89"/>
              </w:rPr>
              <w:t>The units may commence trading on or</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940" w:type="dxa"/>
            <w:vAlign w:val="bottom"/>
            <w:gridSpan w:val="5"/>
          </w:tcPr>
          <w:p>
            <w:pPr>
              <w:spacing w:after="0" w:line="195" w:lineRule="exact"/>
              <w:rPr>
                <w:sz w:val="20"/>
                <w:szCs w:val="20"/>
                <w:color w:val="auto"/>
              </w:rPr>
            </w:pPr>
            <w:r>
              <w:rPr>
                <w:rFonts w:ascii="Arial" w:cs="Arial" w:eastAsia="Arial" w:hAnsi="Arial"/>
                <w:sz w:val="18"/>
                <w:szCs w:val="18"/>
                <w:color w:val="auto"/>
                <w:w w:val="92"/>
              </w:rPr>
              <w:t>No trading of the units or the underlying</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promptly  after  the  date  of  this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shares of common stock and warrants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prospectus. The subunits and warrants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3"/>
              </w:rPr>
              <w:t>would be permitted until the completion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comprising the units, but not the shares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5"/>
              </w:rPr>
              <w:t>of a business combination. During this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of  common  stock  and  warrants</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period, the securities would be held in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included in the subunits, will begin to</w:t>
            </w:r>
          </w:p>
        </w:tc>
        <w:tc>
          <w:tcPr>
            <w:tcW w:w="2220" w:type="dxa"/>
            <w:vAlign w:val="bottom"/>
            <w:gridSpan w:val="5"/>
          </w:tcPr>
          <w:p>
            <w:pPr>
              <w:ind w:left="40"/>
              <w:spacing w:after="0"/>
              <w:rPr>
                <w:sz w:val="20"/>
                <w:szCs w:val="20"/>
                <w:color w:val="auto"/>
              </w:rPr>
            </w:pPr>
            <w:r>
              <w:rPr>
                <w:rFonts w:ascii="Arial" w:cs="Arial" w:eastAsia="Arial" w:hAnsi="Arial"/>
                <w:sz w:val="18"/>
                <w:szCs w:val="18"/>
                <w:color w:val="auto"/>
                <w:w w:val="97"/>
              </w:rPr>
              <w:t>the escrow or trust account.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line="216" w:lineRule="exact"/>
              <w:rPr>
                <w:sz w:val="20"/>
                <w:szCs w:val="20"/>
                <w:color w:val="auto"/>
              </w:rPr>
            </w:pPr>
            <w:r>
              <w:rPr>
                <w:rFonts w:ascii="Arial" w:cs="Arial" w:eastAsia="Arial" w:hAnsi="Arial"/>
                <w:sz w:val="18"/>
                <w:szCs w:val="18"/>
                <w:color w:val="auto"/>
                <w:w w:val="95"/>
              </w:rPr>
              <w:t>trade separately on the 90</w:t>
            </w:r>
            <w:r>
              <w:rPr>
                <w:rFonts w:ascii="Arial" w:cs="Arial" w:eastAsia="Arial" w:hAnsi="Arial"/>
                <w:sz w:val="20"/>
                <w:szCs w:val="20"/>
                <w:color w:val="auto"/>
                <w:w w:val="95"/>
                <w:vertAlign w:val="superscript"/>
              </w:rPr>
              <w:t>th</w:t>
            </w:r>
            <w:r>
              <w:rPr>
                <w:rFonts w:ascii="Arial" w:cs="Arial" w:eastAsia="Arial" w:hAnsi="Arial"/>
                <w:sz w:val="18"/>
                <w:szCs w:val="18"/>
                <w:color w:val="auto"/>
                <w:w w:val="95"/>
              </w:rPr>
              <w:t xml:space="preserve">  day after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the  date  of  this  prospectus  unless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EarlyBirdCapital  informs  us  of  its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decision  to  allow  earlier  separate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4"/>
              </w:rPr>
              <w:t>trading, provided that in no event may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the subunits and warrants be traded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separately until we have filed with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SEC a Current Report on Form 8-K</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which  includes  an  audited  balance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sheet reflecting our receipt of the gross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3"/>
              </w:rPr>
              <w:t>proceeds of this offering, including any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proceeds we receive from the exercise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of the over-allotment option, if such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option is exercised prior to the initial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rPr>
              <w:t>filing  of  such  Current  report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Form  8-K.  Once  the  subunits  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w w:val="93"/>
              </w:rPr>
              <w:t>warrants commence</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separate trading,</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holders  will  have  the  option  to</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3"/>
              </w:rPr>
              <w:t>continue to hold units or separate their</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auto"/>
                <w:w w:val="96"/>
              </w:rPr>
              <w:t>units into the component pieces.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240" w:type="dxa"/>
            <w:vAlign w:val="bottom"/>
          </w:tcPr>
          <w:p>
            <w:pPr>
              <w:spacing w:after="0"/>
              <w:rPr>
                <w:sz w:val="24"/>
                <w:szCs w:val="24"/>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If   the   over-allotment   option   is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exercised after the initial filing of such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Current Report on Form 8-K, we will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file an amendment to the Form 8-K to</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7"/>
              </w:rPr>
              <w:t>provide updated financial information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to</w:t>
            </w:r>
          </w:p>
        </w:tc>
        <w:tc>
          <w:tcPr>
            <w:tcW w:w="800" w:type="dxa"/>
            <w:vAlign w:val="bottom"/>
          </w:tcPr>
          <w:p>
            <w:pPr>
              <w:ind w:left="140"/>
              <w:spacing w:after="0"/>
              <w:rPr>
                <w:sz w:val="20"/>
                <w:szCs w:val="20"/>
                <w:color w:val="auto"/>
              </w:rPr>
            </w:pPr>
            <w:r>
              <w:rPr>
                <w:rFonts w:ascii="Arial" w:cs="Arial" w:eastAsia="Arial" w:hAnsi="Arial"/>
                <w:sz w:val="18"/>
                <w:szCs w:val="18"/>
                <w:color w:val="auto"/>
              </w:rPr>
              <w:t>reflect</w:t>
            </w:r>
          </w:p>
        </w:tc>
        <w:tc>
          <w:tcPr>
            <w:tcW w:w="460" w:type="dxa"/>
            <w:vAlign w:val="bottom"/>
          </w:tcPr>
          <w:p>
            <w:pPr>
              <w:ind w:left="100"/>
              <w:spacing w:after="0"/>
              <w:rPr>
                <w:sz w:val="20"/>
                <w:szCs w:val="20"/>
                <w:color w:val="auto"/>
              </w:rPr>
            </w:pPr>
            <w:r>
              <w:rPr>
                <w:rFonts w:ascii="Arial" w:cs="Arial" w:eastAsia="Arial" w:hAnsi="Arial"/>
                <w:sz w:val="18"/>
                <w:szCs w:val="18"/>
                <w:color w:val="auto"/>
              </w:rPr>
              <w:t>the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exercise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consummation of the over-allotment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option. We will also include in this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Form 8-K, an amendment thereto, or in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a subsequent Form 8-K, information</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indicating  if</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EarlyBirdCapital</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has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allowed  separate  trading  of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line="216" w:lineRule="exact"/>
              <w:rPr>
                <w:sz w:val="20"/>
                <w:szCs w:val="20"/>
                <w:color w:val="auto"/>
              </w:rPr>
            </w:pPr>
            <w:r>
              <w:rPr>
                <w:rFonts w:ascii="Arial" w:cs="Arial" w:eastAsia="Arial" w:hAnsi="Arial"/>
                <w:sz w:val="18"/>
                <w:szCs w:val="18"/>
                <w:color w:val="auto"/>
                <w:w w:val="94"/>
              </w:rPr>
              <w:t>subunits and warrants prior to the 90</w:t>
            </w:r>
            <w:r>
              <w:rPr>
                <w:rFonts w:ascii="Arial" w:cs="Arial" w:eastAsia="Arial" w:hAnsi="Arial"/>
                <w:sz w:val="20"/>
                <w:szCs w:val="20"/>
                <w:color w:val="auto"/>
                <w:w w:val="94"/>
                <w:vertAlign w:val="superscript"/>
              </w:rPr>
              <w:t>th</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day after the date of this prospectus.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5"/>
              </w:rPr>
              <w:t>The share of common stock and one-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6"/>
              </w:rPr>
              <w:t>quarter  warrant  included  within  the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subunit will not trade separately until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we  complete  our  initial  business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combination.</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240" w:type="dxa"/>
            <w:vAlign w:val="bottom"/>
          </w:tcPr>
          <w:p>
            <w:pPr>
              <w:spacing w:after="0"/>
              <w:rPr>
                <w:sz w:val="20"/>
                <w:szCs w:val="20"/>
                <w:color w:val="auto"/>
              </w:rPr>
            </w:pPr>
            <w:r>
              <w:rPr>
                <w:rFonts w:ascii="Arial" w:cs="Arial" w:eastAsia="Arial" w:hAnsi="Arial"/>
                <w:sz w:val="18"/>
                <w:szCs w:val="18"/>
                <w:b w:val="1"/>
                <w:bCs w:val="1"/>
                <w:color w:val="auto"/>
              </w:rPr>
              <w:t>Exercise of the warrants</w:t>
            </w:r>
          </w:p>
        </w:tc>
        <w:tc>
          <w:tcPr>
            <w:tcW w:w="2880" w:type="dxa"/>
            <w:vAlign w:val="bottom"/>
            <w:gridSpan w:val="6"/>
          </w:tcPr>
          <w:p>
            <w:pPr>
              <w:spacing w:after="0"/>
              <w:rPr>
                <w:sz w:val="20"/>
                <w:szCs w:val="20"/>
                <w:color w:val="auto"/>
              </w:rPr>
            </w:pPr>
            <w:r>
              <w:rPr>
                <w:rFonts w:ascii="Arial" w:cs="Arial" w:eastAsia="Arial" w:hAnsi="Arial"/>
                <w:sz w:val="18"/>
                <w:szCs w:val="18"/>
                <w:color w:val="auto"/>
                <w:w w:val="92"/>
              </w:rPr>
              <w:t>The warrants cannot be exercised until</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0"/>
              </w:rPr>
              <w:t>The warrants could be exercised prior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8"/>
              </w:rPr>
              <w:t>30  days  after  the  completion  of  a</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w w:val="95"/>
              </w:rPr>
              <w:t>the</w:t>
            </w:r>
          </w:p>
        </w:tc>
        <w:tc>
          <w:tcPr>
            <w:tcW w:w="1180" w:type="dxa"/>
            <w:vAlign w:val="bottom"/>
          </w:tcPr>
          <w:p>
            <w:pPr>
              <w:ind w:left="220"/>
              <w:spacing w:after="0"/>
              <w:rPr>
                <w:sz w:val="20"/>
                <w:szCs w:val="20"/>
                <w:color w:val="auto"/>
              </w:rPr>
            </w:pPr>
            <w:r>
              <w:rPr>
                <w:rFonts w:ascii="Arial" w:cs="Arial" w:eastAsia="Arial" w:hAnsi="Arial"/>
                <w:sz w:val="18"/>
                <w:szCs w:val="18"/>
                <w:color w:val="auto"/>
              </w:rPr>
              <w:t>completion</w:t>
            </w:r>
          </w:p>
        </w:tc>
        <w:tc>
          <w:tcPr>
            <w:tcW w:w="420" w:type="dxa"/>
            <w:vAlign w:val="bottom"/>
          </w:tcPr>
          <w:p>
            <w:pPr>
              <w:ind w:left="120"/>
              <w:spacing w:after="0"/>
              <w:rPr>
                <w:sz w:val="20"/>
                <w:szCs w:val="20"/>
                <w:color w:val="auto"/>
              </w:rPr>
            </w:pPr>
            <w:r>
              <w:rPr>
                <w:rFonts w:ascii="Arial" w:cs="Arial" w:eastAsia="Arial" w:hAnsi="Arial"/>
                <w:sz w:val="18"/>
                <w:szCs w:val="18"/>
                <w:color w:val="auto"/>
              </w:rPr>
              <w:t>of</w:t>
            </w:r>
          </w:p>
        </w:tc>
        <w:tc>
          <w:tcPr>
            <w:tcW w:w="320" w:type="dxa"/>
            <w:vAlign w:val="bottom"/>
          </w:tcPr>
          <w:p>
            <w:pPr>
              <w:ind w:left="120"/>
              <w:spacing w:after="0"/>
              <w:rPr>
                <w:sz w:val="20"/>
                <w:szCs w:val="20"/>
                <w:color w:val="auto"/>
              </w:rPr>
            </w:pPr>
            <w:r>
              <w:rPr>
                <w:rFonts w:ascii="Arial" w:cs="Arial" w:eastAsia="Arial" w:hAnsi="Arial"/>
                <w:sz w:val="18"/>
                <w:szCs w:val="18"/>
                <w:color w:val="auto"/>
              </w:rPr>
              <w:t>a</w:t>
            </w:r>
          </w:p>
        </w:tc>
        <w:tc>
          <w:tcPr>
            <w:tcW w:w="760" w:type="dxa"/>
            <w:vAlign w:val="bottom"/>
          </w:tcPr>
          <w:p>
            <w:pPr>
              <w:ind w:left="140"/>
              <w:spacing w:after="0"/>
              <w:rPr>
                <w:sz w:val="20"/>
                <w:szCs w:val="20"/>
                <w:color w:val="auto"/>
              </w:rPr>
            </w:pPr>
            <w:r>
              <w:rPr>
                <w:rFonts w:ascii="Arial" w:cs="Arial" w:eastAsia="Arial" w:hAnsi="Arial"/>
                <w:sz w:val="18"/>
                <w:szCs w:val="18"/>
                <w:color w:val="auto"/>
                <w:w w:val="84"/>
              </w:rPr>
              <w:t>business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1"/>
              </w:rPr>
              <w:t>business combination and, accordingly,</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0"/>
              </w:rPr>
              <w:t>combination, but securities received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rPr>
              <w:t>will be exercised only after the trust</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rPr>
              <w:t>cash  paid  in  connection  with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auto"/>
                <w:w w:val="99"/>
              </w:rPr>
              <w:t>account  has  been  terminated  and</w:t>
            </w:r>
          </w:p>
        </w:tc>
        <w:tc>
          <w:tcPr>
            <w:tcW w:w="2980" w:type="dxa"/>
            <w:vAlign w:val="bottom"/>
            <w:gridSpan w:val="6"/>
          </w:tcPr>
          <w:p>
            <w:pPr>
              <w:ind w:left="40"/>
              <w:spacing w:after="0"/>
              <w:rPr>
                <w:sz w:val="20"/>
                <w:szCs w:val="20"/>
                <w:color w:val="auto"/>
              </w:rPr>
            </w:pPr>
            <w:r>
              <w:rPr>
                <w:rFonts w:ascii="Arial" w:cs="Arial" w:eastAsia="Arial" w:hAnsi="Arial"/>
                <w:sz w:val="18"/>
                <w:szCs w:val="18"/>
                <w:color w:val="auto"/>
                <w:w w:val="96"/>
              </w:rPr>
              <w:t>exercise  would  be  deposited  in  the</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distributed</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4"/>
          </w:tcPr>
          <w:p>
            <w:pPr>
              <w:ind w:left="40"/>
              <w:spacing w:after="0"/>
              <w:rPr>
                <w:sz w:val="20"/>
                <w:szCs w:val="20"/>
                <w:color w:val="auto"/>
              </w:rPr>
            </w:pPr>
            <w:r>
              <w:rPr>
                <w:rFonts w:ascii="Arial" w:cs="Arial" w:eastAsia="Arial" w:hAnsi="Arial"/>
                <w:sz w:val="18"/>
                <w:szCs w:val="18"/>
                <w:color w:val="auto"/>
                <w:w w:val="96"/>
              </w:rPr>
              <w:t>escrow or trust account.</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40" w:hanging="179"/>
        <w:spacing w:after="0" w:line="282" w:lineRule="auto"/>
        <w:rPr>
          <w:sz w:val="20"/>
          <w:szCs w:val="20"/>
          <w:color w:val="auto"/>
        </w:rPr>
      </w:pPr>
      <w:r>
        <w:rPr>
          <w:rFonts w:ascii="Arial" w:cs="Arial" w:eastAsia="Arial" w:hAnsi="Arial"/>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2140" w:type="dxa"/>
            <w:vAlign w:val="bottom"/>
            <w:gridSpan w:val="2"/>
          </w:tcPr>
          <w:p>
            <w:pPr>
              <w:ind w:left="280"/>
              <w:spacing w:after="0"/>
              <w:rPr>
                <w:sz w:val="20"/>
                <w:szCs w:val="20"/>
                <w:color w:val="auto"/>
              </w:rPr>
            </w:pPr>
            <w:r>
              <w:rPr>
                <w:rFonts w:ascii="Arial" w:cs="Arial" w:eastAsia="Arial" w:hAnsi="Arial"/>
                <w:sz w:val="16"/>
                <w:szCs w:val="16"/>
                <w:b w:val="1"/>
                <w:bCs w:val="1"/>
                <w:color w:val="auto"/>
              </w:rPr>
              <w:t>Terms of the Offering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3"/>
              </w:rPr>
              <w:t>Terms Under a Rule 419 Offering</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gridSpan w:val="4"/>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820" w:type="dxa"/>
            <w:vAlign w:val="bottom"/>
            <w:gridSpan w:val="4"/>
          </w:tcPr>
          <w:p>
            <w:pPr>
              <w:spacing w:after="0" w:line="195" w:lineRule="exact"/>
              <w:rPr>
                <w:sz w:val="20"/>
                <w:szCs w:val="20"/>
                <w:color w:val="auto"/>
              </w:rPr>
            </w:pPr>
            <w:r>
              <w:rPr>
                <w:rFonts w:ascii="Arial" w:cs="Arial" w:eastAsia="Arial" w:hAnsi="Arial"/>
                <w:sz w:val="18"/>
                <w:szCs w:val="18"/>
                <w:color w:val="auto"/>
              </w:rPr>
              <w:t>We   will   either   (1)   give   our</w:t>
            </w:r>
          </w:p>
        </w:tc>
        <w:tc>
          <w:tcPr>
            <w:tcW w:w="100" w:type="dxa"/>
            <w:vAlign w:val="bottom"/>
            <w:vMerge w:val="continue"/>
          </w:tcPr>
          <w:p>
            <w:pPr>
              <w:spacing w:after="0"/>
              <w:rPr>
                <w:sz w:val="16"/>
                <w:szCs w:val="16"/>
                <w:color w:val="auto"/>
              </w:rPr>
            </w:pPr>
          </w:p>
        </w:tc>
        <w:tc>
          <w:tcPr>
            <w:tcW w:w="2940" w:type="dxa"/>
            <w:vAlign w:val="bottom"/>
          </w:tcPr>
          <w:p>
            <w:pPr>
              <w:jc w:val="center"/>
              <w:spacing w:after="0" w:line="195" w:lineRule="exact"/>
              <w:rPr>
                <w:sz w:val="20"/>
                <w:szCs w:val="20"/>
                <w:color w:val="auto"/>
              </w:rPr>
            </w:pPr>
            <w:r>
              <w:rPr>
                <w:rFonts w:ascii="Arial" w:cs="Arial" w:eastAsia="Arial" w:hAnsi="Arial"/>
                <w:sz w:val="18"/>
                <w:szCs w:val="18"/>
                <w:color w:val="auto"/>
                <w:w w:val="97"/>
              </w:rPr>
              <w:t>A  prospectus  containing  information</w:t>
            </w:r>
          </w:p>
        </w:tc>
        <w:tc>
          <w:tcPr>
            <w:tcW w:w="0" w:type="dxa"/>
            <w:vAlign w:val="bottom"/>
          </w:tcPr>
          <w:p>
            <w:pPr>
              <w:spacing w:after="0"/>
              <w:rPr>
                <w:sz w:val="1"/>
                <w:szCs w:val="1"/>
                <w:color w:val="auto"/>
              </w:rPr>
            </w:pPr>
          </w:p>
        </w:tc>
      </w:tr>
      <w:tr>
        <w:trPr>
          <w:trHeight w:val="216"/>
        </w:trPr>
        <w:tc>
          <w:tcPr>
            <w:tcW w:w="2820" w:type="dxa"/>
            <w:vAlign w:val="bottom"/>
            <w:gridSpan w:val="4"/>
          </w:tcPr>
          <w:p>
            <w:pPr>
              <w:spacing w:after="0"/>
              <w:rPr>
                <w:sz w:val="20"/>
                <w:szCs w:val="20"/>
                <w:color w:val="auto"/>
              </w:rPr>
            </w:pPr>
            <w:r>
              <w:rPr>
                <w:rFonts w:ascii="Arial" w:cs="Arial" w:eastAsia="Arial" w:hAnsi="Arial"/>
                <w:sz w:val="18"/>
                <w:szCs w:val="18"/>
                <w:color w:val="auto"/>
                <w:w w:val="90"/>
              </w:rPr>
              <w:t>stockholders the opportunity to vote on</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7"/>
              </w:rPr>
              <w:t>required by the SEC would be sent to</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the</w:t>
            </w:r>
          </w:p>
        </w:tc>
        <w:tc>
          <w:tcPr>
            <w:tcW w:w="9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220" w:type="dxa"/>
            <w:vAlign w:val="bottom"/>
          </w:tcPr>
          <w:p>
            <w:pPr>
              <w:ind w:left="160"/>
              <w:spacing w:after="0"/>
              <w:rPr>
                <w:sz w:val="20"/>
                <w:szCs w:val="20"/>
                <w:color w:val="auto"/>
              </w:rPr>
            </w:pPr>
            <w:r>
              <w:rPr>
                <w:rFonts w:ascii="Arial" w:cs="Arial" w:eastAsia="Arial" w:hAnsi="Arial"/>
                <w:sz w:val="18"/>
                <w:szCs w:val="18"/>
                <w:color w:val="auto"/>
              </w:rPr>
              <w:t>combination</w:t>
            </w:r>
          </w:p>
        </w:tc>
        <w:tc>
          <w:tcPr>
            <w:tcW w:w="300" w:type="dxa"/>
            <w:vAlign w:val="bottom"/>
          </w:tcPr>
          <w:p>
            <w:pPr>
              <w:ind w:left="140"/>
              <w:spacing w:after="0"/>
              <w:rPr>
                <w:sz w:val="20"/>
                <w:szCs w:val="20"/>
                <w:color w:val="auto"/>
              </w:rPr>
            </w:pPr>
            <w:r>
              <w:rPr>
                <w:rFonts w:ascii="Arial" w:cs="Arial" w:eastAsia="Arial" w:hAnsi="Arial"/>
                <w:sz w:val="18"/>
                <w:szCs w:val="18"/>
                <w:color w:val="auto"/>
                <w:w w:val="87"/>
              </w:rPr>
              <w:t>or</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6"/>
              </w:rPr>
              <w:t>each investor. Each investor would be</w:t>
            </w:r>
          </w:p>
        </w:tc>
        <w:tc>
          <w:tcPr>
            <w:tcW w:w="0" w:type="dxa"/>
            <w:vAlign w:val="bottom"/>
          </w:tcPr>
          <w:p>
            <w:pPr>
              <w:spacing w:after="0"/>
              <w:rPr>
                <w:sz w:val="1"/>
                <w:szCs w:val="1"/>
                <w:color w:val="auto"/>
              </w:rPr>
            </w:pPr>
          </w:p>
        </w:tc>
      </w:tr>
    </w:tbl>
    <w:p>
      <w:pPr>
        <w:jc w:val="both"/>
        <w:ind w:left="5" w:right="459" w:hanging="5"/>
        <w:spacing w:after="0" w:line="263" w:lineRule="auto"/>
        <w:tabs>
          <w:tab w:leader="none" w:pos="331"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our public stockholders given the opportunity to notify the with the opportunity to sell their company, in writing, within a period of subunits to us in a tender offer for cash no less than 20 business days and no equal to their pro rata share of the more than 45 business days from the aggregate amount then on deposit in effective date of the post-effective the trust account, less taxes. If we hold amendment, to decide whether he or she a meeting to approve a proposed elects to remain a stockholder of the business combination, we will send company or require the return of his or each stockholder a proxy statement her investment. If the company has not containing information required by the received the notification by the end of SEC. Alternatively, if we do not hold a the 45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funds and interest meeting and instead conduct a tender or dividends, if any, held in the trust or offer, we will conduct such tender escrow account would automatically be offer in accordance with the tender returned to the stockholder. Unless a offer rules of the SEC and file tender sufficient number of investors elect to offer documents with the SEC which remain investors, all of the deposited will contain substantially the same funds in the escrow account must be financial and other information about returned to all investors and none of the the initial business combination as we securities will be issued.</w:t>
      </w:r>
    </w:p>
    <w:p>
      <w:pPr>
        <w:spacing w:after="0" w:line="8" w:lineRule="exact"/>
        <w:rPr>
          <w:rFonts w:ascii="Arial" w:cs="Arial" w:eastAsia="Arial" w:hAnsi="Arial"/>
          <w:sz w:val="17"/>
          <w:szCs w:val="17"/>
          <w:color w:val="auto"/>
        </w:rPr>
      </w:pPr>
    </w:p>
    <w:p>
      <w:pPr>
        <w:ind w:left="5" w:right="3499"/>
        <w:spacing w:after="0" w:line="260" w:lineRule="auto"/>
        <w:rPr>
          <w:rFonts w:ascii="Arial" w:cs="Arial" w:eastAsia="Arial" w:hAnsi="Arial"/>
          <w:sz w:val="17"/>
          <w:szCs w:val="17"/>
          <w:color w:val="auto"/>
        </w:rPr>
      </w:pPr>
      <w:r>
        <w:rPr>
          <w:rFonts w:ascii="Arial" w:cs="Arial" w:eastAsia="Arial" w:hAnsi="Arial"/>
          <w:sz w:val="18"/>
          <w:szCs w:val="18"/>
          <w:color w:val="auto"/>
        </w:rPr>
        <w:t>would have included in a proxy statement.</w:t>
      </w:r>
    </w:p>
    <w:p>
      <w:pPr>
        <w:spacing w:after="0" w:line="154" w:lineRule="exact"/>
        <w:rPr>
          <w:sz w:val="20"/>
          <w:szCs w:val="20"/>
          <w:color w:val="auto"/>
        </w:rPr>
      </w:pPr>
    </w:p>
    <w:p>
      <w:pPr>
        <w:sectPr>
          <w:pgSz w:w="11900" w:h="16838" w:orient="portrait"/>
          <w:cols w:equalWidth="0" w:num="2">
            <w:col w:w="2100" w:space="595"/>
            <w:col w:w="6324"/>
          </w:cols>
          <w:pgMar w:left="1440" w:top="274"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w w:val="99"/>
              </w:rPr>
              <w:t>Business combination</w:t>
            </w: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2"/>
              </w:rPr>
              <w:t>Pursuant to our amended and restated</w:t>
            </w:r>
          </w:p>
        </w:tc>
        <w:tc>
          <w:tcPr>
            <w:tcW w:w="2980" w:type="dxa"/>
            <w:vAlign w:val="bottom"/>
          </w:tcPr>
          <w:p>
            <w:pPr>
              <w:ind w:left="40"/>
              <w:spacing w:after="0"/>
              <w:rPr>
                <w:sz w:val="20"/>
                <w:szCs w:val="20"/>
                <w:color w:val="auto"/>
              </w:rPr>
            </w:pPr>
            <w:r>
              <w:rPr>
                <w:rFonts w:ascii="Arial" w:cs="Arial" w:eastAsia="Arial" w:hAnsi="Arial"/>
                <w:sz w:val="18"/>
                <w:szCs w:val="18"/>
                <w:color w:val="auto"/>
              </w:rPr>
              <w:t>If   an   acquisition   has   not   been</w:t>
            </w:r>
          </w:p>
        </w:tc>
      </w:tr>
      <w:tr>
        <w:trPr>
          <w:trHeight w:val="220"/>
        </w:trPr>
        <w:tc>
          <w:tcPr>
            <w:tcW w:w="1940" w:type="dxa"/>
            <w:vAlign w:val="bottom"/>
          </w:tcPr>
          <w:p>
            <w:pPr>
              <w:ind w:left="180"/>
              <w:spacing w:after="0"/>
              <w:rPr>
                <w:sz w:val="20"/>
                <w:szCs w:val="20"/>
                <w:color w:val="auto"/>
              </w:rPr>
            </w:pPr>
            <w:r>
              <w:rPr>
                <w:rFonts w:ascii="Arial" w:cs="Arial" w:eastAsia="Arial" w:hAnsi="Arial"/>
                <w:sz w:val="18"/>
                <w:szCs w:val="18"/>
                <w:b w:val="1"/>
                <w:bCs w:val="1"/>
                <w:color w:val="auto"/>
              </w:rPr>
              <w:t>deadline</w:t>
            </w: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certificate of incorporation, if we are</w:t>
            </w:r>
          </w:p>
        </w:tc>
        <w:tc>
          <w:tcPr>
            <w:tcW w:w="2980" w:type="dxa"/>
            <w:vAlign w:val="bottom"/>
          </w:tcPr>
          <w:p>
            <w:pPr>
              <w:ind w:left="40"/>
              <w:spacing w:after="0"/>
              <w:rPr>
                <w:sz w:val="20"/>
                <w:szCs w:val="20"/>
                <w:color w:val="auto"/>
              </w:rPr>
            </w:pPr>
            <w:r>
              <w:rPr>
                <w:rFonts w:ascii="Arial" w:cs="Arial" w:eastAsia="Arial" w:hAnsi="Arial"/>
                <w:sz w:val="18"/>
                <w:szCs w:val="18"/>
                <w:color w:val="auto"/>
                <w:w w:val="99"/>
              </w:rPr>
              <w:t>consummated within 18 months after</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3"/>
              </w:rPr>
              <w:t>unable to complete our initial business</w:t>
            </w:r>
          </w:p>
        </w:tc>
        <w:tc>
          <w:tcPr>
            <w:tcW w:w="2980" w:type="dxa"/>
            <w:vAlign w:val="bottom"/>
          </w:tcPr>
          <w:p>
            <w:pPr>
              <w:ind w:left="40"/>
              <w:spacing w:after="0"/>
              <w:rPr>
                <w:sz w:val="20"/>
                <w:szCs w:val="20"/>
                <w:color w:val="auto"/>
              </w:rPr>
            </w:pPr>
            <w:r>
              <w:rPr>
                <w:rFonts w:ascii="Arial" w:cs="Arial" w:eastAsia="Arial" w:hAnsi="Arial"/>
                <w:sz w:val="18"/>
                <w:szCs w:val="18"/>
                <w:color w:val="auto"/>
              </w:rPr>
              <w:t>the  effective  date  of  the  initial</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combination within 18 months from</w:t>
            </w:r>
          </w:p>
        </w:tc>
        <w:tc>
          <w:tcPr>
            <w:tcW w:w="2980" w:type="dxa"/>
            <w:vAlign w:val="bottom"/>
          </w:tcPr>
          <w:p>
            <w:pPr>
              <w:ind w:left="40"/>
              <w:spacing w:after="0"/>
              <w:rPr>
                <w:sz w:val="20"/>
                <w:szCs w:val="20"/>
                <w:color w:val="auto"/>
              </w:rPr>
            </w:pPr>
            <w:r>
              <w:rPr>
                <w:rFonts w:ascii="Arial" w:cs="Arial" w:eastAsia="Arial" w:hAnsi="Arial"/>
                <w:sz w:val="18"/>
                <w:szCs w:val="18"/>
                <w:color w:val="auto"/>
                <w:w w:val="92"/>
              </w:rPr>
              <w:t>registration statement, funds held in the</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the closing of this offering, we will</w:t>
            </w:r>
          </w:p>
        </w:tc>
        <w:tc>
          <w:tcPr>
            <w:tcW w:w="2980" w:type="dxa"/>
            <w:vAlign w:val="bottom"/>
          </w:tcPr>
          <w:p>
            <w:pPr>
              <w:ind w:left="40"/>
              <w:spacing w:after="0"/>
              <w:rPr>
                <w:sz w:val="20"/>
                <w:szCs w:val="20"/>
                <w:color w:val="auto"/>
              </w:rPr>
            </w:pPr>
            <w:r>
              <w:rPr>
                <w:rFonts w:ascii="Arial" w:cs="Arial" w:eastAsia="Arial" w:hAnsi="Arial"/>
                <w:sz w:val="18"/>
                <w:szCs w:val="18"/>
                <w:color w:val="auto"/>
              </w:rPr>
              <w:t>trust  or  escrow  account  would  be</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6"/>
              </w:rPr>
              <w:t>(i) cease all operations except for the</w:t>
            </w:r>
          </w:p>
        </w:tc>
        <w:tc>
          <w:tcPr>
            <w:tcW w:w="2980" w:type="dxa"/>
            <w:vAlign w:val="bottom"/>
          </w:tcPr>
          <w:p>
            <w:pPr>
              <w:ind w:left="40"/>
              <w:spacing w:after="0"/>
              <w:rPr>
                <w:sz w:val="20"/>
                <w:szCs w:val="20"/>
                <w:color w:val="auto"/>
              </w:rPr>
            </w:pPr>
            <w:r>
              <w:rPr>
                <w:rFonts w:ascii="Arial" w:cs="Arial" w:eastAsia="Arial" w:hAnsi="Arial"/>
                <w:sz w:val="18"/>
                <w:szCs w:val="18"/>
                <w:color w:val="auto"/>
              </w:rPr>
              <w:t>returned to investors.</w:t>
            </w: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8"/>
              </w:rPr>
              <w:t>purpose  of  winding  up  and  (ii)  as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9"/>
              </w:rPr>
              <w:t>promptly as reasonably possible but</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not  more  than  ten  business  days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thereafter,  redeem  100%  of  the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outstanding public subunits, at a per-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1"/>
              </w:rPr>
              <w:t>subunit price, payable in cash, equal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the aggregate amount then on deposit</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in  the  trust  account,  including  any</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9"/>
              </w:rPr>
              <w:t>interest not released to us but net of</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franchise and income taxes payable,</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divided  by  the  number  of  then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w w:val="98"/>
              </w:rPr>
              <w:t>outstanding</w:t>
            </w:r>
          </w:p>
        </w:tc>
        <w:tc>
          <w:tcPr>
            <w:tcW w:w="540" w:type="dxa"/>
            <w:vAlign w:val="bottom"/>
          </w:tcPr>
          <w:p>
            <w:pPr>
              <w:ind w:left="40"/>
              <w:spacing w:after="0"/>
              <w:rPr>
                <w:sz w:val="20"/>
                <w:szCs w:val="20"/>
                <w:color w:val="auto"/>
              </w:rPr>
            </w:pPr>
            <w:r>
              <w:rPr>
                <w:rFonts w:ascii="Arial" w:cs="Arial" w:eastAsia="Arial" w:hAnsi="Arial"/>
                <w:sz w:val="18"/>
                <w:szCs w:val="18"/>
                <w:color w:val="auto"/>
              </w:rPr>
              <w:t>public</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subunits,  which</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6"/>
              </w:rPr>
              <w:t>redemption will completely extinguish</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public</w:t>
            </w: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stockholders’</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rights</w:t>
            </w:r>
          </w:p>
        </w:tc>
        <w:tc>
          <w:tcPr>
            <w:tcW w:w="380" w:type="dxa"/>
            <w:vAlign w:val="bottom"/>
          </w:tcPr>
          <w:p>
            <w:pPr>
              <w:jc w:val="right"/>
              <w:spacing w:after="0"/>
              <w:rPr>
                <w:sz w:val="20"/>
                <w:szCs w:val="20"/>
                <w:color w:val="auto"/>
              </w:rPr>
            </w:pPr>
            <w:r>
              <w:rPr>
                <w:rFonts w:ascii="Arial" w:cs="Arial" w:eastAsia="Arial" w:hAnsi="Arial"/>
                <w:sz w:val="18"/>
                <w:szCs w:val="18"/>
                <w:color w:val="auto"/>
              </w:rPr>
              <w:t>as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stockholders  (including  the  right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receive</w:t>
            </w:r>
          </w:p>
        </w:tc>
        <w:tc>
          <w:tcPr>
            <w:tcW w:w="30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further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liquidation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distributions,  if  any),  subject  to</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180" w:type="dxa"/>
            <w:vAlign w:val="bottom"/>
            <w:gridSpan w:val="4"/>
          </w:tcPr>
          <w:p>
            <w:pPr>
              <w:ind w:left="300"/>
              <w:spacing w:after="0"/>
              <w:rPr>
                <w:sz w:val="20"/>
                <w:szCs w:val="20"/>
                <w:color w:val="auto"/>
              </w:rPr>
            </w:pPr>
            <w:r>
              <w:rPr>
                <w:rFonts w:ascii="Arial" w:cs="Arial" w:eastAsia="Arial" w:hAnsi="Arial"/>
                <w:sz w:val="18"/>
                <w:szCs w:val="18"/>
                <w:color w:val="auto"/>
              </w:rPr>
              <w:t>applicable  law.  Public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1"/>
              </w:rPr>
              <w:t>stockholders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will  also  forfeit  the  one-quarter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warrant included in the subunits being</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redeemed. As promptly as reasonably</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w w:val="93"/>
              </w:rPr>
              <w:t>possible</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following</w:t>
            </w:r>
          </w:p>
        </w:tc>
        <w:tc>
          <w:tcPr>
            <w:tcW w:w="400" w:type="dxa"/>
            <w:vAlign w:val="bottom"/>
          </w:tcPr>
          <w:p>
            <w:pPr>
              <w:ind w:left="40"/>
              <w:spacing w:after="0"/>
              <w:rPr>
                <w:sz w:val="20"/>
                <w:szCs w:val="20"/>
                <w:color w:val="auto"/>
              </w:rPr>
            </w:pPr>
            <w:r>
              <w:rPr>
                <w:rFonts w:ascii="Arial" w:cs="Arial" w:eastAsia="Arial" w:hAnsi="Arial"/>
                <w:sz w:val="18"/>
                <w:szCs w:val="18"/>
                <w:color w:val="auto"/>
                <w:w w:val="89"/>
              </w:rPr>
              <w:t>such</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6"/>
              </w:rPr>
              <w:t>redemption,</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subject  to  the  approval  of  our</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4"/>
              </w:rPr>
              <w:t>remaining stockholders and our board</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rPr>
              <w:t>of  directors,  we  will  dissolve  and</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6"/>
              </w:rPr>
              <w:t>liquidate,  subject  to  our  obligations</w:t>
            </w:r>
          </w:p>
        </w:tc>
        <w:tc>
          <w:tcPr>
            <w:tcW w:w="298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color w:val="auto"/>
                <w:w w:val="97"/>
              </w:rPr>
              <w:t>under  Delaware  law  to  provide  for</w:t>
            </w:r>
          </w:p>
        </w:tc>
        <w:tc>
          <w:tcPr>
            <w:tcW w:w="2980" w:type="dxa"/>
            <w:vAlign w:val="bottom"/>
          </w:tcPr>
          <w:p>
            <w:pPr>
              <w:spacing w:after="0"/>
              <w:rPr>
                <w:sz w:val="18"/>
                <w:szCs w:val="18"/>
                <w:color w:val="auto"/>
              </w:rPr>
            </w:pPr>
          </w:p>
        </w:tc>
      </w:tr>
      <w:tr>
        <w:trPr>
          <w:trHeight w:val="230"/>
        </w:trPr>
        <w:tc>
          <w:tcPr>
            <w:tcW w:w="194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claims</w:t>
            </w:r>
          </w:p>
        </w:tc>
        <w:tc>
          <w:tcPr>
            <w:tcW w:w="300" w:type="dxa"/>
            <w:vAlign w:val="bottom"/>
          </w:tcPr>
          <w:p>
            <w:pPr>
              <w:ind w:left="100"/>
              <w:spacing w:after="0"/>
              <w:rPr>
                <w:sz w:val="20"/>
                <w:szCs w:val="20"/>
                <w:color w:val="auto"/>
              </w:rPr>
            </w:pPr>
            <w:r>
              <w:rPr>
                <w:rFonts w:ascii="Arial" w:cs="Arial" w:eastAsia="Arial" w:hAnsi="Arial"/>
                <w:sz w:val="18"/>
                <w:szCs w:val="18"/>
                <w:color w:val="auto"/>
              </w:rPr>
              <w:t>of</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creditors</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380" w:type="dxa"/>
            <w:vAlign w:val="bottom"/>
          </w:tcPr>
          <w:p>
            <w:pPr>
              <w:jc w:val="right"/>
              <w:spacing w:after="0"/>
              <w:rPr>
                <w:sz w:val="20"/>
                <w:szCs w:val="20"/>
                <w:color w:val="auto"/>
              </w:rPr>
            </w:pPr>
            <w:r>
              <w:rPr>
                <w:rFonts w:ascii="Arial" w:cs="Arial" w:eastAsia="Arial" w:hAnsi="Arial"/>
                <w:sz w:val="18"/>
                <w:szCs w:val="18"/>
                <w:color w:val="auto"/>
              </w:rPr>
              <w:t>the</w:t>
            </w:r>
          </w:p>
        </w:tc>
        <w:tc>
          <w:tcPr>
            <w:tcW w:w="2980" w:type="dxa"/>
            <w:vAlign w:val="bottom"/>
          </w:tcPr>
          <w:p>
            <w:pPr>
              <w:spacing w:after="0"/>
              <w:rPr>
                <w:sz w:val="20"/>
                <w:szCs w:val="20"/>
                <w:color w:val="auto"/>
              </w:rPr>
            </w:pPr>
          </w:p>
        </w:tc>
      </w:tr>
    </w:tbl>
    <w:p>
      <w:pPr>
        <w:ind w:left="2700"/>
        <w:spacing w:after="0"/>
        <w:rPr>
          <w:sz w:val="20"/>
          <w:szCs w:val="20"/>
          <w:color w:val="auto"/>
        </w:rPr>
      </w:pPr>
      <w:r>
        <w:rPr>
          <w:rFonts w:ascii="Arial" w:cs="Arial" w:eastAsia="Arial" w:hAnsi="Arial"/>
          <w:sz w:val="18"/>
          <w:szCs w:val="18"/>
          <w:color w:val="auto"/>
        </w:rPr>
        <w:t>requirements of other applicable law.</w:t>
      </w:r>
    </w:p>
    <w:p>
      <w:pPr>
        <w:sectPr>
          <w:pgSz w:w="11900" w:h="16838" w:orient="portrait"/>
          <w:cols w:equalWidth="0" w:num="1">
            <w:col w:w="9019"/>
          </w:cols>
          <w:pgMar w:left="1440" w:top="274" w:right="1440"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3" w:name="page74"/>
    <w:bookmarkEnd w:id="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Interest earned on the</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funds in the trust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Release of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660"/>
        <w:spacing w:after="0"/>
        <w:tabs>
          <w:tab w:leader="none" w:pos="3200" w:val="left"/>
        </w:tabs>
        <w:rPr>
          <w:sz w:val="20"/>
          <w:szCs w:val="20"/>
          <w:color w:val="auto"/>
        </w:rPr>
      </w:pPr>
      <w:r>
        <w:rPr>
          <w:rFonts w:ascii="Arial" w:cs="Arial" w:eastAsia="Arial" w:hAnsi="Arial"/>
          <w:sz w:val="16"/>
          <w:szCs w:val="16"/>
          <w:b w:val="1"/>
          <w:bCs w:val="1"/>
          <w:color w:val="auto"/>
        </w:rPr>
        <w:t>Terms of the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jc w:val="both"/>
        <w:ind w:right="459"/>
        <w:spacing w:after="0" w:line="271" w:lineRule="auto"/>
        <w:rPr>
          <w:sz w:val="20"/>
          <w:szCs w:val="20"/>
          <w:color w:val="auto"/>
        </w:rPr>
      </w:pPr>
      <w:r>
        <w:rPr>
          <w:rFonts w:ascii="Arial" w:cs="Arial" w:eastAsia="Arial" w:hAnsi="Arial"/>
          <w:sz w:val="17"/>
          <w:szCs w:val="17"/>
          <w:color w:val="auto"/>
        </w:rPr>
        <w:t>There can be released to us, from time All interest earned on the funds in the to time, any interest earned on the trust account will be held in trust for the funds in the trust account that we may benefit of public stockholders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-419100</wp:posOffset>
            </wp:positionV>
            <wp:extent cx="37204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tabs>
          <w:tab w:leader="none" w:pos="2900" w:val="left"/>
        </w:tabs>
        <w:rPr>
          <w:sz w:val="20"/>
          <w:szCs w:val="20"/>
          <w:color w:val="auto"/>
        </w:rPr>
      </w:pPr>
      <w:r>
        <w:rPr>
          <w:rFonts w:ascii="Arial" w:cs="Arial" w:eastAsia="Arial" w:hAnsi="Arial"/>
          <w:sz w:val="18"/>
          <w:szCs w:val="18"/>
          <w:color w:val="auto"/>
        </w:rPr>
        <w:t>need to pay our tax obligations.</w:t>
      </w:r>
      <w:r>
        <w:rPr>
          <w:sz w:val="20"/>
          <w:szCs w:val="20"/>
          <w:color w:val="auto"/>
        </w:rPr>
        <w:tab/>
      </w:r>
      <w:r>
        <w:rPr>
          <w:rFonts w:ascii="Arial" w:cs="Arial" w:eastAsia="Arial" w:hAnsi="Arial"/>
          <w:sz w:val="17"/>
          <w:szCs w:val="17"/>
          <w:color w:val="auto"/>
        </w:rPr>
        <w:t>earlier of the completion of a business</w:t>
      </w:r>
    </w:p>
    <w:p>
      <w:pPr>
        <w:ind w:left="2920"/>
        <w:spacing w:after="0" w:line="195" w:lineRule="auto"/>
        <w:rPr>
          <w:sz w:val="20"/>
          <w:szCs w:val="20"/>
          <w:color w:val="auto"/>
        </w:rPr>
      </w:pPr>
      <w:r>
        <w:rPr>
          <w:rFonts w:ascii="Arial" w:cs="Arial" w:eastAsia="Arial" w:hAnsi="Arial"/>
          <w:sz w:val="17"/>
          <w:szCs w:val="17"/>
          <w:color w:val="auto"/>
        </w:rPr>
        <w:t>combination and our liquidation upon</w:t>
      </w:r>
    </w:p>
    <w:p>
      <w:pPr>
        <w:spacing w:after="0" w:line="180" w:lineRule="auto"/>
        <w:rPr>
          <w:sz w:val="20"/>
          <w:szCs w:val="20"/>
          <w:color w:val="auto"/>
        </w:rPr>
      </w:pPr>
      <w:r>
        <w:rPr>
          <w:rFonts w:ascii="Arial" w:cs="Arial" w:eastAsia="Arial" w:hAnsi="Arial"/>
          <w:sz w:val="25"/>
          <w:szCs w:val="25"/>
          <w:color w:val="auto"/>
          <w:vertAlign w:val="superscript"/>
        </w:rPr>
        <w:t>The remaining interest earned on the</w:t>
      </w:r>
      <w:r>
        <w:rPr>
          <w:rFonts w:ascii="Arial" w:cs="Arial" w:eastAsia="Arial" w:hAnsi="Arial"/>
          <w:sz w:val="14"/>
          <w:szCs w:val="14"/>
          <w:color w:val="auto"/>
        </w:rPr>
        <w:t xml:space="preserve"> failure to effect a business combination</w:t>
      </w:r>
    </w:p>
    <w:p>
      <w:pPr>
        <w:spacing w:after="0" w:line="180" w:lineRule="auto"/>
        <w:rPr>
          <w:sz w:val="20"/>
          <w:szCs w:val="20"/>
          <w:color w:val="auto"/>
        </w:rPr>
      </w:pPr>
      <w:r>
        <w:rPr>
          <w:rFonts w:ascii="Arial" w:cs="Arial" w:eastAsia="Arial" w:hAnsi="Arial"/>
          <w:sz w:val="14"/>
          <w:szCs w:val="14"/>
          <w:color w:val="auto"/>
        </w:rPr>
        <w:t xml:space="preserve">funds in the trust account will not be </w:t>
      </w:r>
      <w:r>
        <w:rPr>
          <w:rFonts w:ascii="Arial" w:cs="Arial" w:eastAsia="Arial" w:hAnsi="Arial"/>
          <w:sz w:val="25"/>
          <w:szCs w:val="25"/>
          <w:color w:val="auto"/>
          <w:vertAlign w:val="subscript"/>
        </w:rPr>
        <w:t>within the allotted time.</w:t>
      </w:r>
    </w:p>
    <w:p>
      <w:pPr>
        <w:spacing w:after="0" w:line="1" w:lineRule="exact"/>
        <w:rPr>
          <w:sz w:val="20"/>
          <w:szCs w:val="20"/>
          <w:color w:val="auto"/>
        </w:rPr>
      </w:pPr>
    </w:p>
    <w:p>
      <w:pPr>
        <w:spacing w:after="0"/>
        <w:tabs>
          <w:tab w:leader="none" w:pos="740" w:val="left"/>
          <w:tab w:leader="none" w:pos="1240" w:val="left"/>
          <w:tab w:leader="none" w:pos="1620" w:val="left"/>
          <w:tab w:leader="none" w:pos="2260" w:val="left"/>
          <w:tab w:leader="none" w:pos="2580" w:val="left"/>
        </w:tabs>
        <w:rPr>
          <w:sz w:val="20"/>
          <w:szCs w:val="20"/>
          <w:color w:val="auto"/>
        </w:rPr>
      </w:pPr>
      <w:r>
        <w:rPr>
          <w:rFonts w:ascii="Arial" w:cs="Arial" w:eastAsia="Arial" w:hAnsi="Arial"/>
          <w:sz w:val="18"/>
          <w:szCs w:val="18"/>
          <w:color w:val="auto"/>
        </w:rPr>
        <w:t>released</w:t>
        <w:tab/>
        <w:t>until</w:t>
        <w:tab/>
        <w:t>the</w:t>
        <w:tab/>
        <w:t>earlier</w:t>
        <w:tab/>
        <w:t>of</w:t>
      </w:r>
      <w:r>
        <w:rPr>
          <w:sz w:val="20"/>
          <w:szCs w:val="20"/>
          <w:color w:val="auto"/>
        </w:rPr>
        <w:tab/>
      </w:r>
      <w:r>
        <w:rPr>
          <w:rFonts w:ascii="Arial" w:cs="Arial" w:eastAsia="Arial" w:hAnsi="Arial"/>
          <w:sz w:val="15"/>
          <w:szCs w:val="15"/>
          <w:color w:val="auto"/>
        </w:rPr>
        <w:t>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completion of a business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our  liquidation  upon  failure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a business combination within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allotted time.</w:t>
      </w:r>
    </w:p>
    <w:p>
      <w:pPr>
        <w:spacing w:after="0" w:line="184"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Except for any interest earned on the The proceeds held in the escrow account funds in the trust account that we may would not be released to the company need to pay our tax obligations, the until the earlier of the completion of a proceeds held in the trust account will business combination or the failure to not be released to us until the earlier of effect a business combination within the the completion of a business allotted time. combination and our liquidation upon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failure to effect a business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 the allotted time.</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14605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140" w:space="560"/>
            <w:col w:w="6319"/>
          </w:cols>
          <w:pgMar w:left="1440" w:top="274" w:right="1440" w:bottom="1440" w:gutter="0" w:footer="0" w:header="0"/>
        </w:sectPr>
      </w:pPr>
    </w:p>
    <w:bookmarkStart w:id="74" w:name="page75"/>
    <w:bookmarkEnd w:id="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directors and executive officers upon the effective date of the registration statement of which this prospectus forms part will be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Age</w:t>
            </w:r>
          </w:p>
        </w:tc>
        <w:tc>
          <w:tcPr>
            <w:tcW w:w="3980" w:type="dxa"/>
            <w:vAlign w:val="bottom"/>
          </w:tcPr>
          <w:p>
            <w:pPr>
              <w:ind w:left="172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4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Eric R. Ball</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 nominee</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Stephen N. Cannon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&amp; President</w:t>
            </w: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64"/>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Sheehan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 nominee</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Long Long</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63"/>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Bryant B. Edwards</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Dr. Luc Julia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40"/>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tcPr>
          <w:p>
            <w:pPr>
              <w:spacing w:after="0"/>
              <w:rPr>
                <w:sz w:val="3"/>
                <w:szCs w:val="3"/>
                <w:color w:val="auto"/>
              </w:rPr>
            </w:pPr>
          </w:p>
        </w:tc>
      </w:tr>
      <w:tr>
        <w:trPr>
          <w:trHeight w:val="243"/>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P. Pai</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40"/>
        </w:trPr>
        <w:tc>
          <w:tcPr>
            <w:tcW w:w="3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9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b w:val="1"/>
          <w:bCs w:val="1"/>
          <w:color w:val="auto"/>
        </w:rPr>
        <w:t xml:space="preserve">Dr. Eric R. Ball </w:t>
      </w:r>
      <w:r>
        <w:rPr>
          <w:rFonts w:ascii="Arial" w:cs="Arial" w:eastAsia="Arial" w:hAnsi="Arial"/>
          <w:sz w:val="17"/>
          <w:szCs w:val="17"/>
          <w:color w:val="auto"/>
        </w:rPr>
        <w:t>will serve as our Chairman commencing upon the effectiveness of the registration statement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this prospectus forms a part.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since 2013.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w:t>
      </w:r>
      <w:r>
        <w:rPr>
          <w:rFonts w:ascii="Arial" w:cs="Arial" w:eastAsia="Arial" w:hAnsi="Arial"/>
          <w:sz w:val="17"/>
          <w:szCs w:val="17"/>
          <w:i w:val="1"/>
          <w:iCs w:val="1"/>
          <w:color w:val="auto"/>
        </w:rPr>
        <w:t>.</w:t>
      </w:r>
      <w:r>
        <w:rPr>
          <w:rFonts w:ascii="Arial" w:cs="Arial" w:eastAsia="Arial" w:hAnsi="Arial"/>
          <w:sz w:val="17"/>
          <w:szCs w:val="17"/>
          <w:color w:val="auto"/>
        </w:rPr>
        <w:t xml:space="preserve"> We believe that Dr. Ball is well-qualified to serve as a director of the company given his extensive finance, mergers &amp; acquisition, investing and public company experience in the technology industry.</w:t>
      </w:r>
    </w:p>
    <w:p>
      <w:pPr>
        <w:spacing w:after="0" w:line="72"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7"/>
          <w:szCs w:val="17"/>
          <w:b w:val="1"/>
          <w:bCs w:val="1"/>
          <w:color w:val="auto"/>
        </w:rPr>
        <w:t xml:space="preserve">Stephen N. Cannon </w:t>
      </w:r>
      <w:r>
        <w:rPr>
          <w:rFonts w:ascii="Arial" w:cs="Arial" w:eastAsia="Arial" w:hAnsi="Arial"/>
          <w:sz w:val="17"/>
          <w:szCs w:val="17"/>
          <w:color w:val="auto"/>
        </w:rPr>
        <w:t>has been our Chief Executive Officer &amp; President since September 2020, and our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from September 2020 to the effectiveness of the registration statement of which this prospectus forms a part. Since August 2020, Mr. Cannon has been the Chief Operating Officer and President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 Since August 2019, Mr. Cannon has been the Chief Operating Officer and President of Ackrell SPAC Partners I Co., a blank check company which completed a $140 million IPO on December 21, 2020, and intends to focus on fast-moving consumer goods business globally, with an emphasis on beverage and wellness sectors. Since 2014, Mr. Cannon has been President of Everest Partners Limited, a privately-owned investment firm focused on Asian private investments. From 2017 to 2019, Mr. Cannon was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2010 to 2014, Mr. Cannon was a Partner and Head of China for RedBridge Group Ltd., a boutique merchant banking firm focused on Chinese and Arabian Gulf cross-border investments. From 2009 to 2014, Mr. Cannon was a registered representative of, and senior advisor to, Ackrell Capital.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 From 2005 to 2008, Mr. Cannon served as a Managing Director of Asian investment banking for WR Hambrecht+Co. Prior to WR Hambrecht + Co., Mr. Cannon worked at ABN AMRO, Donaldson, Lufkin &amp; Jenrette, Smith Barney Shearson and Salomon Brothers. Mr. Cannon currently serves on the board of the Cambodian Hotel Association. Mr. Cannon graduated from the University of Notre Dame with a Bachelor of Arts degree in Economics and a Bachelor of Science degree, majoring in Mechanical Engineering.</w:t>
      </w:r>
    </w:p>
    <w:p>
      <w:pPr>
        <w:sectPr>
          <w:pgSz w:w="11900" w:h="16838" w:orient="portrait"/>
          <w:cols w:equalWidth="0" w:num="1">
            <w:col w:w="9019"/>
          </w:cols>
          <w:pgMar w:left="1440" w:top="274" w:right="1440"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5" w:name="page76"/>
    <w:bookmarkEnd w:id="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b w:val="1"/>
          <w:bCs w:val="1"/>
          <w:color w:val="auto"/>
        </w:rPr>
        <w:t xml:space="preserve">Daniel L. Sheehan </w:t>
      </w:r>
      <w:r>
        <w:rPr>
          <w:rFonts w:ascii="Arial" w:cs="Arial" w:eastAsia="Arial" w:hAnsi="Arial"/>
          <w:sz w:val="16"/>
          <w:szCs w:val="16"/>
          <w:color w:val="auto"/>
        </w:rPr>
        <w:t>will serve as our Chief Operating Officer commencing upon the effectiveness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of which this prospectus forms a part. Since December 2020, Mr Sheehan has been a Director of Ackrell SPAC Partners I Co. Since 1995, Mr. Sheehan has been an attorney licensed in the State of California. Since 2004, Mr. Sheehan has been the founder and managing partner of Silicon Valley Wealth Law, a law firm specializing in estate planning, tax planning, business planning, and special needs planning. Mr. Sheehan has designed and drafted over 1,000 estate plans for clients throughout Silicon Valley. Mr. Sheehan has expertise in handling federal and state income tax matters and disputes, in the formation and operation of business entities, and has provided strategic planning and technology enhancement guidance to new business ventures and established companies. Mr. Sheehan has senior management experience with companies in a range of industries, including computer-aided manufacturing, real estate development, health care, mining, and law. Mr. Sheehan has frequently consulted with venture capitalists to review and advise them about investment opportunities. From 2011 to 2013, Mr. Sheehan was Chief Executive Officer of North Star Resources, a provider of technology for the extraction and refining of precious and strategic metals. From 1996 to 2004, Mr. Sheehan was a partner in the law firm of Davidson, Sheehan &amp; Jewel. In 2010, Mr. Sheehan filed for personal bankruptcy under Chapter 13, which was completed in May 2014 with no debts being discharged. Mr. Sheehan graduated from St. Mary’s College of California with a Bachelor of Arts degree in Business Management with honors. Mr. Sheehan received his Juris Doctor from the University of San Francisco School of Law.</w:t>
      </w:r>
    </w:p>
    <w:p>
      <w:pPr>
        <w:spacing w:after="0" w:line="6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b w:val="1"/>
          <w:bCs w:val="1"/>
          <w:color w:val="auto"/>
        </w:rPr>
        <w:t xml:space="preserve">Long Long </w:t>
      </w:r>
      <w:r>
        <w:rPr>
          <w:rFonts w:ascii="Arial" w:cs="Arial" w:eastAsia="Arial" w:hAnsi="Arial"/>
          <w:sz w:val="17"/>
          <w:szCs w:val="17"/>
          <w:color w:val="auto"/>
        </w:rPr>
        <w:t>has been our Chief Financial Officer since September 2020. Since August 2020, Mr. Long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Financial Officer of Global SPAC Partners Co. Since August 2019, Mr. Long has been the Chief Financial Officer of Ackrell SPAC Partners I Co. From 2017 to 2019, Mr. Long was Vice President of Twelve Seas Sponsors I LLC, sponsor of Twelve Seas Investment Company. From 2006 to 2016, Mr. Long worked for IBM in a variety of Corporate Finance, Audit, and Managerial roles, both within the US and internationally. From 2015 to 2016, Mr. Long served as Finance Controller for IBM China’s Consulting Business Unit and Sales Channels. From 2013 to 2014, Mr. Long served as the Strategy and Planning Manager for IBM China and, from January 2012 to December 2012, as a Senior Finance Analyst for IBM China. From 2010 to 2011, Mr. Long served as Internal Auditor for IBM’s Asia Pacific region and, from 2006 to 2009, as a financial analyst for IBM’s worldwide operations. Mr. Long graduated from Washington University in St. Louis with a Bachelor of Science and Business Administration degree, majoring in Finance and a Bachelor of Science degree, majoring in Electrical Engineering.</w:t>
      </w:r>
    </w:p>
    <w:p>
      <w:pPr>
        <w:spacing w:after="0" w:line="7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b w:val="1"/>
          <w:bCs w:val="1"/>
          <w:color w:val="auto"/>
        </w:rPr>
        <w:t xml:space="preserve">Bryant B. Edwards </w:t>
      </w:r>
      <w:r>
        <w:rPr>
          <w:rFonts w:ascii="Arial" w:cs="Arial" w:eastAsia="Arial" w:hAnsi="Arial"/>
          <w:sz w:val="16"/>
          <w:szCs w:val="16"/>
          <w:color w:val="auto"/>
        </w:rPr>
        <w:t>will serve as a Director commencing upon the effectiveness of the registration statement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this prospectus forms a part. Since August 2020, Mr. Edwards has been the Chief Executive Officer and Director of Global SPAC Partners Co. From 2018 to 2019, Mr. Edwards was the Chief Operating Officer and Director of Twelve Seas, which consummated its initial business combination with BPGIC, Ltd. Mr. Edwards retired from Latham &amp; Watkins, a global law firm, in 2016, after a 35-year legal career. From 1981 to 2016, Mr. Edwards served as both a practicing corporate and securities attorney, as well as in various management roles building the Latham &amp; Watkins’ practices in Europe (from 2000 to 2008), the Middle East (from 2008 to 2012) and then East Asia (from 2012 to 2016). From 2004 to 2008, Mr. Edwards served as Chair of the European High Yield Association (EHYA) and helped establish the Gulf Bond &amp; Sukuk Association, the trade association representing the Arabian Gulf fixed income market (GBSA) and, from 2008 to 2012, served on its Steering Committee and as Chair of its Regulatory Committee. Additionally, from 2012 to 2016, Mr. Edwards served as Vice-Chair of the Credit Markets Committee of the Asia Securities &amp; Financial Markets Committee (ASIFMA). Mr. Edwards has served as a Board of Brooge Energy Limited (f.k.a. BPGIC Ltd), a petroleum and gas company located in the UAE, since 2020. Mr. Edwards graduated from Brigham Young University with a Bachelor of Arts degree and received his Juris Doctor from the University of Chicago Law School. We believe that Mr. Edwards is well-qualified to serve as a director of the company given his in-depth knowledge of corporate, securities and regulatory law.</w:t>
      </w:r>
    </w:p>
    <w:p>
      <w:pPr>
        <w:spacing w:after="0" w:line="27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color w:val="auto"/>
        </w:rPr>
        <w:t xml:space="preserve">Dr. Luc Julia </w:t>
      </w:r>
      <w:r>
        <w:rPr>
          <w:rFonts w:ascii="Arial" w:cs="Arial" w:eastAsia="Arial" w:hAnsi="Arial"/>
          <w:sz w:val="16"/>
          <w:szCs w:val="16"/>
          <w:color w:val="auto"/>
        </w:rPr>
        <w:t>will serve as a Director commencing upon the effectiveness of the registration statement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this prospectus forms a part. Since December 2012, Dr. Julia has been the CTO and Senior Vice President of Innovation for Samsung Electronics. From 2011 to 2012, Dr. Julia served as a Director of Siri at Apple and was a co-author of Siri’s core patents. From 2010 to 2011, Dr. Julia served as the Chief Technologist at Hewlett-Packard. From 2000 to 2010, Dr. Julia served as the Co-founder and Vice President of R&amp;D of BravoBrava!, a tech incubator focusing on new interfaces for education, multimodal and multimedia products. From 2004 to 2010, Dr. Julia served as the CTO of ORB Networks, a start-up he co-founded that provided digital media streaming solutions for digital home and remote access applications. From 2001 to 2008, Dr. Julia served as the CTO of SpeaK ESL, a company he co-founded which leveraged speech recognition and web technologies to help non-native speakers to practice and improve their English. From 2000 to 2007, Dr. Julia served as the Vice President of R&amp;D of Soliloquy Learning, a company he co-founded which pioneered the Reading Assistant that combines advanced speech recognition technology with science-based</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6" w:name="page77"/>
    <w:bookmarkEnd w:id="7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interventions to help children strengthen their reading fluency, vocabulary, and comprehension. From 1994 to 2000, Dr. Julia served in several research roles at SRI International, an independent, non-profit research institute, during which time Dr. Julia co-founded Nuance Communications, now a multi-national software corporation focused on speech recognition and artificial intelligence. Dr. Julia received his Ph.D. in Computer Science at the Ecole Nationale Supérieure des Télécommunications de Paris. Dr. Julia graduated from the University Pierre et Marie Curie in Paris with a Bachelor of Science degree and a Master of Science degree in Mathematics and Computer Science. Dr. Julia is the recipient of Légion d’Honneur, the highest order of France, and is a member of France’s National Academy of Technologies. Dr. Julia is also the author of the bestselling book “There is no such thing as Artificial Intelligence” and holds dozens of patents. We believe that Dr. Julia is well-qualified to serve as a director of the company given his vast experience and significant accomplishments in the technology industry.</w:t>
      </w:r>
    </w:p>
    <w:p>
      <w:pPr>
        <w:spacing w:after="0" w:line="7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b w:val="1"/>
          <w:bCs w:val="1"/>
          <w:color w:val="auto"/>
        </w:rPr>
        <w:t xml:space="preserve">Rajan P. Pai </w:t>
      </w:r>
      <w:r>
        <w:rPr>
          <w:rFonts w:ascii="Arial" w:cs="Arial" w:eastAsia="Arial" w:hAnsi="Arial"/>
          <w:sz w:val="16"/>
          <w:szCs w:val="16"/>
          <w:color w:val="auto"/>
        </w:rPr>
        <w:t>will serve as a Director commencing upon the effectiveness of the registration statement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this prospectus forms a part. Since 2015, Mr. Pai has been the Vice President of System Applications at Credo, leading the development of high-performance transceiver solutions for service providers, datacenters and enterprise segments. From 1997 to 2015, Mr. Pai served in various engineering, sales and marketing roles at Marvell Semiconductor, Inc., including as the General Manager managing the storage business unit that offered system-on-chip (SOC) solutions for disk drive &amp; solid-state drive applications; Mr. Pai worked closely with finance, operational and M&amp;A teams during this time to successfully grow the division into a billion-dollar business. Prior to 1997, Mr. Pai served as an engineer at Texas Instruments, designing and developing PRML detectors for read channels. Mr. Pai graduated from the University of California, Irvine with a Bachelor of Science, majoring in Electrical &amp; Computer Engineering with a specialization in Systems &amp; Signal Processing. We believe that Mr. Pai is well-qualified to serve as a director of the company given his extensive engineering background and significant financial experience in a public company.</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Advisor and Technical Advisor</w:t>
      </w:r>
    </w:p>
    <w:p>
      <w:pPr>
        <w:spacing w:after="0" w:line="11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b w:val="1"/>
          <w:bCs w:val="1"/>
          <w:color w:val="auto"/>
        </w:rPr>
        <w:t xml:space="preserve">Brent Callinicos </w:t>
      </w:r>
      <w:r>
        <w:rPr>
          <w:rFonts w:ascii="Arial" w:cs="Arial" w:eastAsia="Arial" w:hAnsi="Arial"/>
          <w:sz w:val="17"/>
          <w:szCs w:val="17"/>
          <w:color w:val="auto"/>
        </w:rPr>
        <w:t>has been our special advisor since January 2021. Mr. Callinicos is currently an angel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active in investing in early-stage technology companies. From 2017 to 2018, Mr. Callinicos served as the Chief Operating Officer and Chief Financial Officer of Virgin Hyperloop One. From 2013 to 2015, Mr. Callinicos served as the Chief Financial Officer of Uber Technologies Inc. From 2007 to 2013, Mr. Callinicos worked at Google Inc., including as Vice President, Treasurer and Chief Accountant. From 1992 to 2007, Mr. Callinicos worked at Microsoft Corporation, including as Treasurer, Vice President of Worldwide Licensing and Pricing, and CFO of the Platforms and Services Division. Mr. Callinicos is on the board of directors of several companies including PVH Corp, a fashion &amp; apparel company and Rubicon Technologies, a private company. Mr. Callinicos has a Bachelor of Business Administration and an MBA from UNC Chapel Hill and is a Certified Public Accountant.</w:t>
      </w:r>
    </w:p>
    <w:p>
      <w:pPr>
        <w:spacing w:after="0" w:line="6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b w:val="1"/>
          <w:bCs w:val="1"/>
          <w:color w:val="auto"/>
        </w:rPr>
        <w:t xml:space="preserve">Maheedhar Gunturu </w:t>
      </w:r>
      <w:r>
        <w:rPr>
          <w:rFonts w:ascii="Arial" w:cs="Arial" w:eastAsia="Arial" w:hAnsi="Arial"/>
          <w:sz w:val="17"/>
          <w:szCs w:val="17"/>
          <w:color w:val="auto"/>
        </w:rPr>
        <w:t>has been our technical advisor since January 2021. Mr. Gunturu is a Silicon Valley</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with extensive experience in Big Data, Artificial Intelligence, Internet-of-Things, Cyber Security, 5G and various software ecosystems. Mr. Gunturu has also played an active role in open-source projects including Hadoop, Hbase, Spark, Kafka, Cassandra, OpenCV and PyTorch. Since 2018, Mr. Gunturu has been the Global Head and Senior Director of Partnership Engineering of ScyllaDB, an open-source distributed NoSQL column-oriented data store. From 2016 to 2018, Mr. Gunturu served as the Director of Cloud Engineering of SmartThings, a developer of automation software for smart homes and consumer Internet-of-Things. From 2016 to 2017, Mr. Gunturu worked as a Cloud Architect of VoltDB, an in-memory transactional database. From 2014 to 2016, Mr. Gunturu worked as a Cloud Architect for MapR Technologies, a business software distribution company that provides access to different Big Data workloads. From 2012 to 2014, Mr. Gunturu worked as an Architect for Zscaler, a cloud-based information security company. From 2008 to 2012, Mr. Gunturu worked as a Senior Software Engineer for Qualcomm as part of the Location technology/GNSS and GPS teams. Mr. Gunturu also serves as the Chief Executive Officer of Ittican, a non-profit organization focused on improving the quality of life for children. Mr. Gunturu has a Masters in Electrical and Computer Engineering from the University of Texas at San Antonio.</w:t>
      </w:r>
    </w:p>
    <w:p>
      <w:pPr>
        <w:spacing w:after="0" w:line="7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currently expect our advisors to (i) assist us in sourcing and negotiating with potential business combination targets, (ii) provide business insights when we assess potential business combination targets and (iii) upon our request, provide business insights as we work to create additional value in the businesses that we acquire. However, we have no formal agreement with our special advisors and they will not be under any fiduciary obligations to us. They will not perform board or committee functions, nor will they have any voting or decision-making capacity on our behalf. Additionally, our special advisors has no other employment or compensation arrangements with us. Moreover, our special advisors will also not be required to devote any specific amount of time to our efforts. Accordingly, if our advisors becomes aware of a business combination opportunity which is suitable for any of the entities to which he has fiduciary or</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contractual obligations, they will honor such fiduciary or contractual obligations to present such business combination opportunity to such entity, and only present it to us if such entity rejects the opportunity. We may modify or expand our roster of advisors as we source potential business combination targets or create value in businesses that we may acquire.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Prior Experience with Blank Check Companies</w:t>
      </w:r>
    </w:p>
    <w:p>
      <w:pPr>
        <w:spacing w:after="0" w:line="14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Stephen N. Cannon has been an executive officer of Ackrell SPAC Partners I Co. since 2019, most recently serving as the Chief Operating Officer and President. Mr. Cannon was, from 2017 to 2019, the Chief Financial Officer of Twelve Seas Investment Company, a blank check company with $207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w:t>
      </w:r>
    </w:p>
    <w:p>
      <w:pPr>
        <w:spacing w:after="0" w:line="10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Long Long has been the Chief Financial Officer of Ackrell SPAC Partners I Co. since 2019. Mr. Long was, from 2017 to 2019, the Vice President of Twelve Seas Sponsors I LLC, sponsor of Twelve Seas Investment Company.</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Bryant B. Edwards was, from 2018 to 2019, the Chief Operating Officer and Director of Twelve Seas Investment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 executive officer has received any cash compensation for services rendered to us. Commencing on the date of this prospectus through the acquisition of a target business, we will pay an affiliate of our Chief Executive Officer an aggregate fee of $10,000 per month for providing us with office space and certain office and secretarial services. However, this arrangement is solely for our benefit and is not intended to provide our Chief Executive Officer compensation in lieu of a salary.</w:t>
      </w:r>
    </w:p>
    <w:p>
      <w:pPr>
        <w:spacing w:after="0" w:line="12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1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However, the amount of such compensation may not be known at the time of the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or a periodic report, as required by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Currently Messrs. Ball, Edwards, Julia and Pai would each be considered an “independent director” under the Nasdaq listing rules,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Our independent directors will have regularly scheduled meetings at which only independent directors are present.</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Any affiliated transactions will be on terms no less favorable to us than could be obtained from independent parties. Our board of directors will review and approve all affiliated transactions with any interested director abstaining from such review and approval.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Effective upon the date of this prospectus, we will establish an audit committee of the board of directors, which will consist of Messrs. Ball, Edwards and Pai, each of whom is an independent director under Nasdaq’s listing standards. The audit committee’s duties, which are specified in our Audit Committee Charter, include, but are not limited to:</w:t>
      </w:r>
    </w:p>
    <w:p>
      <w:pPr>
        <w:spacing w:after="0" w:line="106" w:lineRule="exact"/>
        <w:rPr>
          <w:sz w:val="20"/>
          <w:szCs w:val="20"/>
          <w:color w:val="auto"/>
        </w:rPr>
      </w:pPr>
    </w:p>
    <w:p>
      <w:pPr>
        <w:jc w:val="both"/>
        <w:ind w:left="1320" w:right="479" w:hanging="434"/>
        <w:spacing w:after="0" w:line="263"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44" w:lineRule="exact"/>
        <w:rPr>
          <w:rFonts w:ascii="Arial" w:cs="Arial" w:eastAsia="Arial" w:hAnsi="Arial"/>
          <w:sz w:val="18"/>
          <w:szCs w:val="18"/>
          <w:color w:val="auto"/>
        </w:rPr>
      </w:pPr>
    </w:p>
    <w:p>
      <w:pPr>
        <w:jc w:val="both"/>
        <w:ind w:left="1320" w:right="479" w:hanging="434"/>
        <w:spacing w:after="0" w:line="286" w:lineRule="auto"/>
        <w:tabs>
          <w:tab w:leader="none" w:pos="1486"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7" w:lineRule="exact"/>
        <w:rPr>
          <w:rFonts w:ascii="Arial" w:cs="Arial" w:eastAsia="Arial" w:hAnsi="Arial"/>
          <w:sz w:val="17"/>
          <w:szCs w:val="17"/>
          <w:color w:val="auto"/>
        </w:rPr>
      </w:pPr>
    </w:p>
    <w:p>
      <w:pPr>
        <w:jc w:val="both"/>
        <w:ind w:left="1320" w:right="479" w:hanging="434"/>
        <w:spacing w:after="0" w:line="263" w:lineRule="auto"/>
        <w:tabs>
          <w:tab w:leader="none" w:pos="15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Nasdaq’s listing standards. Nasdaq’s standards define “financially literate” as being able to read and understand fundamental financial statements, including a company’s balance sheet, income statement and cash flow statement.</w:t>
      </w:r>
    </w:p>
    <w:p>
      <w:pPr>
        <w:spacing w:after="0" w:line="11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Ball and Mr. Edwards each qualifies as an “audit committee financial expert,” as defined under rules and regulations of the SEC.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Committee</w:t>
      </w:r>
    </w:p>
    <w:p>
      <w:pPr>
        <w:spacing w:after="0" w:line="148"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Effective upon the date of this prospectus, we will establish a nominating committee of the board of directors, which will consist of Messrs. Ball, Edwards and Pai. Messrs. Ball, Edwards and Pai are each an independent director under Nasdaq’s listing standards.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Committee Charter, generally provide that persons to be nominated:</w:t>
      </w:r>
    </w:p>
    <w:p>
      <w:pPr>
        <w:spacing w:after="0" w:line="103" w:lineRule="exact"/>
        <w:rPr>
          <w:sz w:val="20"/>
          <w:szCs w:val="20"/>
          <w:color w:val="auto"/>
        </w:rPr>
      </w:pPr>
    </w:p>
    <w:p>
      <w:pPr>
        <w:ind w:left="1320" w:right="479" w:hanging="434"/>
        <w:spacing w:after="0" w:line="277" w:lineRule="auto"/>
        <w:tabs>
          <w:tab w:leader="none" w:pos="1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103"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Effective upon the date of this prospectus, we will establish a compensation committee of the board of directors, which will consist of Messrs. Ball and Pai, each of whom is an independent director under Nasdaq’s listing standards. The compensation committee’s duties, which are specified in our Compensation Committee Charter, include, but are not limited to:</w:t>
      </w:r>
    </w:p>
    <w:p>
      <w:pPr>
        <w:spacing w:after="0" w:line="119" w:lineRule="exact"/>
        <w:rPr>
          <w:sz w:val="20"/>
          <w:szCs w:val="20"/>
          <w:color w:val="auto"/>
        </w:rPr>
      </w:pPr>
    </w:p>
    <w:p>
      <w:pPr>
        <w:jc w:val="both"/>
        <w:ind w:left="1320" w:right="459" w:hanging="434"/>
        <w:spacing w:after="0" w:line="259" w:lineRule="auto"/>
        <w:tabs>
          <w:tab w:leader="none" w:pos="13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02" w:lineRule="exact"/>
        <w:rPr>
          <w:rFonts w:ascii="Arial" w:cs="Arial" w:eastAsia="Arial" w:hAnsi="Arial"/>
          <w:sz w:val="18"/>
          <w:szCs w:val="18"/>
          <w:color w:val="auto"/>
        </w:rPr>
      </w:pPr>
    </w:p>
    <w:p>
      <w:pPr>
        <w:ind w:left="4420" w:right="559" w:hanging="3534"/>
        <w:spacing w:after="0" w:line="481" w:lineRule="auto"/>
        <w:tabs>
          <w:tab w:leader="none" w:pos="1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03" w:lineRule="exact"/>
        <w:rPr>
          <w:sz w:val="20"/>
          <w:szCs w:val="20"/>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amended and restated certificate of incorporation provides that:</w:t>
      </w:r>
    </w:p>
    <w:p>
      <w:pPr>
        <w:spacing w:after="0" w:line="144" w:lineRule="exact"/>
        <w:rPr>
          <w:sz w:val="20"/>
          <w:szCs w:val="20"/>
          <w:color w:val="auto"/>
        </w:rPr>
      </w:pPr>
    </w:p>
    <w:p>
      <w:pPr>
        <w:jc w:val="both"/>
        <w:ind w:left="1320" w:right="459" w:hanging="434"/>
        <w:spacing w:after="0" w:line="259" w:lineRule="auto"/>
        <w:tabs>
          <w:tab w:leader="none" w:pos="14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renounce any interest or expectancy in, or being offered an opportunity to participate in, any business opportunities that are presented to us or our officers, directors or stockholders or affiliates thereof, including but not limited to, our sponsor and its affiliates, except as may be prescribed by any written agreement with us; and</w:t>
      </w:r>
    </w:p>
    <w:p>
      <w:pPr>
        <w:spacing w:after="0" w:line="119" w:lineRule="exact"/>
        <w:rPr>
          <w:rFonts w:ascii="Arial" w:cs="Arial" w:eastAsia="Arial" w:hAnsi="Arial"/>
          <w:sz w:val="18"/>
          <w:szCs w:val="18"/>
          <w:color w:val="auto"/>
        </w:rPr>
      </w:pPr>
    </w:p>
    <w:p>
      <w:pPr>
        <w:jc w:val="both"/>
        <w:ind w:left="1320" w:right="479" w:hanging="434"/>
        <w:spacing w:after="0" w:line="263" w:lineRule="auto"/>
        <w:tabs>
          <w:tab w:leader="none" w:pos="15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officers and directors will not be liable to our company or our stockholders for monetary damages for breach of any fiduciary duty by reason of any of our activities or any of our sponsor or its affiliates to the fullest extent permitted by Delaware law.</w:t>
      </w:r>
    </w:p>
    <w:p>
      <w:pPr>
        <w:spacing w:after="0" w:line="11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Our officers and directors are, and may in the future become, affiliated with other companies. In order to minimize potential conflicts of interest which may arise from such other corporate affiliations, each of our officers and directors has contractually agreed, pursuant to a written agreement with us, until the earliest of our execution of a definitive agreement for a business combination, our liquidation or such time as he ceases to be an officer or director, to present to our company for our consideration, prior to presentation to any other entity, any suitable business opportunity which may reasonably be required to be presented to us, subject to any pre-existing fiduciary or contractual obligations he might have. The following table summarizes the relevant pre-existing fiduciary or contractual obligations of our officers and directors besides our sponsor:</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Name of Individual </w:t>
            </w:r>
            <w:r>
              <w:rPr>
                <w:rFonts w:ascii="Arial" w:cs="Arial" w:eastAsia="Arial" w:hAnsi="Arial"/>
                <w:sz w:val="18"/>
                <w:szCs w:val="18"/>
                <w:b w:val="1"/>
                <w:bCs w:val="1"/>
                <w:color w:val="auto"/>
                <w:vertAlign w:val="superscript"/>
              </w:rPr>
              <w:t>(1)</w:t>
            </w:r>
          </w:p>
        </w:tc>
        <w:tc>
          <w:tcPr>
            <w:tcW w:w="5100" w:type="dxa"/>
            <w:vAlign w:val="bottom"/>
          </w:tcPr>
          <w:p>
            <w:pPr>
              <w:ind w:left="1260"/>
              <w:spacing w:after="0"/>
              <w:rPr>
                <w:sz w:val="20"/>
                <w:szCs w:val="20"/>
                <w:color w:val="auto"/>
              </w:rPr>
            </w:pPr>
            <w:r>
              <w:rPr>
                <w:rFonts w:ascii="Arial" w:cs="Arial" w:eastAsia="Arial" w:hAnsi="Arial"/>
                <w:sz w:val="16"/>
                <w:szCs w:val="16"/>
                <w:b w:val="1"/>
                <w:bCs w:val="1"/>
                <w:color w:val="auto"/>
              </w:rPr>
              <w:t>Role in and Name of Affiliated Entity</w:t>
            </w:r>
          </w:p>
        </w:tc>
      </w:tr>
      <w:tr>
        <w:trPr>
          <w:trHeight w:val="275"/>
        </w:trPr>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 Eric R. Ball</w:t>
            </w:r>
          </w:p>
        </w:tc>
        <w:tc>
          <w:tcPr>
            <w:tcW w:w="100" w:type="dxa"/>
            <w:vAlign w:val="bottom"/>
          </w:tcPr>
          <w:p>
            <w:pPr>
              <w:spacing w:after="0"/>
              <w:rPr>
                <w:sz w:val="23"/>
                <w:szCs w:val="23"/>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General Partner of Impact Venture Capital</w:t>
            </w:r>
            <w:r>
              <w:rPr>
                <w:rFonts w:ascii="Arial" w:cs="Arial" w:eastAsia="Arial" w:hAnsi="Arial"/>
                <w:sz w:val="20"/>
                <w:szCs w:val="20"/>
                <w:b w:val="1"/>
                <w:bCs w:val="1"/>
                <w:color w:val="auto"/>
                <w:vertAlign w:val="superscript"/>
              </w:rPr>
              <w:t>(2)</w:t>
            </w:r>
          </w:p>
        </w:tc>
      </w:tr>
      <w:tr>
        <w:trPr>
          <w:trHeight w:val="236"/>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 and Audit Chair of Glu Mobile Inc</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Stephen N. Cannon</w:t>
            </w:r>
          </w:p>
        </w:tc>
        <w:tc>
          <w:tcPr>
            <w:tcW w:w="5100" w:type="dxa"/>
            <w:vAlign w:val="bottom"/>
          </w:tcPr>
          <w:p>
            <w:pPr>
              <w:spacing w:after="0"/>
              <w:rPr>
                <w:sz w:val="20"/>
                <w:szCs w:val="20"/>
                <w:color w:val="auto"/>
              </w:rPr>
            </w:pPr>
            <w:r>
              <w:rPr>
                <w:rFonts w:ascii="Arial" w:cs="Arial" w:eastAsia="Arial" w:hAnsi="Arial"/>
                <w:sz w:val="18"/>
                <w:szCs w:val="18"/>
                <w:color w:val="auto"/>
                <w:w w:val="92"/>
              </w:rPr>
              <w:t>Chief Operating Officer and President of Ackrell SPAC Partners I Co.</w:t>
            </w:r>
          </w:p>
        </w:tc>
      </w:tr>
      <w:tr>
        <w:trPr>
          <w:trHeight w:val="283"/>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of Everest Partners Limited</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Daniel L. Sheehan</w:t>
            </w:r>
          </w:p>
        </w:tc>
        <w:tc>
          <w:tcPr>
            <w:tcW w:w="5100" w:type="dxa"/>
            <w:vAlign w:val="bottom"/>
          </w:tcPr>
          <w:p>
            <w:pPr>
              <w:spacing w:after="0"/>
              <w:rPr>
                <w:sz w:val="20"/>
                <w:szCs w:val="20"/>
                <w:color w:val="auto"/>
              </w:rPr>
            </w:pPr>
            <w:r>
              <w:rPr>
                <w:rFonts w:ascii="Arial" w:cs="Arial" w:eastAsia="Arial" w:hAnsi="Arial"/>
                <w:sz w:val="18"/>
                <w:szCs w:val="18"/>
                <w:color w:val="auto"/>
              </w:rPr>
              <w:t>Managing Partner of Silicon Valley Wealth Law</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Long Long</w:t>
            </w:r>
          </w:p>
        </w:tc>
        <w:tc>
          <w:tcPr>
            <w:tcW w:w="5100" w:type="dxa"/>
            <w:vAlign w:val="bottom"/>
          </w:tcPr>
          <w:p>
            <w:pPr>
              <w:spacing w:after="0"/>
              <w:rPr>
                <w:sz w:val="20"/>
                <w:szCs w:val="20"/>
                <w:color w:val="auto"/>
              </w:rPr>
            </w:pPr>
            <w:r>
              <w:rPr>
                <w:rFonts w:ascii="Arial" w:cs="Arial" w:eastAsia="Arial" w:hAnsi="Arial"/>
                <w:sz w:val="18"/>
                <w:szCs w:val="18"/>
                <w:color w:val="auto"/>
                <w:w w:val="93"/>
              </w:rPr>
              <w:t>Chief Financial Officer and President of Ackrell SPAC Partners I Co.</w:t>
            </w: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Luc Julia</w:t>
            </w:r>
          </w:p>
        </w:tc>
        <w:tc>
          <w:tcPr>
            <w:tcW w:w="5100" w:type="dxa"/>
            <w:vAlign w:val="bottom"/>
          </w:tcPr>
          <w:p>
            <w:pPr>
              <w:spacing w:after="0"/>
              <w:rPr>
                <w:sz w:val="20"/>
                <w:szCs w:val="20"/>
                <w:color w:val="auto"/>
              </w:rPr>
            </w:pPr>
            <w:r>
              <w:rPr>
                <w:rFonts w:ascii="Arial" w:cs="Arial" w:eastAsia="Arial" w:hAnsi="Arial"/>
                <w:sz w:val="18"/>
                <w:szCs w:val="18"/>
                <w:color w:val="auto"/>
                <w:w w:val="90"/>
              </w:rPr>
              <w:t>CTO and Senior Vice President of Innovation for Samsung Electronics</w:t>
            </w:r>
          </w:p>
        </w:tc>
      </w:tr>
      <w:tr>
        <w:trPr>
          <w:trHeight w:val="291"/>
        </w:trPr>
        <w:tc>
          <w:tcPr>
            <w:tcW w:w="290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pacing w:after="0" w:line="91" w:lineRule="exact"/>
        <w:rPr>
          <w:sz w:val="20"/>
          <w:szCs w:val="20"/>
          <w:color w:val="auto"/>
        </w:rPr>
      </w:pPr>
    </w:p>
    <w:p>
      <w:pPr>
        <w:jc w:val="both"/>
        <w:ind w:left="880" w:right="459" w:hanging="426"/>
        <w:spacing w:after="0" w:line="265" w:lineRule="auto"/>
        <w:tabs>
          <w:tab w:leader="none" w:pos="10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of the entities listed in this table may have competitive interests with our company with respect to the performance by each individual listed in this table of his or her obligations. Each individual listed, has a prior fiduciary duty with respect to each of the listed entities, including possibly the presentation by each such individual of business opportunities.</w:t>
      </w:r>
    </w:p>
    <w:p>
      <w:pPr>
        <w:spacing w:after="0" w:line="1" w:lineRule="exact"/>
        <w:rPr>
          <w:rFonts w:ascii="Arial" w:cs="Arial" w:eastAsia="Arial" w:hAnsi="Arial"/>
          <w:sz w:val="16"/>
          <w:szCs w:val="16"/>
          <w:color w:val="auto"/>
        </w:rPr>
      </w:pPr>
    </w:p>
    <w:p>
      <w:pPr>
        <w:jc w:val="both"/>
        <w:ind w:left="880" w:right="459" w:hanging="426"/>
        <w:spacing w:after="0" w:line="295" w:lineRule="auto"/>
        <w:tabs>
          <w:tab w:leader="none" w:pos="945" w:val="left"/>
        </w:tabs>
        <w:numPr>
          <w:ilvl w:val="0"/>
          <w:numId w:val="42"/>
        </w:numPr>
        <w:rPr>
          <w:rFonts w:ascii="Arial" w:cs="Arial" w:eastAsia="Arial" w:hAnsi="Arial"/>
          <w:sz w:val="15"/>
          <w:szCs w:val="15"/>
          <w:color w:val="auto"/>
        </w:rPr>
      </w:pPr>
      <w:r>
        <w:rPr>
          <w:rFonts w:ascii="Arial" w:cs="Arial" w:eastAsia="Arial" w:hAnsi="Arial"/>
          <w:sz w:val="15"/>
          <w:szCs w:val="15"/>
          <w:color w:val="auto"/>
        </w:rPr>
        <w:t>Dr. Ball is a co-founder and General Partner of Impact Venture Capital, a venture capital investment fund, and is a member of the boards of directors of various private companies. We do not anticipate that such companies will be of an appropriate size for our initial business combination, nor do we believe that his role as a director of these companies will conflict with his ability to represent us in our search for an initial business combination target.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addition, our amended and restated certificate of incorporation provides that our company renounce its interest in a potential business combination offered to any director or officer, unless such opportunity is expressly offered to our director or officer solely in his or her capacity as a director or officer of our company and such opportunity is one we are legally and contractually permitted to undertake and would otherwise be reasonable for us to pursue.</w:t>
      </w:r>
    </w:p>
    <w:p>
      <w:pPr>
        <w:spacing w:after="0" w:line="12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Our officers and directors may during that time become affiliated with entities that are engaged in a similar business, including another blank check company that may have acquisition objectives that are similar to ours. In particular, Messrs. Cannon, Long and Edwards currently serve as Chief Operating Officer and President, Chief Financial Officer, and Chief Executive Officer and Director, respectively, of Global SPAC Partners Co, a proposed blank check company which filed a registration statement with the SEC on October 13, 2020 for a $200 million IPO, and intends to focus on potential business combinations in geographic regions from the Middle East North Africa through SouthEast Asia.</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also be aware of the following additional potential conflicts of interest:</w:t>
      </w:r>
    </w:p>
    <w:p>
      <w:pPr>
        <w:spacing w:after="0" w:line="144" w:lineRule="exact"/>
        <w:rPr>
          <w:sz w:val="20"/>
          <w:szCs w:val="20"/>
          <w:color w:val="auto"/>
        </w:rPr>
      </w:pPr>
    </w:p>
    <w:p>
      <w:pPr>
        <w:jc w:val="both"/>
        <w:ind w:left="1320" w:right="479" w:hanging="434"/>
        <w:spacing w:after="0" w:line="263" w:lineRule="auto"/>
        <w:tabs>
          <w:tab w:leader="none" w:pos="15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16" w:lineRule="exact"/>
        <w:rPr>
          <w:rFonts w:ascii="Arial" w:cs="Arial" w:eastAsia="Arial" w:hAnsi="Arial"/>
          <w:sz w:val="18"/>
          <w:szCs w:val="18"/>
          <w:color w:val="auto"/>
        </w:rPr>
      </w:pPr>
    </w:p>
    <w:p>
      <w:pPr>
        <w:jc w:val="both"/>
        <w:ind w:left="1320" w:right="479" w:hanging="434"/>
        <w:spacing w:after="0" w:line="301" w:lineRule="auto"/>
        <w:tabs>
          <w:tab w:leader="none" w:pos="13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sponsor will not receive reimbursement or repayment for any out-of-pocket expenses incurred by them, or loans made to us, to the extent that such expenses exceed the amount of available proceeds not deposited in the trust account or interest earned on the trust account funds that are available to us.</w:t>
      </w:r>
    </w:p>
    <w:p>
      <w:pPr>
        <w:spacing w:after="0" w:line="89" w:lineRule="exact"/>
        <w:rPr>
          <w:rFonts w:ascii="Arial" w:cs="Arial" w:eastAsia="Arial" w:hAnsi="Arial"/>
          <w:sz w:val="16"/>
          <w:szCs w:val="16"/>
          <w:color w:val="auto"/>
        </w:rPr>
      </w:pPr>
    </w:p>
    <w:p>
      <w:pPr>
        <w:jc w:val="both"/>
        <w:ind w:left="1320" w:right="459" w:hanging="434"/>
        <w:spacing w:after="0" w:line="270" w:lineRule="auto"/>
        <w:tabs>
          <w:tab w:leader="none" w:pos="131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founder shares beneficially owned by our initial stockholders will be released from escrow only if a business combination is successfully completed, and the private units purchased by it, and any warrants which our officers or directors may purchase in the aftermarket will expire worthless if a business combination is not consummated. Additionally, our officers and directors and affiliates will not receive liquidation distributions from the trust account with respect to any of the founder shares or private subunits or shares. Furthermore, our sponsor has agreed that the private units will not be sold or transferred by it until after we have completed a business combination. For the foregoing reasons, our board may have a conflict of interest in determining whether a particular target business is appropriate to effect a business combination with.</w:t>
      </w:r>
    </w:p>
    <w:p>
      <w:pPr>
        <w:spacing w:after="0" w:line="10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officers, directors, sponsor or initial stockholders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0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also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our sponsor, officers, directors or their respective affiliates, with any interested director abstaining from such review and approval.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and in the private units (assuming none of the individuals listed purchase units in this offering), by:</w:t>
      </w:r>
    </w:p>
    <w:p>
      <w:pPr>
        <w:spacing w:after="0" w:line="119" w:lineRule="exact"/>
        <w:rPr>
          <w:sz w:val="20"/>
          <w:szCs w:val="20"/>
          <w:color w:val="auto"/>
        </w:rPr>
      </w:pPr>
    </w:p>
    <w:p>
      <w:pPr>
        <w:ind w:left="1320" w:right="479" w:hanging="434"/>
        <w:spacing w:after="0" w:line="277" w:lineRule="auto"/>
        <w:tabs>
          <w:tab w:leader="none" w:pos="13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5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 offered by this prospectus or the private warrants as these warrants are not exercisable within 60 days of the date of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4"/>
          </w:tcPr>
          <w:p>
            <w:pPr>
              <w:ind w:left="600"/>
              <w:spacing w:after="0"/>
              <w:rPr>
                <w:sz w:val="20"/>
                <w:szCs w:val="20"/>
                <w:color w:val="auto"/>
              </w:rPr>
            </w:pPr>
            <w:r>
              <w:rPr>
                <w:rFonts w:ascii="Arial" w:cs="Arial" w:eastAsia="Arial" w:hAnsi="Arial"/>
                <w:sz w:val="16"/>
                <w:szCs w:val="16"/>
                <w:b w:val="1"/>
                <w:bCs w:val="1"/>
                <w:color w:val="auto"/>
              </w:rPr>
              <w:t>Prior to Offering</w:t>
            </w:r>
          </w:p>
        </w:tc>
        <w:tc>
          <w:tcPr>
            <w:tcW w:w="252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After Offering</w:t>
            </w:r>
            <w:r>
              <w:rPr>
                <w:rFonts w:ascii="Arial" w:cs="Arial" w:eastAsia="Arial" w:hAnsi="Arial"/>
                <w:sz w:val="18"/>
                <w:szCs w:val="18"/>
                <w:b w:val="1"/>
                <w:bCs w:val="1"/>
                <w:color w:val="auto"/>
                <w:vertAlign w:val="superscript"/>
              </w:rPr>
              <w:t>(2)</w:t>
            </w:r>
          </w:p>
        </w:tc>
      </w:tr>
      <w:tr>
        <w:trPr>
          <w:trHeight w:val="189"/>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Approximate</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Amount and</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Percentage of</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 and</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Nature of</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Nature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Beneficial</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of</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Beneficial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53"/>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w w:val="98"/>
              </w:rPr>
              <w:t>Name and Address of Beneficial Owner</w:t>
            </w:r>
            <w:r>
              <w:rPr>
                <w:rFonts w:ascii="Arial" w:cs="Arial" w:eastAsia="Arial" w:hAnsi="Arial"/>
                <w:sz w:val="18"/>
                <w:szCs w:val="18"/>
                <w:b w:val="1"/>
                <w:bCs w:val="1"/>
                <w:color w:val="auto"/>
                <w:w w:val="98"/>
                <w:vertAlign w:val="superscript"/>
              </w:rPr>
              <w:t>(1)</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Common Stock</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Ownership</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w:t>
            </w:r>
          </w:p>
        </w:tc>
      </w:tr>
      <w:tr>
        <w:trPr>
          <w:trHeight w:val="268"/>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R. Ball</w:t>
            </w:r>
            <w:r>
              <w:rPr>
                <w:rFonts w:ascii="Arial" w:cs="Arial" w:eastAsia="Arial" w:hAnsi="Arial"/>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Stephen N. Cannon</w:t>
            </w:r>
            <w:r>
              <w:rPr>
                <w:rFonts w:ascii="Arial" w:cs="Arial" w:eastAsia="Arial" w:hAnsi="Arial"/>
                <w:sz w:val="20"/>
                <w:szCs w:val="20"/>
                <w:color w:val="auto"/>
                <w:vertAlign w:val="superscript"/>
              </w:rPr>
              <w:t>(4)</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2,800,000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2,725,000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L. Sheehan</w:t>
            </w:r>
            <w:r>
              <w:rPr>
                <w:rFonts w:ascii="Arial" w:cs="Arial" w:eastAsia="Arial" w:hAnsi="Arial"/>
                <w:sz w:val="20"/>
                <w:szCs w:val="20"/>
                <w:color w:val="auto"/>
                <w:vertAlign w:val="superscript"/>
              </w:rPr>
              <w:t>(3)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Long Long</w:t>
            </w:r>
            <w:r>
              <w:rPr>
                <w:rFonts w:ascii="Arial" w:cs="Arial" w:eastAsia="Arial" w:hAnsi="Arial"/>
                <w:sz w:val="20"/>
                <w:szCs w:val="20"/>
                <w:color w:val="auto"/>
                <w:vertAlign w:val="superscript"/>
              </w:rPr>
              <w:t>(3)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84"/>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Bryant B. Edwards</w:t>
            </w:r>
            <w:r>
              <w:rPr>
                <w:rFonts w:ascii="Arial" w:cs="Arial" w:eastAsia="Arial" w:hAnsi="Arial"/>
                <w:sz w:val="20"/>
                <w:szCs w:val="20"/>
                <w:color w:val="auto"/>
                <w:vertAlign w:val="superscript"/>
              </w:rPr>
              <w:t>(3)</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Luc Julia</w:t>
            </w:r>
            <w:r>
              <w:rPr>
                <w:rFonts w:ascii="Arial" w:cs="Arial" w:eastAsia="Arial" w:hAnsi="Arial"/>
                <w:sz w:val="20"/>
                <w:szCs w:val="20"/>
                <w:color w:val="auto"/>
                <w:vertAlign w:val="superscript"/>
              </w:rPr>
              <w:t>(3)</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4"/>
                <w:szCs w:val="24"/>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P. Pai</w:t>
            </w:r>
            <w:r>
              <w:rPr>
                <w:rFonts w:ascii="Arial" w:cs="Arial" w:eastAsia="Arial" w:hAnsi="Arial"/>
                <w:sz w:val="20"/>
                <w:szCs w:val="20"/>
                <w:color w:val="auto"/>
                <w:vertAlign w:val="superscript"/>
              </w:rPr>
              <w:t>(3)</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84"/>
        </w:trPr>
        <w:tc>
          <w:tcPr>
            <w:tcW w:w="3100" w:type="dxa"/>
            <w:vAlign w:val="bottom"/>
            <w:gridSpan w:val="2"/>
          </w:tcPr>
          <w:p>
            <w:pPr>
              <w:spacing w:after="0"/>
              <w:rPr>
                <w:sz w:val="20"/>
                <w:szCs w:val="20"/>
                <w:color w:val="auto"/>
              </w:rPr>
            </w:pPr>
            <w:r>
              <w:rPr>
                <w:rFonts w:ascii="Arial" w:cs="Arial" w:eastAsia="Arial" w:hAnsi="Arial"/>
                <w:sz w:val="18"/>
                <w:szCs w:val="18"/>
                <w:color w:val="auto"/>
                <w:w w:val="93"/>
              </w:rPr>
              <w:t>Archimedes Tech SPAC Sponsors LLC</w:t>
            </w:r>
            <w:r>
              <w:rPr>
                <w:rFonts w:ascii="Arial" w:cs="Arial" w:eastAsia="Arial" w:hAnsi="Arial"/>
                <w:sz w:val="20"/>
                <w:szCs w:val="20"/>
                <w:color w:val="auto"/>
                <w:w w:val="93"/>
                <w:vertAlign w:val="superscript"/>
              </w:rPr>
              <w:t>(4)</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2,800,000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2,725,000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6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350,000</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All directors and executive officers as a</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8"/>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group (seven individuals)</w:t>
            </w:r>
          </w:p>
        </w:tc>
        <w:tc>
          <w:tcPr>
            <w:tcW w:w="1140" w:type="dxa"/>
            <w:vAlign w:val="bottom"/>
          </w:tcPr>
          <w:p>
            <w:pPr>
              <w:jc w:val="right"/>
              <w:spacing w:after="0"/>
              <w:rPr>
                <w:sz w:val="20"/>
                <w:szCs w:val="20"/>
                <w:color w:val="auto"/>
              </w:rPr>
            </w:pPr>
            <w:r>
              <w:rPr>
                <w:rFonts w:ascii="Arial" w:cs="Arial" w:eastAsia="Arial" w:hAnsi="Arial"/>
                <w:sz w:val="18"/>
                <w:szCs w:val="18"/>
                <w:color w:val="auto"/>
              </w:rPr>
              <w:t>2,875,000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2,800,000</w:t>
            </w:r>
            <w:r>
              <w:rPr>
                <w:rFonts w:ascii="Arial" w:cs="Arial" w:eastAsia="Arial" w:hAnsi="Arial"/>
                <w:sz w:val="20"/>
                <w:szCs w:val="20"/>
                <w:color w:val="auto"/>
                <w:vertAlign w:val="superscript"/>
              </w:rPr>
              <w:t>(4)</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jc w:val="both"/>
        <w:ind w:left="880" w:right="459" w:hanging="426"/>
        <w:spacing w:after="0" w:line="264" w:lineRule="auto"/>
        <w:tabs>
          <w:tab w:leader="none" w:pos="1069" w:val="left"/>
        </w:tabs>
        <w:numPr>
          <w:ilvl w:val="0"/>
          <w:numId w:val="46"/>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2093 Philadelphia Pike #1968, Claymont, DE 19703. The business address of EarlyBirdCapital, Inc. is 366 Madison Avenue, New York, New York 10017.</w:t>
      </w:r>
    </w:p>
    <w:p>
      <w:pPr>
        <w:ind w:left="880" w:right="479" w:hanging="426"/>
        <w:spacing w:after="0" w:line="264" w:lineRule="auto"/>
        <w:tabs>
          <w:tab w:leader="none" w:pos="9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Assumes no exercise of the over-allotment option and, therefore, the forfeiture of an aggregate of 375,000 shares of common stock.</w:t>
      </w:r>
    </w:p>
    <w:p>
      <w:pPr>
        <w:jc w:val="both"/>
        <w:ind w:left="880" w:right="479" w:hanging="426"/>
        <w:spacing w:after="0" w:line="264" w:lineRule="auto"/>
        <w:tabs>
          <w:tab w:leader="none" w:pos="9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Does not include any securities held by Archimedes Tech SPAC Sponsors LLC, of which each person is a direct or indirect member. Each such person disclaims beneficial ownership of the reported shares other than to the extent of his ultimate pecuniary interest therein.</w:t>
      </w:r>
    </w:p>
    <w:p>
      <w:pPr>
        <w:jc w:val="both"/>
        <w:ind w:left="880" w:right="479" w:hanging="426"/>
        <w:spacing w:after="0" w:line="276" w:lineRule="auto"/>
        <w:tabs>
          <w:tab w:leader="none" w:pos="908"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securities held by Archimedes Tech SPAC Sponsors LLC, our sponsor, of which Stephen N. Cannon is sole managing member. Mr. Cannon disclaims beneficial ownership of the reported shares other than to the extent of his ultimate pecuniary interest therein.</w:t>
      </w:r>
    </w:p>
    <w:p>
      <w:pPr>
        <w:spacing w:after="0" w:line="113"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Immediately after this offering, our initial stockholders will beneficially own approximately 21.2% of the then issued and outstanding shares of common stock (assuming they do not purchase any units in this offering and assuming the over-allotment option is not exercised). None of our sponsor, officers, directors and initial stockholders has indicated to us that it or they intend to purchase our securities in the offering. Because of the ownership block held by our sponsor, officers, directors and initial stockholders,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3" w:name="page84"/>
    <w:bookmarkEnd w:id="8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an aggregate of 375,000 founder shares will be forfeited. Only a number of shares necessary to maintain the 20% ownership interest in our shares of common stock after giving effect to the offering and the exercise, if any, of the underwriters’ over-allotment option (not including the private units and representative shares and assuming they do not purchase any units in this offering) will be necessary.</w:t>
      </w:r>
    </w:p>
    <w:p>
      <w:pPr>
        <w:spacing w:after="0" w:line="12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All of the founder shares outstanding prior to the date of this prospectus will be placed in escrow with Continental Stock Transfer &amp; Trust Company, as escrow agent, until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shares of common stock for cash, securities or other property. Up to 375,000 of the founder shares may also be released from escrow earlier than this date for cancellation if the over-allotment option is not exercised in full as described above.</w:t>
      </w:r>
    </w:p>
    <w:p>
      <w:pPr>
        <w:spacing w:after="0" w:line="111"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for transfers, assignments or sales (i) among our initial stockholders or to our initial stockholders’ members, officers, directors, consultants or their affiliates, (ii) to a holder’s stockholders or members upon its liquidation,</w:t>
      </w:r>
    </w:p>
    <w:p>
      <w:pPr>
        <w:spacing w:after="0" w:line="2" w:lineRule="exact"/>
        <w:rPr>
          <w:sz w:val="20"/>
          <w:szCs w:val="20"/>
          <w:color w:val="auto"/>
        </w:rPr>
      </w:pPr>
    </w:p>
    <w:p>
      <w:pPr>
        <w:jc w:val="both"/>
        <w:ind w:left="460" w:right="459" w:hanging="6"/>
        <w:spacing w:after="0" w:line="285" w:lineRule="auto"/>
        <w:tabs>
          <w:tab w:leader="none" w:pos="778" w:val="left"/>
        </w:tabs>
        <w:numPr>
          <w:ilvl w:val="0"/>
          <w:numId w:val="47"/>
        </w:numPr>
        <w:rPr>
          <w:rFonts w:ascii="Arial" w:cs="Arial" w:eastAsia="Arial" w:hAnsi="Arial"/>
          <w:sz w:val="16"/>
          <w:szCs w:val="16"/>
          <w:color w:val="auto"/>
        </w:rPr>
      </w:pPr>
      <w:r>
        <w:rPr>
          <w:rFonts w:ascii="Arial" w:cs="Arial" w:eastAsia="Arial" w:hAnsi="Arial"/>
          <w:sz w:val="16"/>
          <w:szCs w:val="16"/>
          <w:color w:val="auto"/>
        </w:rPr>
        <w:t>by bona fide gift to a member of the holder’s immediate family or to a trust, the beneficiary of which is the holder or a member of the holder’s immediate family,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consummation of a business combination at prices no greater than the price at which the shares were originally purchased, in each case (except for clause (vi) or with our prior consent) where the transferee agrees to the terms of the escrow agreement and to be bound by these transfer restrictions,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there will be no liquidation distribution with respect to the founder shares.</w:t>
      </w:r>
    </w:p>
    <w:p>
      <w:pPr>
        <w:spacing w:after="0" w:line="93"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6"/>
          <w:szCs w:val="16"/>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private units (and underlying private subunits, private shares and private warrants) are identical to the units (and underlying securities)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w:t>
      </w:r>
    </w:p>
    <w:p>
      <w:pPr>
        <w:spacing w:after="0" w:line="11" w:lineRule="exact"/>
        <w:rPr>
          <w:sz w:val="20"/>
          <w:szCs w:val="20"/>
          <w:color w:val="auto"/>
        </w:rPr>
      </w:pPr>
    </w:p>
    <w:p>
      <w:pPr>
        <w:jc w:val="both"/>
        <w:ind w:left="460" w:right="459" w:hanging="6"/>
        <w:spacing w:after="0" w:line="271" w:lineRule="auto"/>
        <w:tabs>
          <w:tab w:leader="none" w:pos="772"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0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our sponsor (and its managing member) are our “promoters,” as that term is defined under the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On January 4, 2021, we issued 2,875,000 shares of common stock to Archimedes Tech SPAC Sponsors LLC for $25,000, at a purchase price of approximately $0.009 per share, in connection with our formation, that include up to 375,000 shares subject to forfeiture to the extent that the underwriters’ over-allotment is not exercised in full or in part. On January 13, 2021, Archimedes Tech SPAC Sponsors LLC sold 25,000 founder shares to each of Mr. Edwards, Mr. Julia and Mr. Pai, for an aggregate of 75,000 founder shares, at the same price of approximately $0.009 per share.</w:t>
      </w:r>
    </w:p>
    <w:p>
      <w:pPr>
        <w:spacing w:after="0" w:line="1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 January 13, 2021, we issued to EarlyBirdCapital and its designees an aggregate of 350,000 representative shares at $0.0001 per share.</w:t>
      </w:r>
    </w:p>
    <w:p>
      <w:pPr>
        <w:spacing w:after="0" w:line="103"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If the underwriters do not exercise all or a portion of their over-allotment option, our initial stockholders will forfeit up to an aggregate of 375,000 shares of common stock in proportion to the portion of the over-allotment option that was not exercised so that the initial stockholders will own 20% (not including the private placement shares and the representative shares and assuming the initial stockholders do not purchase any units in this offering) of our issued and outstanding shares after this offering.</w:t>
      </w:r>
    </w:p>
    <w:p>
      <w:pPr>
        <w:spacing w:after="0" w:line="9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initial stockholders’ ownership at a percentage of the number of shares to be sold in this offering.</w:t>
      </w:r>
    </w:p>
    <w:p>
      <w:pPr>
        <w:spacing w:after="0" w:line="11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sponsor and EarlyBirdCapital have committed that they and/or their designees will purchase from us an aggregate of 350,000 private units at $10.00 per unit, for a total purchase price of $3,500,000 in a private placement that will occur simultaneously with the consummation of this offering. Each private unit will consist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30,000 private units at a price of $10.00 per private unit) in an amount that is necessary to maintain in the trust account $10.00 per unit sold to the public in this offering. These additional private units will be purchased in a private placement that will occur simultaneously with the purchase of units resulting from the exercise of the over-allotment option. The purchase price for the sponsor’s private units will be delivered to an escrow account at least 24 hours prior to the closing of this offering and will be deposited into the trust account simultaneously with the consummation of the offering. The private units (and underlying private subunits, private shares and private warrants) are identical to the units (and underlying subunits, shares and warrants) sold in this offering except that the private warrants included in the private units: (i) will not be redeemable by us and (ii) may be exercised for cash or on a cashless basis, as described in this prospectus, in each case so long as they are held by the initial purchasers or any of their permitted transferees. If the private warrants are held by holders other than the initial purchasers or any of their permitted transferees, the private warrants will be redeemable by us and exercisable by the holders on the same basis as the warrants included in the units being sold in this offering. Furthermore, our initial stockholders have agreed (A) to vote the private shares contained in the subunits in favor of any proposed business combination, (B) not to convert any private subunits in connection with a stockholder vote to approve a proposed initial business combination or sell any private subunits to us in a tender offer in connection with a proposed initial business combination and (C) that the private subunits shall not participate in any liquidating distribution from our trust account upon winding up if a business combination is not consummated. In the event of a liquidation prior to our initial business combination, the private units will likely be worthless.</w:t>
      </w:r>
    </w:p>
    <w:p>
      <w:pPr>
        <w:spacing w:after="0" w:line="32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order to meet our working capital needs following the consummation of this offering if the funds not held in the trust account are insufficient, our sponsor, initial stockholders, officers, directors and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units at a price of $10.00 per unit. The units would consist of one share of our common stock and one warrant, which common stock and warrants would be identical to the common stock and warrants included in the private units. In the event that the initial business combination does not close, we may use a portion of the working capital held outside the trust account to repay such loaned amounts but no other proceeds from our trust account would be used for such repayment.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units (and underlying securities) and any units (and underlying securities) our sponsor, initial stockholders,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units and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Notwithstanding the foregoing, in compliance with FINRA Rule 5110(f)(2)(G), the 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0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On January 4, 2021, we executed a promissory note with the sponsor in which the sponsor has agreed to loan us an aggregate of up to $300,000 to pay certain pre-offering expenses. The loan is non-interest bearing, unsecured and due on the earlier of March 31, 2021, the consummation of this offering or the abandonment of this offering. On February 1, 2021, the sponsor funded to us $100,000 pursuant to the promissory note. On February 10, 2021, the sponsor funded to us an additional $25,000 pursuant to the promissory note, for an aggregate amount of $125,000. We intend to repay the loan from the proceeds of this offering not being placed in trust upon consummation of this offering.</w:t>
      </w:r>
    </w:p>
    <w:p>
      <w:pPr>
        <w:spacing w:after="0" w:line="11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SPAC Partners LLC, an affiliate of our Chief Executive Officer, Stephen N. Cannon, has agreed that, commencing on the effective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such entity $10,000 per month for these services</w:t>
      </w:r>
      <w:r>
        <w:rPr>
          <w:rFonts w:ascii="Arial" w:cs="Arial" w:eastAsia="Arial" w:hAnsi="Arial"/>
          <w:sz w:val="18"/>
          <w:szCs w:val="18"/>
          <w:b w:val="1"/>
          <w:bCs w:val="1"/>
          <w:color w:val="auto"/>
        </w:rPr>
        <w:t>.</w:t>
      </w:r>
      <w:r>
        <w:rPr>
          <w:rFonts w:ascii="Arial" w:cs="Arial" w:eastAsia="Arial" w:hAnsi="Arial"/>
          <w:sz w:val="18"/>
          <w:szCs w:val="18"/>
          <w:color w:val="auto"/>
        </w:rPr>
        <w:t xml:space="preserve"> We believe, based on rents and fees for similar services in other comparable areas, that the fee charged by such entity is at least as favorable as we could have obtained from an unaffiliated person.</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may also pay consulting, success or finder fees to our sponsor, officers, directors, initial stockholders or their affiliates in connection with the consummation of our initial business combination. We may pay such fees in the event such parties bring specific target company, industry or market expertise, as well as insights or relationships that we believe are necessary in order to locate, assess, negotiate and consummate an initial business combination. The amount of any fee we pay to such parties will be based upon the prevailing market for similar services for such transactions at such time, and will be subject to the review of our audit committee pursuant to the audit committee’s policies and procedures relating to transactions that may present conflicts of interest.</w:t>
      </w:r>
    </w:p>
    <w:p>
      <w:pPr>
        <w:spacing w:after="0" w:line="12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We will also pay EarlyBirdCapital the 2.0% underwriting discount and 3.5% business combination marketing fee as described in the section titled “</w:t>
      </w:r>
      <w:r>
        <w:rPr>
          <w:rFonts w:ascii="Arial" w:cs="Arial" w:eastAsia="Arial" w:hAnsi="Arial"/>
          <w:sz w:val="18"/>
          <w:szCs w:val="18"/>
          <w:i w:val="1"/>
          <w:iCs w:val="1"/>
          <w:color w:val="auto"/>
        </w:rPr>
        <w:t>Underwriting</w:t>
      </w:r>
      <w:r>
        <w:rPr>
          <w:rFonts w:ascii="Arial" w:cs="Arial" w:eastAsia="Arial" w:hAnsi="Arial"/>
          <w:sz w:val="18"/>
          <w:szCs w:val="18"/>
          <w:color w:val="auto"/>
        </w:rPr>
        <w:t>.”</w:t>
      </w:r>
    </w:p>
    <w:p>
      <w:pPr>
        <w:spacing w:after="0" w:line="10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officers and directors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and payments made to our sponsor, officers, directors or their respective affiliates, with any interested director abstaining from such review and approval.</w:t>
      </w:r>
    </w:p>
    <w:p>
      <w:pPr>
        <w:spacing w:after="0" w:line="100"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00"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79"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As of the date of this prospectus, we will be authorized to issue 100,000,000 shares of common stock, par value $0.0001, and 1,000,000 shares of preferred stock, par value $0.0001. Prior to this offering, 3,225,000 shares of common stock were outstanding. No shares of preferred stock are currently outstanding. The following description summarizes the material terms of our securities. Because it is only a summary, it may not contain all the information that is important to you. For a complete description you should refer to our amended and restated certificate of incorporation, bylaws and the form of warrant agreement, which are filed as exhibits to the registration statement of which this prospectus is a part, and to the applicable provisions of Delaware law.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 and Subunits</w:t>
      </w:r>
    </w:p>
    <w:p>
      <w:pPr>
        <w:spacing w:after="0" w:line="16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Unlike other blank check company offerings, we have structured our offering to be an offering of units that consist of one subunit (consisting of one share of common stock and one-quarter of a warrant) and one-quarter of a warrant. We have structured our offering in this fashion for two primary reasons:</w:t>
      </w:r>
    </w:p>
    <w:p>
      <w:pPr>
        <w:spacing w:after="0" w:line="116" w:lineRule="exact"/>
        <w:rPr>
          <w:sz w:val="20"/>
          <w:szCs w:val="20"/>
          <w:color w:val="auto"/>
        </w:rPr>
      </w:pPr>
    </w:p>
    <w:p>
      <w:pPr>
        <w:jc w:val="both"/>
        <w:ind w:left="1320" w:right="459" w:hanging="434"/>
        <w:spacing w:after="0" w:line="255" w:lineRule="auto"/>
        <w:tabs>
          <w:tab w:leader="none" w:pos="15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Maximize Cash Available for Use Following Business Combination. We are effectively providing an incentive to our stockholders to not redeem their subunits in connection with either our stockholder vote or our pre-business combination tender offer as they would forfeit one-quarter of a warrant underlying the subunit in the event they elect to redeem. The goal of the foregoing is to seek to maximize the amount of cash in trust that will be available for our use following our business combination.</w:t>
      </w:r>
    </w:p>
    <w:p>
      <w:pPr>
        <w:spacing w:after="0" w:line="111" w:lineRule="exact"/>
        <w:rPr>
          <w:rFonts w:ascii="Arial" w:cs="Arial" w:eastAsia="Arial" w:hAnsi="Arial"/>
          <w:sz w:val="18"/>
          <w:szCs w:val="18"/>
          <w:color w:val="auto"/>
        </w:rPr>
      </w:pPr>
    </w:p>
    <w:p>
      <w:pPr>
        <w:jc w:val="both"/>
        <w:ind w:left="1320" w:right="459" w:hanging="434"/>
        <w:spacing w:after="0" w:line="275" w:lineRule="auto"/>
        <w:tabs>
          <w:tab w:leader="none" w:pos="141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Minimize Dilution. This structure will reduce the total number of warrants outstanding, as compared to a structure in which one unit consists of one share and one full warrant, in the event a portion of our stockholders elect to redeem their subunits in connection with either our stockholder vote or our pre-business combination tender offer as any stockholder that redeems its subunits will forfeit one-quarter of a warrant underlying the subunit.</w:t>
      </w:r>
    </w:p>
    <w:p>
      <w:pPr>
        <w:spacing w:after="0" w:line="10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We believe this structure will be viewed more favorably by potential business combination candidates than the traditional structure as it provides an additional incentive for stockholders to not redeem and in the event a portion of them do redeem, it reduces overall dilution, as compared to a structure in which one unit consists of one share and one full warrant, due to a reduction in the number of warrants outstanding.</w:t>
      </w:r>
    </w:p>
    <w:p>
      <w:pPr>
        <w:spacing w:after="0" w:line="10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Each unit consists of one subunit and one-quarter of a warrant. Each subunit consists of one share of our common stock and one-quarter of a warrant. Each whole warrant entitles the holder to purchase one share of common stock. Pursuant to the warrant agreement, a warrantholder may exercise its warrants only for a whole number of shares of common stock. This means that only a whole warrant may be exercised at any given time by a warrantholder. No fractional warrants will be issued upon separation of the units or subunits and only whole warrants will trade. Accordingly, unless you purchase a multiple of four units or four subunits, the number of tradeable warrants issuable to you upon separation of the units or subunits will be rounded down to the nearest whole number of warrants.</w:t>
      </w:r>
    </w:p>
    <w:p>
      <w:pPr>
        <w:spacing w:after="0" w:line="97"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The subunits and warrants comprising the units, but not the shares of common stock and warrants included in the subunits, will begin to trade separately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after the date of this prospectus unless EarlyBirdCapital informs us of its decision to allow earlier separate trading, provided that in no event may the subunits and warrants be traded separately until we have filed with the SEC a Current Report on Form 8-K which includes an audited balance sheet reflecting our receipt of the gross proceeds of this offering. Once the subunits and warrants commence separate trading, holders will have the option to continue to hold units or separate their units into the component pieces.</w:t>
      </w:r>
    </w:p>
    <w:p>
      <w:pPr>
        <w:spacing w:after="0" w:line="127" w:lineRule="exact"/>
        <w:rPr>
          <w:sz w:val="20"/>
          <w:szCs w:val="20"/>
          <w:color w:val="auto"/>
        </w:rPr>
      </w:pPr>
    </w:p>
    <w:p>
      <w:pPr>
        <w:jc w:val="both"/>
        <w:ind w:left="460" w:right="459"/>
        <w:spacing w:after="0" w:line="250" w:lineRule="auto"/>
        <w:rPr>
          <w:sz w:val="20"/>
          <w:szCs w:val="20"/>
          <w:color w:val="auto"/>
        </w:rPr>
      </w:pPr>
      <w:r>
        <w:rPr>
          <w:rFonts w:ascii="Arial" w:cs="Arial" w:eastAsia="Arial" w:hAnsi="Arial"/>
          <w:sz w:val="18"/>
          <w:szCs w:val="18"/>
          <w:color w:val="auto"/>
        </w:rPr>
        <w:t>We will file a Current Report on Form 8-K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EarlyBirdCapital has allowed separate trading of the subunits and warrants prior to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after the date of this prospectus.</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any fractions of a warrant they hold. Accordingly, in order to avoid such a situation, investors that do not intend to transfer the component pieces of the units prior to the consummation of a business combination should continue to hold their securities as a combined unit in multiples of four so as to ensure that no portion of the warrant is lost.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this offering and any shares purchased in this offering or following this offering in the open market, including any shares included in subunits acquired in this offering or in the aftermarket, in favor of the proposed business combination.</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a vote is held to approve a business combination, a majority of the outstanding shares of common stock voted are voted in favor of the business combination.</w:t>
      </w:r>
    </w:p>
    <w:p>
      <w:pPr>
        <w:spacing w:after="0" w:line="10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Pursuant to our amended and restated certificate of incorporation, if we do not consummate an initial business combination within 18 months from the closing of this offering, our corporate existence will cease except for the purposes of winding up our affairs and liquidating. If we are forced to liquidate prior to an initial business combination, our public stockholders are entitled to share ratably in the trust account, based on the amount then held in the trust account. Our sponsor, officers and directors have agreed to waive their rights to participate in any liquidation distribution from the trust account occurring upon our failure to consummate an initial business combination with respect to the founder’s common stock and private subunits. Our sponsor, officers and directors will therefore not participate in any liquidation distribution from the trust account with respect to such shares or subunits. They will, however, participate in any liquidation distribution from the trust account with respect to any subunits acquired in, or following, this offering.</w:t>
      </w:r>
    </w:p>
    <w:p>
      <w:pPr>
        <w:spacing w:after="0" w:line="11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subunits to us in a tender offer or have their subunits converted to cash equal to their pro rata share of the trust account in connection with the consummation of our initial business combination. Public stockholders who redeem their subunits into their share of the trust account still have the right to exercise any warrants they still hold outside of such subunit but will forfeit, without the receipt of any additional consideration, the portion of the warrant included in the subunit. Accordingly, an investor may have a disincentive to exercise redemption rights due to the loss of such portion of the warrants.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There are no shares of preferred stock outstanding. Our amended and restated certificate of incorporation as of the date of this prospectus authorize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0" w:name="page91"/>
    <w:bookmarkEnd w:id="9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No warrants are currently outstanding.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32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private warrants, as well as any warrants underlying additional units we issue to our sponsor, officers, directors or their affiliates in payment of working capital loans made to us, will be identical to the warrants underlying the units being offered by this prospectus except that such warrants will be exercisable for cash or on a cashless basis, at the holder’s option, and will not be redeemable by us, in each case so long as they are still held by our sponsor or its permitted transferees.</w:t>
      </w:r>
    </w:p>
    <w:p>
      <w:pPr>
        <w:spacing w:after="0" w:line="107"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We may call the warrants for redemption (excluding the private warrants and any warrants underlying additional units issued to our sponsor, initial stockholders, officers, directors or their affiliates in payment of working capital loans made to us), in whole and not in part, at a price of $0.01 per warrant,</w:t>
      </w:r>
    </w:p>
    <w:p>
      <w:pPr>
        <w:spacing w:after="0" w:line="98" w:lineRule="exact"/>
        <w:rPr>
          <w:sz w:val="20"/>
          <w:szCs w:val="20"/>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44"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8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11"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25"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7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04"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4"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6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transfer agent for our securities and warrant agent for our warrants is Continental Stock Transfer &amp; Trust Company, 1 State Street,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intend to apply to have our units, subunits and warrants listed on Nasdaq under the symbols “ATSPU,” “ATSPT” and “ATSPW,” respectively. If approved for listing, we anticipate that our units will be listed on Nasdaq on or promptly after the effective date of the registration statement. Following the date the subunits and warrants are eligible to trade separately, we anticipate that the subunits and warrants will be listed separately and as a unit on Nasdaq. The common stock will not trade separately unless and until we consummate an initial business combination. Upon consummation of our initial business combination, we anticipate the common stock will be traded on Nasdaq under the symbol “ATSP.”</w:t>
      </w:r>
    </w:p>
    <w:p>
      <w:pPr>
        <w:spacing w:after="0" w:line="173"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158"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classified into three classes of directors of approximately equal size. As a result, in most circumstances, a person can gain control of our board only by successfully engaging in a proxy contest at two or more annual meetings.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president or by our chairman or by our secretary at the request in writing of stockholders owning a majority of our issued and outstanding capital stock entitled to vote.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44" w:lineRule="exact"/>
        <w:rPr>
          <w:sz w:val="20"/>
          <w:szCs w:val="20"/>
          <w:color w:val="auto"/>
        </w:rPr>
      </w:pPr>
    </w:p>
    <w:p>
      <w:pPr>
        <w:jc w:val="both"/>
        <w:ind w:left="460" w:right="459"/>
        <w:spacing w:after="0" w:line="280"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on the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the day on which public announcement of the date of our annual meeting of stockholders is first made or sent by us.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5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4" w:lineRule="exact"/>
        <w:rPr>
          <w:sz w:val="20"/>
          <w:szCs w:val="20"/>
          <w:color w:val="auto"/>
        </w:rPr>
      </w:pPr>
    </w:p>
    <w:p>
      <w:pPr>
        <w:jc w:val="both"/>
        <w:ind w:left="460" w:right="459" w:hanging="6"/>
        <w:spacing w:after="0" w:line="252" w:lineRule="auto"/>
        <w:tabs>
          <w:tab w:leader="none" w:pos="7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2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amended and restated certificate of incorporation provides that our directors and officers will be indemnified by us to the fullest extent authorized by Delaware law as it now exists or may in the future be amended. In addition, our amended and restated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1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Immediately after this offering, we will have 13,200,000 shares of common stock outstanding, or 15,105,000 shares if the over-allotment option is exercised in full. Of these shares, the 10,000,000 shares sold in this offering as part of the public subunits,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have been placed in escrow and will not be transferable until they are released except in limited circumstances described elsewhere in this prospectus.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11" w:lineRule="exact"/>
        <w:rPr>
          <w:sz w:val="20"/>
          <w:szCs w:val="20"/>
          <w:color w:val="auto"/>
        </w:rPr>
      </w:pPr>
    </w:p>
    <w:p>
      <w:pPr>
        <w:ind w:left="1320" w:right="459" w:hanging="434"/>
        <w:spacing w:after="0" w:line="342" w:lineRule="auto"/>
        <w:tabs>
          <w:tab w:leader="none" w:pos="1419" w:val="left"/>
        </w:tabs>
        <w:numPr>
          <w:ilvl w:val="0"/>
          <w:numId w:val="52"/>
        </w:numPr>
        <w:rPr>
          <w:rFonts w:ascii="Arial" w:cs="Arial" w:eastAsia="Arial" w:hAnsi="Arial"/>
          <w:sz w:val="16"/>
          <w:szCs w:val="16"/>
          <w:color w:val="auto"/>
        </w:rPr>
      </w:pPr>
      <w:r>
        <w:rPr>
          <w:rFonts w:ascii="Arial" w:cs="Arial" w:eastAsia="Arial" w:hAnsi="Arial"/>
          <w:sz w:val="16"/>
          <w:szCs w:val="16"/>
          <w:color w:val="auto"/>
        </w:rPr>
        <w:t>1% of the number of shares of common stock then outstanding, which will equal 132,000 shares immediately after this offering (or 151,050 if the over-allotment option is exercised in full); and</w:t>
      </w:r>
    </w:p>
    <w:p>
      <w:pPr>
        <w:spacing w:after="0" w:line="42" w:lineRule="exact"/>
        <w:rPr>
          <w:rFonts w:ascii="Arial" w:cs="Arial" w:eastAsia="Arial" w:hAnsi="Arial"/>
          <w:sz w:val="16"/>
          <w:szCs w:val="16"/>
          <w:color w:val="auto"/>
        </w:rPr>
      </w:pPr>
    </w:p>
    <w:p>
      <w:pPr>
        <w:ind w:left="1320" w:right="479" w:hanging="434"/>
        <w:spacing w:after="0" w:line="277" w:lineRule="auto"/>
        <w:tabs>
          <w:tab w:leader="none" w:pos="137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0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97" w:lineRule="exact"/>
        <w:rPr>
          <w:sz w:val="20"/>
          <w:szCs w:val="20"/>
          <w:color w:val="auto"/>
        </w:rPr>
      </w:pPr>
    </w:p>
    <w:p>
      <w:pPr>
        <w:ind w:left="1300" w:hanging="414"/>
        <w:spacing w:after="0"/>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As a result, it is likely that pursuant to Rule 144, our sponsor will be able to sell its founder shares freely without registration one year after we have completed our initial business combination assuming it is not an affiliate of ours at that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holders of the founder shares and representative shares issued and outstanding on the date of this prospectus, as well as the holders of the private units and any units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our sponsor, officers, directors or their affiliates in payment of working capital loans made to us (or underlying securities) can elect to exercise these registration rights at any time after we consummate a business combination. Notwithstanding anything to the contrary, EarlyBirdCapital may only make a demand on one occasion and only during the five-year period beginning on the effective date of the registration statement of which this prospectus forms a part. In addition, the holders have certain “piggy-back” registration rights with respect to registration statements filed subsequent to our consummation of a business combination; provided, however, that EarlyBirdCapital may participate in a “piggy-back” registration only during the seven-year period beginning on the effective date of the registration statement of which this prospectus forms a part. We will bear the expenses incurred in connection with the filing of any such registration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following are the material U.S. federal income tax considerations with respect to your ownership and disposition of our units or components thereof, which we refer to collectively as our securities, assuming you purchase the securities in this offering and will hold them as capital assets within the meaning of the Internal Revenue Code of 1986, as amended (the “Code”).</w:t>
      </w:r>
    </w:p>
    <w:p>
      <w:pPr>
        <w:spacing w:after="0" w:line="11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Because the components of a unit are separable at the option of the holder within a short period of time after the date of this prospectus, the holder of a unit generally will be treated, for U.S. federal income tax purposes, as the owner of the underlying subunit and one-quarter of a warrant components of the unit. As a result, the discussion below of the U.S. federal income tax consequences with respect to actual holders of subunits and warrants should also apply to holders of units (as the deemed owners of the subunits and warrants underlying the units). This concept should not apply in the case of a subunit.</w:t>
      </w:r>
    </w:p>
    <w:p>
      <w:pPr>
        <w:spacing w:after="0" w:line="11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This discussion does not address all of the U.S. federal income and estate tax considerations that may be relevant to you in light of your particular circumstances, and it does not describe all of the tax consequences that may be relevant to persons subject to special rules, such as:</w:t>
      </w:r>
    </w:p>
    <w:p>
      <w:pPr>
        <w:spacing w:after="0" w:line="103" w:lineRule="exact"/>
        <w:rPr>
          <w:sz w:val="20"/>
          <w:szCs w:val="20"/>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dealers and traders in securities or foreign currencies;</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holding our securities as part of a hedge, straddle, conversion transaction or other integrated transaction;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U.S. persons whose functional currency for U.S. federal income tax purposes is not the U.S. dollar;</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partnerships or other entities classified as partnerships for U.S. federal income tax purposes;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that actually or constructively own 5 percent or more of our voting stock;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state, local or non-U.S. tax laws or, except as discussed herein, any tax reporting obligations applicable to a holder of our securities.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securities, the U.S. federal income tax treatment of a partner in the partnership will generally depend on the status of the partner and the activities of the partnership. In addition, this discussion assumes that a holder will own a number of units or subunits that are divisible by two and, thus, will not forfeit a fractional warrant in connection with the separation of a unit or subunit, as the case may be.</w:t>
      </w:r>
    </w:p>
    <w:p>
      <w:pPr>
        <w:spacing w:after="0" w:line="113"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not sought, and will not seek, a ruling from the U.S. Internal Revenue Service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0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URGE PROSPECTIVE INVESTORS TO CONSULT THEIR TAX ADVISORS REGARDING THE U.S. FEDERAL, STATE, LOCAL AND NON-U.S. INCOME, ESTATE AND OTHER TAX CONSIDERATIONS WITH RESPECT TO ACQUIRING, HOLDING AND DISPOSING OF OUR SECURITIES.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 of a Unit and Characterization of a Unit and its Components</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While not free from doubt, each unit should be treated for U.S. federal income tax purposes as an investment unit consisting of one subunit and one-quarter of a warrant. For U.S. federal income tax purposes, each holder of a unit must allocate the purchase price of a unit between the subunit and the one-quarter of a warrant that comprise the unit based on the relative fair market value of each at the time of issuance. The price allocated to the subunit or to the one-quarter of a warrant will be the holder’s tax basis in such subunit or one-quarter of a warrant, as the case may be. While uncertain, the IRS, by analogy to the rules relating to the allocation of the purchase price to components of a unit consisting of debt and equity, may take the position that any allocation of the purchase price that we may make will be binding on a holder of a unit, unless the holder explicitly discloses in a statement attached to the holder’s timely filed U.S. federal income tax return for the taxable year that includes the acquisition date of the unit that the holder’s allocation of the purchase price between the subunit and the one-quarter of a warrant that comprise the unit is different than our allocation. Any such allocation is not, however, binding on the IRS.</w:t>
      </w:r>
    </w:p>
    <w:p>
      <w:pPr>
        <w:spacing w:after="0" w:line="11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subunit is comprised of one share of common stock and one-quarter of a warrant, which cannot be separately traded (until the subunit automatically separates and disappears). A subunit has all of the economic rights of each of its components, including the right to vote and receive distributions with respect to the underlying common stock, and in the case of a sale, to the value of both the common stock and one-quarter of a warrant components. However, because the components are “stapled” together and will not separate in a short period, a subunit should be treated as a single instrument for U.S. federal income tax purposes. As a result, for U.S. federal income tax purposes, distributions on the common stock component of a subunit are considered received with respect to the subunit.</w:t>
      </w:r>
    </w:p>
    <w:p>
      <w:pPr>
        <w:spacing w:after="0" w:line="12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Although we intend to take a contrary position, if our subunits are not viewed as participating in our corporate growth (i.e., our future earnings or increases in our net asset value) to any significant extent (other than by reason of any “conversion” feature) due to our limited potential for corporate growth prior to a business combination, there is a risk that a holder’s entitlement to receive payments upon the redemption of a subunit in excess of the holder’s initial tax basis in its subunit will result in constructive income to the holder. This could affect the timing and character of income recognition and result in U.S. federal income tax liability to the holder without the holder’s receipt of cash from us.</w:t>
      </w:r>
    </w:p>
    <w:p>
      <w:pPr>
        <w:spacing w:after="0" w:line="11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Each holder is advised to consult its own tax advisor with respect to the risks associated with an investment in a unit (including alternative characterizations of a unit or the components thereof) and regarding the risks associated with an allocation of the purchase price between the subunit and the one-quarter of a warrant that comprise a unit that is inconsistent with any allocation of the purchase price that we may make. The balance of this discussion assumes that our characterization of the units (and the components thereof) and any allocation of the purchase price as described above are respected for U.S. federal income tax purposes.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could be subject to United States federal income tax at rates in excess of those generally applicable to corporations on a portion of our income if we are determined to be a personal holding company, or PHC, for United States federal income tax purposes. A U.S. corporation will generally be classified as a PHC for United States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United States federal income tax purposes, for such taxable year consists of PHC income (which includes, among other things, dividends, interest, certain royalties, annuities and, under certain circumstances, rents).</w:t>
      </w:r>
    </w:p>
    <w:p>
      <w:pPr>
        <w:spacing w:after="0" w:line="12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taxable income, subject to certain adjustments.</w:t>
      </w:r>
    </w:p>
    <w:p>
      <w:pPr>
        <w:sectPr>
          <w:pgSz w:w="11900" w:h="16838" w:orient="portrait"/>
          <w:cols w:equalWidth="0" w:num="1">
            <w:col w:w="9019"/>
          </w:cols>
          <w:pgMar w:left="1440" w:top="274"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section is addressed to U.S. holders of our securities. For purposes of this discussion, you are a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if you are a beneficial owner of a security that is:</w:t>
      </w:r>
    </w:p>
    <w:p>
      <w:pPr>
        <w:spacing w:after="0" w:line="143" w:lineRule="exact"/>
        <w:rPr>
          <w:sz w:val="20"/>
          <w:szCs w:val="20"/>
          <w:color w:val="auto"/>
        </w:rPr>
      </w:pPr>
    </w:p>
    <w:p>
      <w:pPr>
        <w:ind w:left="1300" w:hanging="41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 for U.S. federal income tax purposes;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state thereof or the District of Columbia; or</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Dividend Policy</w:t>
      </w:r>
      <w:r>
        <w:rPr>
          <w:rFonts w:ascii="Arial" w:cs="Arial" w:eastAsia="Arial" w:hAnsi="Arial"/>
          <w:sz w:val="17"/>
          <w:szCs w:val="17"/>
          <w:color w:val="auto"/>
        </w:rPr>
        <w:t>” above, we do not anticipate that any dividends will be paid in the foreseeable future. If we do make distributions on our subunits or common stock, such distributions generally will be treated as dividends for U.S. federal income tax purposes to the extent of our current or accumulated earnings and profits. Distributions in excess of our current or accumulated earnings and profits generally will first reduce your basis in the subunits or common stock (but not below zero) and then will be treated as gain realized on the sale or other disposition of the subunits or common stock (as described in the first paragraph under “</w:t>
      </w:r>
      <w:r>
        <w:rPr>
          <w:rFonts w:ascii="Arial" w:cs="Arial" w:eastAsia="Arial" w:hAnsi="Arial"/>
          <w:sz w:val="17"/>
          <w:szCs w:val="17"/>
          <w:i w:val="1"/>
          <w:iCs w:val="1"/>
          <w:color w:val="auto"/>
        </w:rPr>
        <w:t>— Taxation on the Disposition of Securities</w:t>
      </w:r>
      <w:r>
        <w:rPr>
          <w:rFonts w:ascii="Arial" w:cs="Arial" w:eastAsia="Arial" w:hAnsi="Arial"/>
          <w:sz w:val="17"/>
          <w:szCs w:val="17"/>
          <w:color w:val="auto"/>
        </w:rPr>
        <w:t>” below).</w:t>
      </w:r>
    </w:p>
    <w:p>
      <w:pPr>
        <w:spacing w:after="0" w:line="110"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conversion feature of the subunits described under “</w:t>
      </w:r>
      <w:r>
        <w:rPr>
          <w:rFonts w:ascii="Arial" w:cs="Arial" w:eastAsia="Arial" w:hAnsi="Arial"/>
          <w:sz w:val="17"/>
          <w:szCs w:val="17"/>
          <w:i w:val="1"/>
          <w:iCs w:val="1"/>
          <w:color w:val="auto"/>
        </w:rPr>
        <w:t>Proposed Business — Effecting a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 Conversion Rights</w:t>
      </w:r>
      <w:r>
        <w:rPr>
          <w:rFonts w:ascii="Arial" w:cs="Arial" w:eastAsia="Arial" w:hAnsi="Arial"/>
          <w:sz w:val="17"/>
          <w:szCs w:val="17"/>
          <w:color w:val="auto"/>
        </w:rPr>
        <w:t>” may be viewed as a position with respect to substantially similar or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which diminishes your risk of loss and thereby affects your ability to satisfy the holding period requirements for the dividends received deduction or the preferential tax rate on qualified dividend income with respect to the time period prior to the approval of an initial business combination.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Possible Constructive Distributions with Respect to Warrants</w:t>
      </w:r>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terms of each warrant provide for an adjustment to the number of shares for which the warrant may be exercised or to the exercise price of the warrant in certain events, as discussed in the section of this prospectus captioned “Description of Securities — Warrants.” An adjustment that has the effect of preventing dilution generally is not taxable. However, the U.S. holders of the warrants would be treated as receiving a constructive distribution from us if, for example, the adjustment increases the warrant holders’ proportionate interest in our assets or earnings and profits (e.g., through a decrease in the exercise price of the warrants) as a result of a distribution of cash to the holders of our subunits or common stock, which is taxable to the U.S. holders of such subunits or common stock as described under “— Dividends and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on the Disposition of Securities</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Upon a sale or other taxable disposition of our securities (which, in general, would include a distribution in connection with our liquidation or a conversion of our subunits, as described in “— Taxation on the Redemption of Subunits” below), a U.S. holder generally will recognize capital gain or loss in an amount equal to the difference between the amount realized and the U.S. holder’s adjusted tax basis in such securities. See “— Exercise or Lapse of a Warrant,” below for a discussion regarding a U.S. holder’s basis in the common stock acquired pursuant to the exercise of a warrant.</w:t>
      </w:r>
    </w:p>
    <w:p>
      <w:pPr>
        <w:spacing w:after="0" w:line="125"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 regular U.S. federal income tax rate on capital gains recognized by U.S. holders generally is the same as the regular U.S. federal income tax rate on ordinary income, except that long-term capital gains recognized by non-corporate U.S. holders generally are subject to U.S. federal income tax at reduced rates. Capital gain or loss will constitute long-term capital gain or loss if the U.S. holder’s holding period for the securities exceeds one year. The deductibility of capital losses is subject to various limitations.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0" w:name="page101"/>
    <w:bookmarkEnd w:id="10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on the Redemption of Subunits</w:t>
      </w:r>
    </w:p>
    <w:p>
      <w:pPr>
        <w:spacing w:after="0" w:line="144" w:lineRule="exact"/>
        <w:rPr>
          <w:sz w:val="20"/>
          <w:szCs w:val="20"/>
          <w:color w:val="auto"/>
        </w:rPr>
      </w:pPr>
    </w:p>
    <w:p>
      <w:pPr>
        <w:jc w:val="both"/>
        <w:ind w:left="460" w:right="479"/>
        <w:spacing w:after="0" w:line="284" w:lineRule="auto"/>
        <w:rPr>
          <w:sz w:val="20"/>
          <w:szCs w:val="20"/>
          <w:color w:val="auto"/>
        </w:rPr>
      </w:pPr>
      <w:r>
        <w:rPr>
          <w:rFonts w:ascii="Arial" w:cs="Arial" w:eastAsia="Arial" w:hAnsi="Arial"/>
          <w:sz w:val="16"/>
          <w:szCs w:val="16"/>
          <w:color w:val="auto"/>
        </w:rPr>
        <w:t>In the event that a U.S. holder (i) elects to convert its subunits and receive cash pursuant to the exercise of its conversion right in connection with a stockholder vote regarding a proposed business combination, (ii) elects to tender its subunits to us in connection with a tender offer, or (iii) elects to sell its subunits to us if we purchase subunits in open market transactions or in negotiated arrangements (collectively referred to as a “redemption”), the amount received on any such redemption of subunits generally will be treated for U.S. federal income tax purposes as a payment in consideration for the sale of our subunits, rather than as a distribution. Such amounts, however, will be treated as a distribution and taxed as described in “— Dividends and Distributions,” above, if</w:t>
      </w:r>
    </w:p>
    <w:p>
      <w:pPr>
        <w:spacing w:after="0" w:line="2" w:lineRule="exact"/>
        <w:rPr>
          <w:sz w:val="20"/>
          <w:szCs w:val="20"/>
          <w:color w:val="auto"/>
        </w:rPr>
      </w:pPr>
    </w:p>
    <w:p>
      <w:pPr>
        <w:jc w:val="both"/>
        <w:ind w:left="460" w:right="459" w:hanging="6"/>
        <w:spacing w:after="0" w:line="267" w:lineRule="auto"/>
        <w:tabs>
          <w:tab w:leader="none" w:pos="72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redemption is “essentially equivalent to a dividend” (meaning that the U.S. holder’s percentage ownership in us (including subunits or shares the U.S. holder is deemed to own under certain constructive ownership rules) after the redemption is not meaningfully reduced from what its percentage ownership in us (including constructive ownership) was prior to the redemption) and (ii) the redemption is not “substantially disproportionate” as to that U.S. holder (“substantially disproportionate” meaning, among other requirements, that the percentage of our outstanding voting shares owned (including constructive ownership) by such holder immediately following the redemption is less than 80% of that percentage owned (including constructive ownership) by such holder immediately before the redemption). If the U.S. holder had a relatively minimal interest in our subunits or shares and its percentage ownership in us (including constructive ownership and taking into account the effect of redemptions by other holders) is reduced as a result of the redemption, such holder generally should be regarded as having a meaningful reduction in interest. For example,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to it of any redemption of its subunits.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U.S. holder will not recognize gain or loss upon the acquisition of common stock on the exercise of a warrant for cash. Common stock acquired pursuant to the exercise of a warrant for cash will have a tax basis equal to the U.S. holder’s tax basis in the warrant, increased by the amount paid to exercise the warrant. The holding period of such common stock should begin on the day after the date of exercise of the warrant. If a warrant is allowed to lapse unexercised, a U.S. holder generally will recognize a capital loss equal to such holder’s adjusted tax basis in the warrant.</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warrants exercised therefor. If the cashless exercise were treated as not being a gain realization event, it is unclear when a U.S. holder’s holding period in the common stock would be treated as commencing. If the cashless exercise were treated as a recapitalization, the holding period of the common stock would include the holding period of the warrants exercised therefor.</w:t>
      </w:r>
    </w:p>
    <w:p>
      <w:pPr>
        <w:spacing w:after="0" w:line="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It is also possible that a cashless exercise could be treated in whole or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tax basis in such warrants. Such gain or loss would be long-term or short-term, depending on the U.S. holder’s holding period in the warrants deemed surrendered. In this case, a U.S. holder’s tax basis in the common stock received would equal the sum of the U.S. holder’s initial investment in the exercised warrants (i.e., the portion of the U.S. holder’s purchase price for the units that is allocated to the warrants, as described above under “— Allocation of Purchase Price of a Unit and Characterization of a Unit and its Components”) and the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 There may also be alternative characterizations of any such taxable exchange that would result in similar tax consequences, except that a U.S. holder’s gain or loss would be short-term.</w:t>
      </w:r>
    </w:p>
    <w:p>
      <w:pPr>
        <w:spacing w:after="0" w:line="100"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1" w:name="page102"/>
    <w:bookmarkEnd w:id="10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Unearned Income Medicare Tax</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 3.8% Medicare contribution tax will generally apply to all or some portion of the net investment income of a U.S. holder that is an individual with adjusted gross income that exceeds a threshold amount ($250,000 if married filing jointly or if considered a “surviving spouse” for federal income tax purposes, $125,000 if married filing separately, and $200,000 in other cases). This 3.8% tax will also apply to all or some portion of the undistributed net investment income of certain U.S. holders that are estates and trusts. For these purposes, dividends and gains from the taxable dispositions of the common stock and warrants will generally be taken into account in computing such a U.S. holder’s net investment income.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Information returns may be filed with the IRS with respect to dividends or other distributions we may pay to you and proceeds from the sale of your shares of common stock or warrants. You will be subject to backup withholding on these payments if you fail to provide your taxpayer identification number to the paying agent and comply with certain certification procedures or otherwise establish an exemption from backup withholding. Backup withholding is not an additional tax. Any amounts withheld with respect to your shares of common stock or warrants under the backup withholding rules will be refunded to you or credited against your United States federal income tax liability, if any, by the IRS provided that certain required information is furnished to the IRS in a timely manner.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This section is addressed to non-U.S. holders of the securities. For purposes of this discussion, a “non-U.S. holder” is a beneficial owner of a security (other than an entity treated as a partnership for U.S. federal income tax purposes) that is not a U.S. 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5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As discussed under “Dividend Policy” above, we do not anticipate that any dividends will be paid in the foreseeable future. If, however, we were to pay taxable dividends to you with respect to your subunits or shares of common stock (including any deemed distributions treated as a dividend on the warrants, as described in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Constructive Dividends on Warrants</w:t>
      </w:r>
      <w:r>
        <w:rPr>
          <w:rFonts w:ascii="Arial" w:cs="Arial" w:eastAsia="Arial" w:hAnsi="Arial"/>
          <w:sz w:val="16"/>
          <w:szCs w:val="16"/>
          <w:color w:val="auto"/>
        </w:rPr>
        <w:t>” below), those dividends would generally be subject to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at a rate of 30% of the gross amount, unless you are eligible for a reduced rate of withholding tax under an applicable income tax treaty and you provide proper certification of your eligibility for such reduced rate (usually on an IRS Form W-8BEN or Form W-8BEN-E). A distribution generally will constitute a dividend for U.S. federal income tax purposes to the extent of our current or accumulated earnings and profits as determined under the Code. Any distribution not constituting a dividend generally will be treated first as reducing your basis in your shares of common stock and, to the extent it exceeds your basis, as gain from the disposition of your shares of common stock treated as described under “</w:t>
      </w:r>
      <w:r>
        <w:rPr>
          <w:rFonts w:ascii="Arial" w:cs="Arial" w:eastAsia="Arial" w:hAnsi="Arial"/>
          <w:sz w:val="16"/>
          <w:szCs w:val="16"/>
          <w:i w:val="1"/>
          <w:iCs w:val="1"/>
          <w:color w:val="auto"/>
        </w:rPr>
        <w:t>Sale or Other Disposition of Our</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below. The full amount of any distributions to you may, however, be subject to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unless the applicable withholding agent elects to withhold a lesser amount based on a reasonable estimate of the amount of the distribution that would be treated as a dividend. In addition, if we determine that we are likely to be classified as a “United States real property holding corporation”(see “Sale or Other Disposition of Our Securities” below), we will withhold at least 15% of any distribution that exceeds our current and accumulated earnings and profits as provided by the Code.</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Dividends we pay to you that are effectively connected with your conduct of a trade or business within the United States (and, if certain income tax treaties apply, are attributable to a United States permanent establishment maintained by you) generally will not be subject to United States withholding tax if you comply with applicable certification and disclosure requirements (usually by providing an IRS Form W-8ECI). Instead, such dividends generally will be subject to United States federal income tax, net of certain deductions, at the same graduated individual or corporate rates applicable to United States persons. If you are a corporation, effectively connected income may also be subject to a “branch profits tax” at a rate of 30% (or such lower rate as may be specified by an applicable income tax treaty).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You generally will not be subject to U.S. federal income tax on the exercise of the warrants into shares of common stock. However, if a cashless exercise of warrants results in a taxable exchange, as described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U.S. Holders — Exercise or Lapse of a Warrant</w:t>
      </w:r>
      <w:r>
        <w:rPr>
          <w:rFonts w:ascii="Arial" w:cs="Arial" w:eastAsia="Arial" w:hAnsi="Arial"/>
          <w:sz w:val="18"/>
          <w:szCs w:val="18"/>
          <w:color w:val="auto"/>
        </w:rPr>
        <w:t>,” the rules described below under “</w:t>
      </w:r>
      <w:r>
        <w:rPr>
          <w:rFonts w:ascii="Arial" w:cs="Arial" w:eastAsia="Arial" w:hAnsi="Arial"/>
          <w:sz w:val="18"/>
          <w:szCs w:val="18"/>
          <w:i w:val="1"/>
          <w:iCs w:val="1"/>
          <w:color w:val="auto"/>
        </w:rPr>
        <w:t>Sale or Other Disposition of Our Securities</w:t>
      </w:r>
      <w:r>
        <w:rPr>
          <w:rFonts w:ascii="Arial" w:cs="Arial" w:eastAsia="Arial" w:hAnsi="Arial"/>
          <w:sz w:val="18"/>
          <w:szCs w:val="18"/>
          <w:color w:val="auto"/>
        </w:rPr>
        <w:t>” would apply.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Disposition of Our Securities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You generally will not be subject to United States federal income tax on any gain realized upon the sale, exchange or other disposition of our securities (which would include a dissolution and liquidation in the event we do not consummate an initial business combination within the required timeframe) or warrants (including an expiration or redemption of our warrants), unless:</w:t>
      </w:r>
    </w:p>
    <w:p>
      <w:pPr>
        <w:spacing w:after="0" w:line="119" w:lineRule="exact"/>
        <w:rPr>
          <w:sz w:val="20"/>
          <w:szCs w:val="20"/>
          <w:color w:val="auto"/>
        </w:rPr>
      </w:pPr>
    </w:p>
    <w:p>
      <w:pPr>
        <w:jc w:val="both"/>
        <w:ind w:left="1320" w:right="459" w:hanging="434"/>
        <w:spacing w:after="0" w:line="263" w:lineRule="auto"/>
        <w:tabs>
          <w:tab w:leader="none" w:pos="13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within the United States (and, under certain income tax treaties, is attributable to a United States permanent establishment you maintain);</w:t>
      </w:r>
    </w:p>
    <w:p>
      <w:pPr>
        <w:spacing w:after="0" w:line="102" w:lineRule="exact"/>
        <w:rPr>
          <w:rFonts w:ascii="Arial" w:cs="Arial" w:eastAsia="Arial" w:hAnsi="Arial"/>
          <w:sz w:val="18"/>
          <w:szCs w:val="18"/>
          <w:color w:val="auto"/>
        </w:rPr>
      </w:pPr>
    </w:p>
    <w:p>
      <w:pPr>
        <w:jc w:val="both"/>
        <w:ind w:left="1320" w:right="459" w:hanging="434"/>
        <w:spacing w:after="0" w:line="311" w:lineRule="auto"/>
        <w:tabs>
          <w:tab w:leader="none" w:pos="1351" w:val="left"/>
        </w:tabs>
        <w:numPr>
          <w:ilvl w:val="0"/>
          <w:numId w:val="57"/>
        </w:numPr>
        <w:rPr>
          <w:rFonts w:ascii="Arial" w:cs="Arial" w:eastAsia="Arial" w:hAnsi="Arial"/>
          <w:sz w:val="16"/>
          <w:szCs w:val="16"/>
          <w:color w:val="auto"/>
        </w:rPr>
      </w:pPr>
      <w:r>
        <w:rPr>
          <w:rFonts w:ascii="Arial" w:cs="Arial" w:eastAsia="Arial" w:hAnsi="Arial"/>
          <w:sz w:val="16"/>
          <w:szCs w:val="16"/>
          <w:color w:val="auto"/>
        </w:rPr>
        <w:t>you are an individual, you hold your shares of common stock or warrants as capital assets, you are present in the United States for 183 days or more in the taxable year of disposition and you meet other conditions, and you are not eligible for relief under an applicable income tax treaty; or</w:t>
      </w:r>
    </w:p>
    <w:p>
      <w:pPr>
        <w:spacing w:after="0" w:line="81" w:lineRule="exact"/>
        <w:rPr>
          <w:rFonts w:ascii="Arial" w:cs="Arial" w:eastAsia="Arial" w:hAnsi="Arial"/>
          <w:sz w:val="16"/>
          <w:szCs w:val="16"/>
          <w:color w:val="auto"/>
        </w:rPr>
      </w:pPr>
    </w:p>
    <w:p>
      <w:pPr>
        <w:jc w:val="both"/>
        <w:ind w:left="1320" w:right="459" w:hanging="434"/>
        <w:spacing w:after="0" w:line="283" w:lineRule="auto"/>
        <w:tabs>
          <w:tab w:leader="none" w:pos="1392"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United States federal income tax purposes and, in the case where the shares of our common stock are regularly traded on an established securities market, you hold or have held, directly or indirectly, at any time within the shorter of the five-year period preceding disposition or your holding period for your shares of common stock or warrants, more than 5% of our common stock. Special rules may apply to the determination of the 5% threshold in the case of a holder of a warrant. You are urged to consult your own tax advisors regarding the effect of holding the warrants on the calculation of such 5% threshold. We will be classified as a United States real property holding corporation if the fair market value of our “United States real property interests” equals or exceeds 50% of the sum of</w:t>
      </w:r>
    </w:p>
    <w:p>
      <w:pPr>
        <w:spacing w:after="0" w:line="5" w:lineRule="exact"/>
        <w:rPr>
          <w:rFonts w:ascii="Arial" w:cs="Arial" w:eastAsia="Arial" w:hAnsi="Arial"/>
          <w:sz w:val="16"/>
          <w:szCs w:val="16"/>
          <w:color w:val="auto"/>
        </w:rPr>
      </w:pPr>
    </w:p>
    <w:p>
      <w:pPr>
        <w:jc w:val="both"/>
        <w:ind w:left="1320" w:right="459"/>
        <w:spacing w:after="0" w:line="252" w:lineRule="auto"/>
        <w:rPr>
          <w:rFonts w:ascii="Arial" w:cs="Arial" w:eastAsia="Arial" w:hAnsi="Arial"/>
          <w:sz w:val="16"/>
          <w:szCs w:val="16"/>
          <w:color w:val="auto"/>
        </w:rPr>
      </w:pPr>
      <w:r>
        <w:rPr>
          <w:rFonts w:ascii="Arial" w:cs="Arial" w:eastAsia="Arial" w:hAnsi="Arial"/>
          <w:sz w:val="18"/>
          <w:szCs w:val="18"/>
          <w:color w:val="auto"/>
        </w:rPr>
        <w:t>(1) the fair market value of our United States real property interests, (2) the fair market value of our non-United States real property interests and (3) the fair market value of any other of our assets which are used or held for use in our trade or business. Although we currently are not a United States real property holding corporation, we cannot determine whether we will be a United States real property holding corporation in the future until we consummate an initial business combination.</w:t>
      </w:r>
    </w:p>
    <w:p>
      <w:pPr>
        <w:spacing w:after="0" w:line="12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Gain that is effectively connected with your conduct of a trade or business within the United States generally will be subject to United States federal income tax, net of certain deductions, at the same rates applicable to United States persons. If you are a corporation, the branch profits tax also may apply to such effectively connected gain. If the gain from the sale or disposition of our securities is effectively connected with your conduct of a trade or business in the United States but under an applicable income tax treaty is not attributable to a permanent establishment you maintain in the United States, your gain may be exempt from United States tax under the treaty. If you are described in the second bullet point above, you generally will be subject to United States federal income tax at a rate of 30% on the gain realized, although the gain may be offset by some United States source capital losses realized during the same taxable year. If you are described in the third bullet point above, gain recognized by you on the sale, exchange or other disposition of shares of our securities will be subject to U.S. federal income tax on a net income basis at normal graduated U.S. federal income tax rates. In addition, a buyer of your securities may be required to withhold United States income tax at a rate of 15% of the amount realized upon such disposition.</w:t>
      </w:r>
    </w:p>
    <w:p>
      <w:pPr>
        <w:spacing w:after="0" w:line="10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If you convert your subunits into a right to receive cash as described in “</w:t>
      </w:r>
      <w:r>
        <w:rPr>
          <w:rFonts w:ascii="Arial" w:cs="Arial" w:eastAsia="Arial" w:hAnsi="Arial"/>
          <w:sz w:val="17"/>
          <w:szCs w:val="17"/>
          <w:i w:val="1"/>
          <w:iCs w:val="1"/>
          <w:color w:val="auto"/>
        </w:rPr>
        <w:t>Proposed Business — Effecting a</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 — Conversion Rights</w:t>
      </w:r>
      <w:r>
        <w:rPr>
          <w:rFonts w:ascii="Arial" w:cs="Arial" w:eastAsia="Arial" w:hAnsi="Arial"/>
          <w:sz w:val="17"/>
          <w:szCs w:val="17"/>
          <w:color w:val="auto"/>
        </w:rPr>
        <w:t>,” the conversion generally will be treated as a sale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rather than as a dividend or distribution. The conversion will, however, be treated as a dividend or distribution and taxed as described in “Dividends and Distributions” if your percentage ownership in us (including shares that you are deemed to own under certain attribution rules, such as the shares into which the warrants are exercisable) after the conversion is not meaningfully reduced from what your percentage ownership was prior to the conversion. See the discussion in “— U.S. Holders — Taxation on Redemption of Subunits.” You should consult your own tax advisor as to whether conversion of your subunits will be treated as a sale or as a dividend under the Code.</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3" w:name="page104"/>
    <w:bookmarkEnd w:id="10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Dividends on Warrants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 discussed under “Dividend Policy” above, we do not anticipate that any dividends will be paid in the foreseeable future. If at any time during the period you hold warrants, however, we were to pay a taxable dividend on our subunits or common stock and, in accordance with the anti-dilution provisions of the warrants, the conversion rate of the warrants were increased, that increase would be deemed to be the payment of a taxable dividend to you to the extent of our earnings and profits, notwithstanding the fact that you will not receive a cash payment. If the conversion rate is adjusted in certain other circumstances (or in certain circumstances, there is a failure to make adjustments), such adjustments may also result in the deemed payment of a taxable dividend to you. Any resulting withholding tax attributable to deemed dividends would be collected from other amounts payable or distributable to you. You should consult your tax advisor regarding the proper treatment of any adjustments to the warrants.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must report annually to the IRS the amount of dividends or other distributions we may pay to you and the amount of tax we withhold on any such distributions regardless of whether withholding is required. The IRS may make copies of the information returns reporting those dividends and amounts withheld available to the tax authorities in the country in which you reside pursuant to the provisions of an applicable income tax treaty or exchange of information treaty.</w:t>
      </w:r>
    </w:p>
    <w:p>
      <w:pPr>
        <w:spacing w:after="0" w:line="12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United States imposes backup withholding on dividends and certain other types of payments to United States persons. You will not be subject to backup withholding on dividends you receive if you provide proper certification (usually on an IRS Form W-8BEN or Form W-8BEN-E) of your status as a non-United States person or you are a corporation or one of several types of entities and organizations that qualify for exemption (an “exempt recipient”).</w:t>
      </w:r>
    </w:p>
    <w:p>
      <w:pPr>
        <w:spacing w:after="0" w:line="10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Information reporting and backup withholding generally are not required with respect to the amount of any proceeds from the sale of your securities outside the United States through a foreign office of a foreign broker that does not have certain specified connections to the United States. However, if you sell your securities through a United States broker or the United States office of a foreign broker, the broker will be required to report to the IRS the amount of proceeds paid to you unless you provide appropriate certification (usually on an IRS Form W-8BEN or Form W-8BEN-E) to the broker of your status as a non-United States person or you are an exempt recipient. Information reporting also would apply if you sell your securities through a foreign broker deriving more than a specified percentage of its income from United States sources or having certain other connections to the United States.</w:t>
      </w:r>
    </w:p>
    <w:p>
      <w:pPr>
        <w:spacing w:after="0" w:line="11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refunded to you or credited against your United States federal income tax liability, if any, by the IRS provided that certain required information is furnished to the IRS in a timely manner.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Unearned Income Medicare Tax</w:t>
      </w:r>
    </w:p>
    <w:p>
      <w:pPr>
        <w:spacing w:after="0" w:line="158"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color w:val="auto"/>
        </w:rPr>
        <w:t>If you are a foreign estate or trust, you may be subject to the Medicare contribution tax described under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holders — Unearned Income Medicare Tax</w:t>
      </w:r>
      <w:r>
        <w:rPr>
          <w:rFonts w:ascii="Arial" w:cs="Arial" w:eastAsia="Arial" w:hAnsi="Arial"/>
          <w:sz w:val="16"/>
          <w:szCs w:val="16"/>
          <w:color w:val="auto"/>
        </w:rPr>
        <w:t>” above. Non-U.S. holders should consult their tax advisors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possible implications of the Medicare contribution tax on their investments in the units.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FATCA</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our securities which are held by or through certain foreign financial institutions (including investment funds), unless any such institution</w:t>
      </w:r>
    </w:p>
    <w:p>
      <w:pPr>
        <w:spacing w:after="0" w:line="1" w:lineRule="exact"/>
        <w:rPr>
          <w:sz w:val="20"/>
          <w:szCs w:val="20"/>
          <w:color w:val="auto"/>
        </w:rPr>
      </w:pPr>
    </w:p>
    <w:p>
      <w:pPr>
        <w:jc w:val="both"/>
        <w:ind w:left="460" w:right="459" w:hanging="6"/>
        <w:spacing w:after="0" w:line="268" w:lineRule="auto"/>
        <w:tabs>
          <w:tab w:leader="none" w:pos="731" w:val="left"/>
        </w:tabs>
        <w:numPr>
          <w:ilvl w:val="0"/>
          <w:numId w:val="58"/>
        </w:numPr>
        <w:rPr>
          <w:rFonts w:ascii="Arial" w:cs="Arial" w:eastAsia="Arial" w:hAnsi="Arial"/>
          <w:sz w:val="17"/>
          <w:szCs w:val="17"/>
          <w:color w:val="auto"/>
        </w:rPr>
      </w:pPr>
      <w:r>
        <w:rPr>
          <w:rFonts w:ascii="Arial" w:cs="Arial" w:eastAsia="Arial" w:hAnsi="Arial"/>
          <w:sz w:val="17"/>
          <w:szCs w:val="17"/>
          <w:color w:val="auto"/>
        </w:rPr>
        <w:t>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hanging="6"/>
        <w:spacing w:after="0" w:line="279" w:lineRule="auto"/>
        <w:tabs>
          <w:tab w:leader="none" w:pos="771" w:val="left"/>
        </w:tabs>
        <w:numPr>
          <w:ilvl w:val="0"/>
          <w:numId w:val="59"/>
        </w:numPr>
        <w:rPr>
          <w:rFonts w:ascii="Arial" w:cs="Arial" w:eastAsia="Arial" w:hAnsi="Arial"/>
          <w:sz w:val="17"/>
          <w:szCs w:val="17"/>
          <w:color w:val="auto"/>
        </w:rPr>
      </w:pPr>
      <w:r>
        <w:rPr>
          <w:rFonts w:ascii="Arial" w:cs="Arial" w:eastAsia="Arial" w:hAnsi="Arial"/>
          <w:sz w:val="17"/>
          <w:szCs w:val="17"/>
          <w:color w:val="auto"/>
        </w:rPr>
        <w:t>certifies to us or the applicable withholding agent that such entity does not have any “substantial United States owners” or (2) provides certain information regarding the entity’s “substantial United States owners,” which will in turn be provided to the U.S. Department of Treasury. All prospective investors should consult their tax advisors regarding the possible implications of FATCA on their investment in our securities.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are offering the units described in this prospectus through the underwriters named below. EarlyBirdCapital is acting as representative of the underwriters. We have entered into an underwriting agreement with the representative. Subject to the terms and conditions of the underwriting agreement, the underwriters have agreed to purchase, and we have agreed to sell to the underwriters, the number of units listed next to each of its name in the following table: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94"/>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w:t>
            </w:r>
          </w:p>
        </w:tc>
        <w:tc>
          <w:tcPr>
            <w:tcW w:w="1260" w:type="dxa"/>
            <w:vAlign w:val="bottom"/>
          </w:tcPr>
          <w:p>
            <w:pPr>
              <w:jc w:val="right"/>
              <w:ind w:right="354"/>
              <w:spacing w:after="0"/>
              <w:rPr>
                <w:sz w:val="20"/>
                <w:szCs w:val="20"/>
                <w:color w:val="auto"/>
              </w:rPr>
            </w:pPr>
            <w:r>
              <w:rPr>
                <w:rFonts w:ascii="Arial" w:cs="Arial" w:eastAsia="Arial" w:hAnsi="Arial"/>
                <w:sz w:val="16"/>
                <w:szCs w:val="16"/>
                <w:b w:val="1"/>
                <w:bCs w:val="1"/>
                <w:color w:val="auto"/>
              </w:rPr>
              <w:t>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EarlyBirdCapital, Inc.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I-Bankers Securities, Inc.</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units if they buy any of them. However, the underwriters are not required to purchase the units covered by the option to purchase additional units as described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units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receipt and acceptance of our units by the underwriters;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granted the underwriters an over-allotment option to buy up to an aggregate of 1,500,000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Units sold by the underwriters to the public will initially be offered at the initial offering price set forth on the cover of this prospectus. Any units sold by the underwriters to securities dealers may be sold at a discount of up to $[•] per unit from the initial public offering price and the dealers may reallow a concession not in excess of $[•] per unit to other dealers. Sales of units made outside of the United States may be made by affiliates of the underwriters. After completion of this offering, if the underwriters still hold any units sold by us to them in this offering, the representative may change the offering price and the other selling terms. Upon execution of the underwriting agreement, the underwriters will be obligated to purchase the units at the prices and upon the terms stated therein.</w:t>
      </w:r>
    </w:p>
    <w:p>
      <w:pPr>
        <w:spacing w:after="0" w:line="12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following table shows the per unit and total underwriting discount we will pay to the underwriters assuming both no exercise and full exercise of the underwriters’ over-allotment option to purchase up to 1,500,000 additional units.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9"/>
              </w:rPr>
              <w:t>No Exercise</w:t>
            </w:r>
          </w:p>
        </w:tc>
        <w:tc>
          <w:tcPr>
            <w:tcW w:w="140" w:type="dxa"/>
            <w:vAlign w:val="bottom"/>
          </w:tcPr>
          <w:p>
            <w:pPr>
              <w:spacing w:after="0"/>
              <w:rPr>
                <w:sz w:val="18"/>
                <w:szCs w:val="18"/>
                <w:color w:val="auto"/>
              </w:rPr>
            </w:pPr>
          </w:p>
        </w:tc>
        <w:tc>
          <w:tcPr>
            <w:tcW w:w="1120" w:type="dxa"/>
            <w:vAlign w:val="bottom"/>
          </w:tcPr>
          <w:p>
            <w:pPr>
              <w:jc w:val="right"/>
              <w:ind w:right="93"/>
              <w:spacing w:after="0"/>
              <w:rPr>
                <w:sz w:val="20"/>
                <w:szCs w:val="20"/>
                <w:color w:val="auto"/>
              </w:rPr>
            </w:pPr>
            <w:r>
              <w:rPr>
                <w:rFonts w:ascii="Arial" w:cs="Arial" w:eastAsia="Arial" w:hAnsi="Arial"/>
                <w:sz w:val="16"/>
                <w:szCs w:val="16"/>
                <w:b w:val="1"/>
                <w:bCs w:val="1"/>
                <w:color w:val="auto"/>
                <w:w w:val="93"/>
              </w:rPr>
              <w:t>Full Exercise</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Unit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have agreed to reimburse the underwriters for the FINRA-related fees and expenses of the underwriters’ legal counsel, not to exceed $15,000, the expenses of transaction “bibles” and lucite cube “mementos,” not to exceed $3,000, and the expenses of investigations and background checks, not to exceed $3,500 per individual (or $_____ in the aggregate), for aggregate reimbursable expenses of $_______. We estimate that the total</w:t>
      </w:r>
    </w:p>
    <w:p>
      <w:pPr>
        <w:spacing w:after="0" w:line="1" w:lineRule="exact"/>
        <w:rPr>
          <w:sz w:val="20"/>
          <w:szCs w:val="20"/>
          <w:color w:val="auto"/>
        </w:rPr>
      </w:pPr>
    </w:p>
    <w:p>
      <w:pPr>
        <w:jc w:val="both"/>
        <w:ind w:left="460" w:right="479"/>
        <w:spacing w:after="0" w:line="260" w:lineRule="auto"/>
        <w:rPr>
          <w:sz w:val="20"/>
          <w:szCs w:val="20"/>
          <w:color w:val="auto"/>
        </w:rPr>
      </w:pPr>
      <w:r>
        <w:rPr>
          <w:rFonts w:ascii="Arial" w:cs="Arial" w:eastAsia="Arial" w:hAnsi="Arial"/>
          <w:sz w:val="18"/>
          <w:szCs w:val="18"/>
          <w:color w:val="auto"/>
        </w:rPr>
        <w:t>expenses of the offering payable by us, not including the underwriting discount, will be approximately $750,000.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engaged EarlyBirdCapital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in connection with our initial business combination, assist us in obtaining stockholder approval for the business combination and assist us with</w:t>
      </w:r>
    </w:p>
    <w:p>
      <w:pPr>
        <w:sectPr>
          <w:pgSz w:w="11900" w:h="16838" w:orient="portrait"/>
          <w:cols w:equalWidth="0" w:num="1">
            <w:col w:w="9019"/>
          </w:cols>
          <w:pgMar w:left="1440" w:top="274" w:right="1440" w:bottom="106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6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press releases and public filings in connection with the business combination. We will pay EarlyBirdCapital a cash fee for such services upon the consummation of our initial business combination in an amount equal to 3.5% of the gross proceeds of this offering; provided that up to 30% of the fee may be allocated at our sole discretion to other FINRA members (including, with EarlyBirdCapital’s prior consent which shall not be unreasonably withheld, companies affiliated with us or our officers or directors) that assist us in identifying or consummating an initial business combination. Additionally, we will pay EarlyBirdCapital a cash fee equal to 1.0% of the total consideration payable in the proposed business combination if EarlyBirdCapital introduces us to the target business with which we complete a business combination; provided that the foregoing fee will not be paid prior to the date that is 60 days from the effective date of the registration statement of which this prospectus forms a part, unless FINRA determines that such payment would not be deemed underwriters’ compensation in connection with this offering pursuant to FINRA Rule 5110.</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 Shares</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On January 13, 2021, we issued to EarlyBirdCapital and its designees 350,000 representative shares at $0.0001 per share. The holders of the representative shares have agreed not to transfer, assign or sell any such shares without our prior consent until the completion of our initial business combination. In addition, the holders of the representative shares have agreed (i) to waive their conversion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18 months from the closing of this offering.</w:t>
      </w:r>
    </w:p>
    <w:p>
      <w:pPr>
        <w:spacing w:after="0" w:line="9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of which this prospectus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0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granted the holders of these shares the registration rights as described under the section “</w:t>
      </w:r>
      <w:r>
        <w:rPr>
          <w:rFonts w:ascii="Arial" w:cs="Arial" w:eastAsia="Arial" w:hAnsi="Arial"/>
          <w:sz w:val="18"/>
          <w:szCs w:val="18"/>
          <w:i w:val="1"/>
          <w:iCs w:val="1"/>
          <w:color w:val="auto"/>
        </w:rPr>
        <w:t>Shares</w:t>
      </w:r>
      <w:r>
        <w:rPr>
          <w:rFonts w:ascii="Arial" w:cs="Arial" w:eastAsia="Arial" w:hAnsi="Arial"/>
          <w:sz w:val="18"/>
          <w:szCs w:val="18"/>
          <w:color w:val="auto"/>
        </w:rPr>
        <w:t xml:space="preserve"> </w:t>
      </w:r>
      <w:r>
        <w:rPr>
          <w:rFonts w:ascii="Arial" w:cs="Arial" w:eastAsia="Arial" w:hAnsi="Arial"/>
          <w:sz w:val="18"/>
          <w:szCs w:val="18"/>
          <w:i w:val="1"/>
          <w:iCs w:val="1"/>
          <w:color w:val="auto"/>
        </w:rPr>
        <w:t>Eligible for Future Sale — Registration Rights</w:t>
      </w:r>
      <w:r>
        <w:rPr>
          <w:rFonts w:ascii="Arial" w:cs="Arial" w:eastAsia="Arial" w:hAnsi="Arial"/>
          <w:sz w:val="18"/>
          <w:szCs w:val="18"/>
          <w:color w:val="auto"/>
        </w:rPr>
        <w:t>.” In compliance with FINRA Rule 5110(f)(2)(G),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Units</w:t>
      </w:r>
    </w:p>
    <w:p>
      <w:pPr>
        <w:spacing w:after="0" w:line="16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EarlyBirdCapital has committed that it and/or its designees will purchase from us 50,000 private units for a total purchase price of $500,000. This purchase will take place on a private placement basis simultaneously with the consummation of this offering. EarlyBirdCapital has also agreed that if the over-allotment option is exercised by the underwriters in full or in part, they will purchase from us an additional number of private units (up to a maximum of 7,500 private units) necessary to maintain in the trust account $10.00 per unit sold to the public in this offering. The private units (and underlying securities) are identical to the units (and underlying securities) sold in this offering except as described elsewhere in this prospectus. The private units and underlying subunits and warrants have been deemed compensation by FINRA and are therefore subject to a 180-day lock-up pursuant to FINRA Rule 5110(e)(1). Additionally, the private units purchased by EarlyBirdCapital may not be sold, transferred, assigned, pledged or hypothecated or be the subject of any hedging, short sale, derivative, put or call transaction that would result in the economic disposition of the securities by any person for a 180-day period following the effective date of this prospectus except to any selected dealer participating in the offering and the bona fide officers or partners of the underwriter and any such participating selected dealer. EarlyBirdCapital has agreed that the private units it purchases will not be sold or transferred by it (except to certain permitted transferees) until after we have completed an initial business combination. In addition, for as long as the warrants underlying the private units are held by EarlyBirdCapital and/or its designees or affiliates, they may not be exercised after five years from the effective date of the registration statement of which this prospectus forms a part. We have granted the holders of private units, including EarlyBirdCapital, the registration rights as described under the section</w:t>
      </w:r>
    </w:p>
    <w:p>
      <w:pPr>
        <w:sectPr>
          <w:pgSz w:w="11900" w:h="16838" w:orient="portrait"/>
          <w:cols w:equalWidth="0" w:num="1">
            <w:col w:w="9019"/>
          </w:cols>
          <w:pgMar w:left="1440" w:top="274"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 Eligible for Future Sale — Registration Rights</w:t>
      </w:r>
      <w:r>
        <w:rPr>
          <w:rFonts w:ascii="Arial" w:cs="Arial" w:eastAsia="Arial" w:hAnsi="Arial"/>
          <w:sz w:val="18"/>
          <w:szCs w:val="18"/>
          <w:color w:val="auto"/>
        </w:rPr>
        <w:t>.” In compliance with FINRA Rule 5110(f)(2)(G), the EarlyBirdCapital registration rights are limited to demand and “piggy back” rights for periods of five and seven years, respectively, from the effective date of this prospectus and EarlyBirdCapital may only exercise its demand rights on one occasion.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62"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We have granted EarlyBirdCapital a right of first refusal for a period commencing from the consummation of this offering until the consummation of our initial business combination (or the liquidation of the trust account in the event that we fail to consummate our initial business combination within the prescribed time period) to act as book running manager, placement agent and/or arranger for all financings where we seek to raise equity, equity-linked, debt or mezzanine financings relating to or in connection with a business combination.</w:t>
      </w:r>
    </w:p>
    <w:p>
      <w:pPr>
        <w:spacing w:after="0" w:line="9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In addition, under certain circumstances EarlyBirdCapital will be granted, for a period of one year from the closing of this offering, the right to act as lead underwriter for the next U.S. registered public offering of securities, undertaken by any of our officers, for the purpose of raising capital and placing 90% or more of the proceeds in a trust or escrow account to be used to acquire one or more operating businesses in the technology industry that have not been identified at the time of the public offering.</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have agreed to indemnify the underwriter against certain liabilities, including certain liabilities under the Securities Act. In addition, we have agreed to indemnify I-Bankers Securities, Inc., which is acting as a “qualified independent underwriter” for this offering, against certain liabilities incurred in connection with acting as qualified independent underwriter, including liabilities under the Securities Act. See “</w:t>
      </w:r>
      <w:r>
        <w:rPr>
          <w:rFonts w:ascii="Arial" w:cs="Arial" w:eastAsia="Arial" w:hAnsi="Arial"/>
          <w:sz w:val="17"/>
          <w:szCs w:val="17"/>
          <w:i w:val="1"/>
          <w:iCs w:val="1"/>
          <w:color w:val="auto"/>
        </w:rPr>
        <w:t>Conflicts of</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w:t>
      </w:r>
      <w:r>
        <w:rPr>
          <w:rFonts w:ascii="Arial" w:cs="Arial" w:eastAsia="Arial" w:hAnsi="Arial"/>
          <w:sz w:val="17"/>
          <w:szCs w:val="17"/>
          <w:color w:val="auto"/>
        </w:rPr>
        <w:t>”, below. If we are unable to provide this indemnification, we have agreed to contribute to payments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may be required to make in respect of those liabilities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NASDAQ Listing</w:t>
      </w:r>
    </w:p>
    <w:p>
      <w:pPr>
        <w:spacing w:after="0" w:line="16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intend to apply to have our units, subunits and warrants listed on Nasdaq under the symbols “ATSPU,” “ATSPT” and “ATSPW,” respectively. If approved for listing, we anticipate that our units will be listed on Nasdaq on or promptly after the effective date of the registration statement. Following the date the subunits and warrants are eligible to trade separately, we anticipate that the subunits and warrants will be listed separately and as a unit on Nasdaq. The common stock will not trade separately unless and until we consummate an initial business combination. Upon consummation of our initial business combination, we anticipate the common stock will be traded on Nasdaq under the symbol “ATSP.”</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In connection with this offering, the underwriters may engage in activities that stabilize, maintain or otherwise affect the price of units during and after this offering, including:</w:t>
      </w:r>
    </w:p>
    <w:p>
      <w:pPr>
        <w:spacing w:after="0" w:line="89" w:lineRule="exact"/>
        <w:rPr>
          <w:sz w:val="20"/>
          <w:szCs w:val="20"/>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Stabilizing transactions consist of bids or purchases made for the purpose of preventing or retarding a decline in the market price of our units while this offering is in progress. Stabilization transactions permit bids to purchase the underlying security so long as the stabilizing bids do not exceed a specified maximum. These transactions may also include making short sales of our units, which involve the sale by the 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underwriters may close out any covered short position by either exercising their option, in whole or in part, or by purchasing units in the open market. In making this determination, the underwriters will consider, among other things, the price of units available for purchase in the open market as compared to the price at which they may purchase units through the over-allotment option.</w:t>
      </w:r>
    </w:p>
    <w:p>
      <w:pPr>
        <w:spacing w:after="0" w:line="119"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Naked short sales are short sales made in excess of the over-allotment option. The underwriters must close out any naked short position by purchasing units in the open market. A naked short position is more likely to be created if the underwriters are concerned that there may be downward pressure on the price of the units in the open market that could adversely affect investors who purchased in this offering.</w:t>
      </w:r>
    </w:p>
    <w:p>
      <w:pPr>
        <w:spacing w:after="0" w:line="10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representative of the underwriters a portion of the underwriting discount received by it because the representative has repurchased units sold by or for the account of that underwriter in stabilizing or short covering transactions.</w:t>
      </w:r>
    </w:p>
    <w:p>
      <w:pPr>
        <w:spacing w:after="0" w:line="10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These stabilizing transactions, short sales, purchases to cover positions created by short sales, the imposition of penalty bids and syndicate covering transactions may have the effect of raising or maintaining the market price of our units or preventing or retarding a decline in the market price of our units. As a result of these activities, the price of our units may be higher than the price that otherwise might exist in the open market. The underwriters may carry out these transactions on the Nasdaq, in the over-the-counter market or otherwise. Neither we nor the underwriters make any representation or prediction as to the effect that the transactions described above may have on the price of the units. Neither we, nor the underwriters, make any representation that the underwriter will engage in these stabilization transactions or that any transaction, once commenced, will not be discontinued without notice.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2"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Prior to this offering, there was no public market for our units. The initial public offering price will be determined by negotiation between us and the representative of the underwriters. The principal factors to be considered in determining the initial public offering price include:</w:t>
      </w:r>
    </w:p>
    <w:p>
      <w:pPr>
        <w:spacing w:after="0" w:line="116" w:lineRule="exact"/>
        <w:rPr>
          <w:sz w:val="20"/>
          <w:szCs w:val="20"/>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history and prospects and the history and prospects for the industry in which we compete;</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past and present financial performance;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prospects for future earnings and the present state of our development;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general condition of the securities market at the time of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59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units of generally comparable companies;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units, subunits, warrants or common stock or that the units will trade in the public market at or above the initial public offering price.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6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EarlyBirdCapital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EarlyBirdCapital and its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also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Future Arrangements</w:t>
      </w:r>
    </w:p>
    <w:p>
      <w:pPr>
        <w:spacing w:after="0" w:line="14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Except as described above, we are not under any contractual obligation to engage any of the underwriters to provide any services for us after this offering, and have no present intent to do so. However,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underwriter and no fees for such services will be paid to any underwriter prior to the date that is 90 days from the date of this prospectus, unless FINRA determines that such payment would not be deemed underwriter’s compensation in connection with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EarlyBirdCapital has a “conflict of interest” within the meaning of FINRA Rule 5121(f)(5)(B) in this offering because one of its affiliates beneficially owns more than 10% of our shares. Accordingly, this offering is being made in compliance with the applicable requirements of FINRA Rule 5121. FINRA Rule 5121 requires that a “qualified independent underwriter,” as defined in FINRA Rule 5121, participate in the preparation of this prospectus and the registration statement of which it forms a part and exercise the usual standards of “due diligence” with respect thereto. I-Bankers has agreed to act as a “qualified independent underwriter” for this offering. I-Bankers will receive no other compensation in this offering other than customary underwriting commissions. We have agreed to indemnify I-Bankers against certain liabilities incurred in connection with acting as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Resale Restrictions</w:t>
      </w:r>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Representations of Purchasers</w:t>
      </w:r>
    </w:p>
    <w:p>
      <w:pPr>
        <w:spacing w:after="0" w:line="144"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03" w:lineRule="exact"/>
        <w:rPr>
          <w:sz w:val="20"/>
          <w:szCs w:val="20"/>
          <w:color w:val="auto"/>
        </w:rPr>
      </w:pPr>
    </w:p>
    <w:p>
      <w:pPr>
        <w:ind w:left="1320" w:right="459" w:hanging="434"/>
        <w:spacing w:after="0" w:line="277" w:lineRule="auto"/>
        <w:tabs>
          <w:tab w:leader="none" w:pos="15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Rights of Action — Ontario Purchasers Only</w:t>
      </w:r>
    </w:p>
    <w:p>
      <w:pPr>
        <w:spacing w:after="0" w:line="15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Enforcement of Legal Rights</w:t>
      </w:r>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Collection of Personal Information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0"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1"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5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00" w:lineRule="exact"/>
        <w:rPr>
          <w:sz w:val="20"/>
          <w:szCs w:val="20"/>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jc w:val="both"/>
        <w:ind w:left="1320" w:right="479" w:hanging="434"/>
        <w:spacing w:after="0" w:line="273" w:lineRule="auto"/>
        <w:tabs>
          <w:tab w:leader="none" w:pos="137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 for any such offer; or</w:t>
      </w:r>
    </w:p>
    <w:p>
      <w:pPr>
        <w:spacing w:after="0" w:line="110" w:lineRule="exact"/>
        <w:rPr>
          <w:rFonts w:ascii="Arial" w:cs="Arial" w:eastAsia="Arial" w:hAnsi="Arial"/>
          <w:sz w:val="17"/>
          <w:szCs w:val="17"/>
          <w:color w:val="auto"/>
        </w:rPr>
      </w:pPr>
    </w:p>
    <w:p>
      <w:pPr>
        <w:ind w:left="1320" w:right="459" w:hanging="434"/>
        <w:spacing w:after="0" w:line="277" w:lineRule="auto"/>
        <w:tabs>
          <w:tab w:leader="none" w:pos="1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Each purchaser of units described in this prospectus located within a relevant member state will be deemed to have represented, acknowledged and agreed that it is a “qualified investor” within the meaning of Article 2(1) (e) of the Prospectus Directive.</w:t>
      </w:r>
    </w:p>
    <w:p>
      <w:pPr>
        <w:spacing w:after="0" w:line="1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For the purpose of this provision, the expression an “offer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PD 2010 Amending Directive to the extent implemented by the relevant member state) and includes any relevant implementing measure in each relevant member state, and the expression 2010 PD Amending Directive means Directive 2010/73/EU.</w:t>
      </w:r>
    </w:p>
    <w:p>
      <w:pPr>
        <w:spacing w:after="0" w:line="111"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0"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94" w:lineRule="exact"/>
        <w:rPr>
          <w:sz w:val="20"/>
          <w:szCs w:val="20"/>
          <w:color w:val="auto"/>
        </w:rPr>
      </w:pPr>
    </w:p>
    <w:p>
      <w:pPr>
        <w:ind w:left="1300" w:hanging="414"/>
        <w:spacing w:after="0"/>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used in connection with any offer for subscription or sale of the units to the public in France.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58" w:lineRule="exact"/>
        <w:rPr>
          <w:sz w:val="20"/>
          <w:szCs w:val="20"/>
          <w:color w:val="auto"/>
        </w:rPr>
      </w:pPr>
    </w:p>
    <w:p>
      <w:pPr>
        <w:jc w:val="both"/>
        <w:ind w:left="1320" w:right="479" w:hanging="434"/>
        <w:spacing w:after="0" w:line="259" w:lineRule="auto"/>
        <w:tabs>
          <w:tab w:leader="none" w:pos="1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jc w:val="both"/>
        <w:ind w:left="1320" w:right="479" w:hanging="434"/>
        <w:spacing w:after="0" w:line="286" w:lineRule="auto"/>
        <w:tabs>
          <w:tab w:leader="none" w:pos="1527"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9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5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units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58" w:lineRule="exact"/>
        <w:rPr>
          <w:sz w:val="20"/>
          <w:szCs w:val="20"/>
          <w:color w:val="auto"/>
        </w:rPr>
      </w:pPr>
    </w:p>
    <w:p>
      <w:pPr>
        <w:jc w:val="both"/>
        <w:ind w:left="460" w:right="479"/>
        <w:spacing w:after="0" w:line="270"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 the units are subscribed or purchased under Section 275 of the SFA by a relevant person that is:</w:t>
      </w:r>
    </w:p>
    <w:p>
      <w:pPr>
        <w:spacing w:after="0" w:line="156" w:lineRule="exact"/>
        <w:rPr>
          <w:sz w:val="20"/>
          <w:szCs w:val="20"/>
          <w:color w:val="auto"/>
        </w:rPr>
      </w:pPr>
    </w:p>
    <w:p>
      <w:pPr>
        <w:jc w:val="both"/>
        <w:ind w:left="1320" w:right="459" w:hanging="434"/>
        <w:spacing w:after="0" w:line="263" w:lineRule="auto"/>
        <w:tabs>
          <w:tab w:leader="none" w:pos="13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14A of the SFA)) the sole business of which is to hold investments and the entire share capital of which is owned by one or more individuals, each of whom is an accredited investor,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96" w:lineRule="auto"/>
        <w:tabs>
          <w:tab w:leader="none" w:pos="1392"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3" w:lineRule="exact"/>
        <w:rPr>
          <w:rFonts w:ascii="Arial" w:cs="Arial" w:eastAsia="Arial" w:hAnsi="Arial"/>
          <w:sz w:val="16"/>
          <w:szCs w:val="16"/>
          <w:color w:val="auto"/>
        </w:rPr>
      </w:pPr>
    </w:p>
    <w:p>
      <w:pPr>
        <w:jc w:val="both"/>
        <w:ind w:left="1320" w:right="459" w:hanging="434"/>
        <w:spacing w:after="0" w:line="272" w:lineRule="auto"/>
        <w:tabs>
          <w:tab w:leader="none" w:pos="136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09" w:lineRule="exact"/>
        <w:rPr>
          <w:rFonts w:ascii="Arial" w:cs="Arial" w:eastAsia="Arial" w:hAnsi="Arial"/>
          <w:sz w:val="17"/>
          <w:szCs w:val="17"/>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Loeb &amp; Loeb LLP, New York, New York is acting as our counsel in connection with the registration of our securities under the Securities Act, and as such, will pass upon the validity of the securities offered in this offering. Loeb &amp; Loeb LLP represents EarlyBirdCapital, Inc. in matters unrelated to this offering. Graubard Miller, New York, New York, is acting as counsel to the underwriters.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 financial statements of Archimedes Tech SPAC Partners Co. for the period from September 15, 2020 (inception) through December 31, 2020 included in this Prospectus have been audited by Marcum LLP, independent registered public accounting firm, as set forth in their report, thereon (which contains an explanatory paragraph relating to substantial doubt about the ability of Archimedes Tech SPAC Partners Co. to continue as a going concern as described in Note 1 to the financial statements), appearing elsewhere in this prospectus, and are included in reliance on such report given upon such firm as experts in auditing and accounting.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97"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with the SEC at its public reference facility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100 F Street, N.E., Washington, D.C. 20549.</w:t>
      </w:r>
    </w:p>
    <w:p>
      <w:pPr>
        <w:spacing w:after="0" w:line="120"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Report of Independent Registered Public Accounting Firm</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28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9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Balance Sheet as of December 31, 2020</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176"/>
        </w:trPr>
        <w:tc>
          <w:tcPr>
            <w:tcW w:w="6140" w:type="dxa"/>
            <w:vAlign w:val="bottom"/>
            <w:tcBorders>
              <w:bottom w:val="single" w:sz="8" w:color="0000EE"/>
            </w:tcBorders>
            <w:gridSpan w:val="4"/>
          </w:tcPr>
          <w:p>
            <w:pPr>
              <w:spacing w:after="0" w:line="17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Statement of Operations for the period from September 15, 2020 (inception) through</w:t>
              </w:r>
            </w:hyperlink>
          </w:p>
        </w:tc>
        <w:tc>
          <w:tcPr>
            <w:tcW w:w="11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December 31, 2020</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7"/>
            <w:shd w:val="clear" w:color="auto" w:fill="CCEEFF"/>
          </w:tcPr>
          <w:p>
            <w:pPr>
              <w:spacing w:after="0" w:line="17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Statement of Changes in Stockholder’s Equity for the period from September 15, 2020 (inception)</w:t>
              </w:r>
            </w:hyperlink>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8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through December 31, 2020</w:t>
              </w:r>
            </w:hyperlink>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39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6200" w:type="dxa"/>
            <w:vAlign w:val="bottom"/>
            <w:tcBorders>
              <w:bottom w:val="single" w:sz="8" w:color="0000EE"/>
            </w:tcBorders>
            <w:gridSpan w:val="5"/>
          </w:tcPr>
          <w:p>
            <w:pPr>
              <w:spacing w:after="0" w:line="17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Statement of Cash Flows for the period from September 15, 2020 (inception) through</w:t>
              </w:r>
            </w:hyperlink>
          </w:p>
        </w:tc>
        <w:tc>
          <w:tcPr>
            <w:tcW w:w="10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6"/>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December 31, 2020</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Notes to Financial Statements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F-7</w:t>
            </w:r>
          </w:p>
        </w:tc>
      </w:tr>
      <w:tr>
        <w:trPr>
          <w:trHeight w:val="392"/>
        </w:trPr>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4"/>
          </w:tcPr>
          <w:p>
            <w:pPr>
              <w:ind w:left="1720"/>
              <w:spacing w:after="0"/>
              <w:rPr>
                <w:sz w:val="20"/>
                <w:szCs w:val="20"/>
                <w:color w:val="auto"/>
              </w:rPr>
            </w:pPr>
            <w:r>
              <w:rPr>
                <w:rFonts w:ascii="Arial" w:cs="Arial" w:eastAsia="Arial" w:hAnsi="Arial"/>
                <w:sz w:val="18"/>
                <w:szCs w:val="18"/>
                <w:color w:val="auto"/>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have audited the accompanying balance sheet of Archimedes Tech SPAC Partners Co. (the “Company”) as of December 31, 2020, the related statements of operations, stockholder’s equity, and cash flows for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September 15, 2020 (inception) through December 31, 2020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a working capital deficiency as of December 31, 2020, and lacks the financial resources it needs to sustain operations for a reasonable period of time, which is considered to be one year from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become necessary should the Company be unable to continue as a going concern.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ind w:left="460" w:right="47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Marcum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2021.</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600" w:type="dxa"/>
            <w:vAlign w:val="bottom"/>
          </w:tcPr>
          <w:p>
            <w:pPr>
              <w:ind w:left="2220"/>
              <w:spacing w:after="0"/>
              <w:rPr>
                <w:sz w:val="20"/>
                <w:szCs w:val="20"/>
                <w:color w:val="auto"/>
              </w:rPr>
            </w:pPr>
            <w:r>
              <w:rPr>
                <w:rFonts w:ascii="Arial" w:cs="Arial" w:eastAsia="Arial" w:hAnsi="Arial"/>
                <w:sz w:val="18"/>
                <w:szCs w:val="18"/>
                <w:b w:val="1"/>
                <w:bCs w:val="1"/>
                <w:color w:val="auto"/>
              </w:rPr>
              <w:t>ARCHIMEDES TECH SPAC PARTNERS CO.</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3280"/>
              <w:spacing w:after="0"/>
              <w:rPr>
                <w:sz w:val="20"/>
                <w:szCs w:val="20"/>
                <w:color w:val="auto"/>
              </w:rPr>
            </w:pPr>
            <w:r>
              <w:rPr>
                <w:rFonts w:ascii="Arial" w:cs="Arial" w:eastAsia="Arial" w:hAnsi="Arial"/>
                <w:sz w:val="18"/>
                <w:szCs w:val="18"/>
                <w:b w:val="1"/>
                <w:bCs w:val="1"/>
                <w:color w:val="auto"/>
              </w:rPr>
              <w:t>BALANCE SHEET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right"/>
              <w:ind w:right="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13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6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00" w:type="dxa"/>
            <w:vAlign w:val="bottom"/>
          </w:tcPr>
          <w:p>
            <w:pPr>
              <w:spacing w:after="0"/>
              <w:rPr>
                <w:sz w:val="20"/>
                <w:szCs w:val="20"/>
                <w:color w:val="auto"/>
              </w:rPr>
            </w:pPr>
            <w:r>
              <w:rPr>
                <w:rFonts w:ascii="Arial" w:cs="Arial" w:eastAsia="Arial" w:hAnsi="Arial"/>
                <w:sz w:val="18"/>
                <w:szCs w:val="18"/>
                <w:color w:val="auto"/>
              </w:rPr>
              <w:t>Deferred offering cost</w:t>
            </w:r>
          </w:p>
        </w:tc>
        <w:tc>
          <w:tcPr>
            <w:tcW w:w="6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related party</w:t>
            </w:r>
          </w:p>
        </w:tc>
        <w:tc>
          <w:tcPr>
            <w:tcW w:w="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6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$0.0001 par value; 31,000,000 shares authorized; 0 shares issued and</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2020</w:t>
            </w:r>
          </w:p>
        </w:tc>
        <w:tc>
          <w:tcPr>
            <w:tcW w:w="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stockholder’s deficit</w:t>
            </w:r>
          </w:p>
        </w:tc>
        <w:tc>
          <w:tcPr>
            <w:tcW w:w="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1043305</wp:posOffset>
            </wp:positionV>
            <wp:extent cx="514350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Formation cost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Basic and diluted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Basic and diluted net loss per common stock</w:t>
      </w:r>
    </w:p>
    <w:p>
      <w:pPr>
        <w:spacing w:after="0" w:line="256" w:lineRule="exact"/>
        <w:rPr>
          <w:sz w:val="20"/>
          <w:szCs w:val="20"/>
          <w:color w:val="auto"/>
        </w:rPr>
      </w:pPr>
    </w:p>
    <w:p>
      <w:pPr>
        <w:jc w:val="center"/>
        <w:ind w:left="18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For the period</w:t>
      </w:r>
    </w:p>
    <w:p>
      <w:pPr>
        <w:spacing w:after="0" w:line="26" w:lineRule="exact"/>
        <w:rPr>
          <w:sz w:val="20"/>
          <w:szCs w:val="20"/>
          <w:color w:val="auto"/>
        </w:rPr>
      </w:pPr>
    </w:p>
    <w:p>
      <w:pPr>
        <w:jc w:val="center"/>
        <w:ind w:right="511"/>
        <w:spacing w:after="0"/>
        <w:rPr>
          <w:sz w:val="20"/>
          <w:szCs w:val="20"/>
          <w:color w:val="auto"/>
        </w:rPr>
      </w:pPr>
      <w:r>
        <w:rPr>
          <w:rFonts w:ascii="Arial" w:cs="Arial" w:eastAsia="Arial" w:hAnsi="Arial"/>
          <w:sz w:val="16"/>
          <w:szCs w:val="16"/>
          <w:b w:val="1"/>
          <w:bCs w:val="1"/>
          <w:color w:val="auto"/>
        </w:rPr>
        <w:t>from</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September 15,</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4"/>
          <w:szCs w:val="14"/>
          <w:b w:val="1"/>
          <w:bCs w:val="1"/>
          <w:color w:val="auto"/>
        </w:rPr>
        <w:t>2020 (inception)</w:t>
      </w:r>
    </w:p>
    <w:p>
      <w:pPr>
        <w:spacing w:after="0" w:line="42"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through</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2020</w:t>
      </w:r>
    </w:p>
    <w:p>
      <w:pPr>
        <w:spacing w:after="0" w:line="91" w:lineRule="exact"/>
        <w:rPr>
          <w:sz w:val="20"/>
          <w:szCs w:val="20"/>
          <w:color w:val="auto"/>
        </w:rPr>
      </w:pPr>
    </w:p>
    <w:p>
      <w:pPr>
        <w:ind w:left="828" w:hanging="828"/>
        <w:spacing w:after="0"/>
        <w:tabs>
          <w:tab w:leader="none" w:pos="8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029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ind w:left="768" w:hanging="768"/>
        <w:spacing w:after="0"/>
        <w:tabs>
          <w:tab w:leader="none" w:pos="768" w:val="left"/>
        </w:tabs>
        <w:numPr>
          <w:ilvl w:val="0"/>
          <w:numId w:val="70"/>
        </w:numPr>
        <w:rPr>
          <w:rFonts w:ascii="Arial" w:cs="Arial" w:eastAsia="Arial" w:hAnsi="Arial"/>
          <w:sz w:val="17"/>
          <w:szCs w:val="17"/>
          <w:color w:val="auto"/>
        </w:rPr>
      </w:pPr>
      <w:r>
        <w:rPr>
          <w:rFonts w:ascii="Arial" w:cs="Arial" w:eastAsia="Arial" w:hAnsi="Arial"/>
          <w:sz w:val="17"/>
          <w:szCs w:val="17"/>
          <w:color w:val="auto"/>
        </w:rPr>
        <w:t>(716)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29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92" w:lineRule="exact"/>
        <w:rPr>
          <w:sz w:val="20"/>
          <w:szCs w:val="20"/>
          <w:color w:val="auto"/>
        </w:rPr>
      </w:pPr>
    </w:p>
    <w:p>
      <w:pPr>
        <w:ind w:left="92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029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67" w:lineRule="exact"/>
        <w:rPr>
          <w:sz w:val="20"/>
          <w:szCs w:val="20"/>
          <w:color w:val="auto"/>
        </w:rPr>
      </w:pPr>
    </w:p>
    <w:p>
      <w:pPr>
        <w:ind w:left="928" w:hanging="928"/>
        <w:spacing w:after="0"/>
        <w:tabs>
          <w:tab w:leader="none" w:pos="9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029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029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2">
            <w:col w:w="7160" w:space="152"/>
            <w:col w:w="1707"/>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15, 2020 (INCEPTION) THROUGH DECEMBER 31, 2020</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80" w:type="dxa"/>
            <w:vAlign w:val="bottom"/>
            <w:gridSpan w:val="4"/>
            <w:vMerge w:val="restart"/>
          </w:tcPr>
          <w:p>
            <w:pPr>
              <w:ind w:left="5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w w:val="94"/>
              </w:rPr>
              <w:t>Additional</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161"/>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16"/>
        </w:trPr>
        <w:tc>
          <w:tcPr>
            <w:tcW w:w="2740" w:type="dxa"/>
            <w:vAlign w:val="bottom"/>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center"/>
              <w:ind w:left="99"/>
              <w:spacing w:after="0" w:line="142" w:lineRule="exact"/>
              <w:rPr>
                <w:sz w:val="20"/>
                <w:szCs w:val="20"/>
                <w:color w:val="auto"/>
              </w:rPr>
            </w:pPr>
            <w:r>
              <w:rPr>
                <w:rFonts w:ascii="Arial" w:cs="Arial" w:eastAsia="Arial" w:hAnsi="Arial"/>
                <w:sz w:val="16"/>
                <w:szCs w:val="16"/>
                <w:b w:val="1"/>
                <w:bCs w:val="1"/>
                <w:color w:val="auto"/>
                <w:w w:val="93"/>
              </w:rPr>
              <w:t>Paid-in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060" w:type="dxa"/>
            <w:vAlign w:val="bottom"/>
            <w:gridSpan w:val="3"/>
            <w:vMerge w:val="restart"/>
          </w:tcPr>
          <w:p>
            <w:pPr>
              <w:jc w:val="center"/>
              <w:spacing w:after="0" w:line="14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Arial" w:cs="Arial" w:eastAsia="Arial" w:hAnsi="Arial"/>
                <w:sz w:val="16"/>
                <w:szCs w:val="16"/>
                <w:b w:val="1"/>
                <w:bCs w:val="1"/>
                <w:color w:val="auto"/>
                <w:w w:val="89"/>
              </w:rPr>
              <w:t>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22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ind w:left="139"/>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20"/>
                <w:szCs w:val="20"/>
                <w:color w:val="auto"/>
              </w:rPr>
            </w:pPr>
          </w:p>
        </w:tc>
        <w:tc>
          <w:tcPr>
            <w:tcW w:w="86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47"/>
        </w:trPr>
        <w:tc>
          <w:tcPr>
            <w:tcW w:w="27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4"/>
              </w:rPr>
              <w:t>Balance as of September 15, 2020</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4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Balance as of December 31, 2020</w:t>
            </w:r>
          </w:p>
        </w:tc>
        <w:tc>
          <w:tcPr>
            <w:tcW w:w="7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10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4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1043305</wp:posOffset>
            </wp:positionV>
            <wp:extent cx="514350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Adjustments to reconcile net cash used in operating activities:</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Formation cost paid by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beginning of the period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74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Deferred offering cost paid by Sponsor in exchange for issuance of common stock</w:t>
      </w:r>
    </w:p>
    <w:p>
      <w:pPr>
        <w:spacing w:after="0" w:line="264" w:lineRule="exact"/>
        <w:rPr>
          <w:sz w:val="20"/>
          <w:szCs w:val="20"/>
          <w:color w:val="auto"/>
        </w:rPr>
      </w:pPr>
    </w:p>
    <w:p>
      <w:pPr>
        <w:jc w:val="center"/>
        <w:ind w:left="18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For the period</w:t>
      </w:r>
    </w:p>
    <w:p>
      <w:pPr>
        <w:spacing w:after="0" w:line="26"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from</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September 15,</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4"/>
          <w:szCs w:val="14"/>
          <w:b w:val="1"/>
          <w:bCs w:val="1"/>
          <w:color w:val="auto"/>
        </w:rPr>
        <w:t>2020 (inception)</w:t>
      </w:r>
    </w:p>
    <w:p>
      <w:pPr>
        <w:spacing w:after="0" w:line="42"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through</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p>
      <w:pPr>
        <w:jc w:val="center"/>
        <w:ind w:right="471"/>
        <w:spacing w:after="0"/>
        <w:rPr>
          <w:sz w:val="20"/>
          <w:szCs w:val="20"/>
          <w:color w:val="auto"/>
        </w:rPr>
      </w:pPr>
      <w:r>
        <w:rPr>
          <w:rFonts w:ascii="Arial" w:cs="Arial" w:eastAsia="Arial" w:hAnsi="Arial"/>
          <w:sz w:val="16"/>
          <w:szCs w:val="16"/>
          <w:b w:val="1"/>
          <w:bCs w:val="1"/>
          <w:color w:val="auto"/>
        </w:rPr>
        <w:t>2020</w:t>
      </w:r>
    </w:p>
    <w:p>
      <w:pPr>
        <w:spacing w:after="0" w:line="375" w:lineRule="exact"/>
        <w:rPr>
          <w:sz w:val="20"/>
          <w:szCs w:val="20"/>
          <w:color w:val="auto"/>
        </w:rPr>
      </w:pPr>
    </w:p>
    <w:p>
      <w:pPr>
        <w:ind w:left="768" w:hanging="768"/>
        <w:spacing w:after="0"/>
        <w:tabs>
          <w:tab w:leader="none" w:pos="768" w:val="left"/>
        </w:tabs>
        <w:numPr>
          <w:ilvl w:val="0"/>
          <w:numId w:val="72"/>
        </w:numPr>
        <w:rPr>
          <w:rFonts w:ascii="Arial" w:cs="Arial" w:eastAsia="Arial" w:hAnsi="Arial"/>
          <w:sz w:val="17"/>
          <w:szCs w:val="17"/>
          <w:color w:val="auto"/>
        </w:rPr>
      </w:pPr>
      <w:r>
        <w:rPr>
          <w:rFonts w:ascii="Arial" w:cs="Arial" w:eastAsia="Arial" w:hAnsi="Arial"/>
          <w:sz w:val="17"/>
          <w:szCs w:val="17"/>
          <w:color w:val="auto"/>
        </w:rPr>
        <w:t>(716)</w:t>
      </w:r>
    </w:p>
    <w:p>
      <w:pPr>
        <w:spacing w:after="0" w:line="385"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716</w:t>
      </w:r>
    </w:p>
    <w:p>
      <w:pPr>
        <w:spacing w:after="0" w:line="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029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40" w:lineRule="exact"/>
        <w:rPr>
          <w:sz w:val="20"/>
          <w:szCs w:val="20"/>
          <w:color w:val="auto"/>
        </w:rPr>
      </w:pPr>
    </w:p>
    <w:p>
      <w:pPr>
        <w:ind w:left="928"/>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92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029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3" w:lineRule="exact"/>
        <w:rPr>
          <w:sz w:val="20"/>
          <w:szCs w:val="20"/>
          <w:color w:val="auto"/>
        </w:rPr>
      </w:pPr>
    </w:p>
    <w:p>
      <w:pPr>
        <w:ind w:left="928" w:hanging="928"/>
        <w:spacing w:after="0"/>
        <w:tabs>
          <w:tab w:leader="none" w:pos="92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029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8" w:hanging="928"/>
        <w:spacing w:after="0"/>
        <w:tabs>
          <w:tab w:leader="none" w:pos="9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029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2">
            <w:col w:w="7160" w:space="152"/>
            <w:col w:w="1707"/>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and Business Operation</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None of the Company’s officers, directors, promoters and other affiliates has engaged in any substantive discussions on its behalf with representatives of other companies regarding the possibility of a potential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158"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The Company was formed on September 15, 2020 and remained dormant through December 31, 2020. For the period from September 15, 2020 through December 31, 2020, there had been no activity since the formation of the entity and no equity shares were issued. The Company commenced operations on January 4, 2021 when the founder shares were issued.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w:t>
      </w:r>
    </w:p>
    <w:p>
      <w:pPr>
        <w:spacing w:after="0" w:line="9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Company’s Sponsor is Archimedes Tech SPAC Sponsors LLC, a Delaware limited liability company (the “Sponsor”). The Company’s ability to commence operations is contingent upon obtaining adequate financial resources through a proposed public offering of 10,000,000 units at $10.00 per unit (or 11,500,000 units if the underwriters’ over-allotment option is exercised in full) (the “Public Units”), which is discussed in Note 3 (the “Proposed Public Offering”), and the sale of 350,000 units (or 380,000 units if the underwriters’ over-allotment option is exercised in full) (the “Private Units”) at a price of $10.00 per Private Unit in a private placement to the Sponsor and EarlyBirdCapital, Inc., or EarlyBirdCapital, that will close simultaneously with the Proposed Public Offering. Each Public Unit consists of (i) one subunit (the “Public Subunit”), which consists of one share of common stock (the “Public Shares”) and one-quarter of one warrant (the “Public Warrants”), and (ii) one-quarter of one warrant (the “Public Warrants”); each whole warrant will be exercisable to purchase one share of common stock. Each Private Unit will also consist of (i) one subunit (the “Private Subunits”), which consists of one share of common stock (the “Private Shares”) and one-quarter of one warrant (the “Private Warrants”), and (ii) one-quarter of one warrant (the “Private Warrants”).</w:t>
      </w:r>
    </w:p>
    <w:p>
      <w:pPr>
        <w:spacing w:after="0" w:line="10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Company must complete one or more initial Business Combinations having an aggregate fair market value of at least 80% of the value of the assets held in the Trust Account (as defined below)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the closing of the Proposed Public Offering, management has agreed that an aggregate of $10.00 per Public Unit sold in the Proposed Public Offering (regardless of whether or not the over-allotment option is exercised), will be placed in a U.S.-based Trust Account maintained by Continental Stock Transfer &amp; Trust Company, acting as trustee pursuant to an agreement to be signed on the date of the Proposed Public Offering, The funds held in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The shares of common stock subject to redemption will be recorded at a redemption value and classified as temporary equity upon the completion of the Proposed Public Offering,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8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Company will continue in existence only until 18 months from the closing of the Proposed Public Offering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31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 public stockholder will be entitled to receive funds from the Trust Account (including interest earned on his, her or its portion of the Trust Account to the extent not previously released to the Company) only in the event of</w:t>
      </w:r>
    </w:p>
    <w:p>
      <w:pPr>
        <w:jc w:val="both"/>
        <w:ind w:left="460" w:right="459" w:hanging="6"/>
        <w:spacing w:after="0" w:line="285" w:lineRule="auto"/>
        <w:tabs>
          <w:tab w:leader="none" w:pos="691"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7"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December 31, 2020, the Company had no cash and a working capital deficit of $716 (excluding deferred offering cost). The Company has incurred and expects to continue to incur significant costs in pursuit of its financing and acquisition plans. These conditions raise substantial doubt about the Company’s ability to continue as a going concern. Management plans to address this uncertainty through a Proposed Public Offering as discussed in Note 3. There is no assurance that the Company’s plans to raise capital or to consummate a Business Combination will be successful within the Combination Period. The financial statements do not include any adjustments that might result from the outcome of this uncertainty.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The accompanying financial statements are presented in conformity with accounting principles generally accepted in the United States of America (“US GAAP”) and pursuant to the rules and regulations of the SEC.</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58" w:lineRule="exact"/>
        <w:rPr>
          <w:sz w:val="20"/>
          <w:szCs w:val="20"/>
          <w:color w:val="auto"/>
        </w:rPr>
      </w:pPr>
    </w:p>
    <w:p>
      <w:pPr>
        <w:jc w:val="both"/>
        <w:ind w:left="460" w:right="479"/>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 Company did not have any cash equivalents as of December 31, 2020.</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Deferred offering costs consist of underwriting, legal, accounting and other expenses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Net loss per share is computed by dividing net loss by the weighted average number of common stock outstanding during the period, excluding common stocks subject to forfeiture by the Sponsor. Weighted average shares were reduced for the effect of an aggregate of 375,000 shares of common stock that are subject to forfeiture if the over-allotment option is not exercised by the underwriters (see Note 5). At December 31, 2021, the Company did not have any dilutive securities and other contracts that could, potentially, be exercised or converted into common stocks and then share in the earnings of the Company. As a result, diluted loss per share is the same as basic loss per share for the period presented.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97"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The provision for income taxes was deemed to be immaterial for the period from September 15, 2020 (inception) through December 31, 2020. The Company’s deferred tax assets were deemed to be de minimis as of December 31, 2020,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4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Pursuant to the Proposed Public Offering, the Company intends to offer for sale 10,000,000 Public Units, (or 11,500,000 Public Units if the underwriters’ over-allotment option is exercised in full) at a price of $10.00 per Public Unit. Each Public Unit consists of (i) one Public Subunit, which consists of one Public Share and one-quarter of one Public Warrant, and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4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Sponsor and EarlyBirdCapital have committed to purchase an aggregate of 350,000 Private Units of which 300,000 units shall be purchased by the Sponsor the 50,000 units shall be purchased by EarlyBirdCapital and/or its designees at $10.00 per unit (for a total purchase price of $3,500,000). These purchases will take place on a private placement basis simultaneously with the consummation of the Proposed Public Offering. The Sponsor and EarlyBirdCapital have also agreed that, if the over-allotment option is exercised by the underwriters in full or in part, they and/or their designees will purchase from the Company additional Private Units (up to a maximum of 30,000 Private Units at a price of $10.00 per Private Unit, of which up to 22,500 units will be purchased by the Sponsor and 7,500 units will be purchased by EarlyBirdCapital) necessary to maintain in the Trust Account $10.00 per unit sold to the public in the Proposed Public Offering.</w:t>
      </w:r>
    </w:p>
    <w:p>
      <w:pPr>
        <w:spacing w:after="0" w:line="85"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8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there were no founder shares issued and outstanding.</w:t>
      </w:r>
    </w:p>
    <w:p>
      <w:pPr>
        <w:spacing w:after="0" w:line="15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w:t>
      </w:r>
    </w:p>
    <w:p>
      <w:pPr>
        <w:spacing w:after="0" w:line="119"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the date of the Proposed Public Offering, the Founder Shares will be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our initial business combination and the date on which the closing price of our shares of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founder shares, one year after the date of our consummation of the initial business combination, or earlier, in either case, if, subsequent to the initial business combination, we consummates a liquidation, merger, stock exchange or other similar transaction which results in all of the shareholders having the right to exchange their shares of common stock for cash, securities or other property.</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On January 4, 2021, the Sponsor agreed to loan the Company up to $300,000 to be used for a portion of the expenses of the Proposed Public Offering (the “Promissory Note”). These loans are non-interest bearing, unsecured and are due at the earlier of March 31, 2021 or the closing of the Proposed Public Offering. The Company intends to repay the loan from the proceeds of the Proposed Public Offering not being placed in trust upon consummation of the Proposed Public Offering.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Related Party Transactions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On February 1, 2021, the Sponsor loaned to the Company $100,000 pursuant to the Promissory Note. On February 10, 2021, the Sponsor funded to the Company an additional $25,000 pursuant to the Promissory Note, for an aggregate amount of $125,000.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order to meet the working capital needs following the consummation of the Proposed Public Offering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5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Commencing on the date of the Proposed Public Offering through the acquisition of a target business, the Company will pay an affiliate of the Chief Executive Officer, an aggregate fee of $10,000 per month for providing the Company with office space and certain office and secretarial services.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 &amp;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5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44"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Proposed Public Offering, as well as the holders of the Private Units and any units the Sponsor, officers, directors or their affiliates may be issued in payment of Working Capital Loans made to the Company (and all underlying securities), will be entitled to registration rights pursuant to an agreement to be signed prior to or on the effective date of the Proposed Public Offering. The holders of a majority of these securities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the effective date of the registration statement.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&amp; Contingencies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Underwriters Agreement</w:t>
      </w:r>
    </w:p>
    <w:p>
      <w:pPr>
        <w:spacing w:after="0" w:line="14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will grant the underwriters a 45-day option from the date of the Proposed Public Offering to purchase up to an additional 1,500,000 Public Units to cover over-allotments, if any.</w:t>
      </w:r>
    </w:p>
    <w:p>
      <w:pPr>
        <w:spacing w:after="0" w:line="103"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underwriters will be entitled to a cash underwriting discount of two percent (2%) of the gross proceeds of the Proposed Public Offering, or $2,000,000 (or up to $2,300,000 if the underwriters’ over-allotment is exercised in full).</w:t>
      </w:r>
    </w:p>
    <w:p>
      <w:pPr>
        <w:spacing w:after="0" w:line="116"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Proposed Public Offering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11" w:lineRule="exact"/>
        <w:rPr>
          <w:sz w:val="20"/>
          <w:szCs w:val="20"/>
          <w:color w:val="auto"/>
        </w:rPr>
      </w:pPr>
    </w:p>
    <w:p>
      <w:pPr>
        <w:jc w:val="both"/>
        <w:ind w:left="460" w:right="479"/>
        <w:spacing w:after="0" w:line="296" w:lineRule="auto"/>
        <w:rPr>
          <w:sz w:val="20"/>
          <w:szCs w:val="20"/>
          <w:color w:val="auto"/>
        </w:rPr>
      </w:pPr>
      <w:r>
        <w:rPr>
          <w:rFonts w:ascii="Arial" w:cs="Arial" w:eastAsia="Arial" w:hAnsi="Arial"/>
          <w:sz w:val="16"/>
          <w:szCs w:val="16"/>
          <w:color w:val="auto"/>
        </w:rPr>
        <w:t>In addition, under certain circumstances EarlyBirdCapital will be granted, for a period of one year from the closing of the Proposed Public Offering,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public offering.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Proposed Public Offering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131"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On January 13, 2021, the Company has issued to EarlyBirdCapital and its designees an aggregate of 350,000 representative shares at $0.0001 per share (the “Representative Shares”).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8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pursuant to Rule 5110(g)(1) of the FINRA Manual. Pursuant to FINRA Rule 5110(g)(1),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3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31,000,000 shares of common stock with a par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$0.0001 per share. Holders are entitled to one vote for each share of common stock. At December 31, 2020, there were no shares of common stock issued and outstanding. On January 4, 2021, the Sponsor paid $25,000 for 2,875,000 shares of common stock, par value $0.0001. Of the 2,875,000 shares of common stock, an aggregate of up to 375,000 shares of common stock are subject to forfeiture to the Company for no consideration to the extent that the underwriters’ over-allotment option is not exercised in full or in part, so that the initial stockholders will collectively own 20% of the Company’s issued and outstanding common stocks after the Proposed Public Offering.</w:t>
      </w:r>
    </w:p>
    <w:p>
      <w:pPr>
        <w:spacing w:after="0" w:line="11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No warrants are currently outstanding. Each whole warrant entitles the holder to purchase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93"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1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6" w:lineRule="exact"/>
        <w:rPr>
          <w:sz w:val="20"/>
          <w:szCs w:val="20"/>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57"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06"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March 1, 2021, the date that the financial statements were issued.</w:t>
      </w:r>
    </w:p>
    <w:p>
      <w:pPr>
        <w:spacing w:after="0" w:line="10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 January 4, 2021, the Sponsor paid $25,000, or approximately $0.009 per share, to cover certain offering costs in consideration for 2,875,000 shares of common stock, par value $0.0001.</w:t>
      </w:r>
    </w:p>
    <w:p>
      <w:pPr>
        <w:spacing w:after="0" w:line="10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 January 4, 2021, the Sponsor agreed to loan the Company up to $300,000 to be used for a portion of the expenses of the Proposed Public Offering.</w:t>
      </w:r>
    </w:p>
    <w:p>
      <w:pPr>
        <w:spacing w:after="0" w:line="8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January 13, 2021, the Sponsor sold 25,000 Founder Shares to each of Mr. Edwards, Mr. Julia and Mr. Pai, for an aggregate of 75,000 founder share, at approximately $0.009 per share, the same as the Sponsor’s original effective purchase price for the Founder Shares.</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On January 13, 2021, the Company issued to EarlyBirdCapital and its designees an aggregate of 350,000 representative shares at $0.0001 per share.</w:t>
      </w:r>
    </w:p>
    <w:p>
      <w:pPr>
        <w:spacing w:after="0" w:line="103"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February 1, 2021, the Sponsor funded to the Company $100,000 pursuant to the Promissory Note. On February 10, 2021, the Sponsor funded to the Company an additional $25,000 pursuant to the Promissory Note, for an aggregate amount of $125,000.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Archimedes Tech SPAC Partners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Sole Book-Running Manager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EarlyBirdCapital, Inc.</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Co-Manager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I-Bankers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8"/>
          <w:szCs w:val="18"/>
          <w:color w:val="auto"/>
        </w:rPr>
        <w:t xml:space="preserve">Until </w:t>
      </w:r>
      <w:r>
        <w:rPr>
          <w:rFonts w:ascii="Arial" w:cs="Arial" w:eastAsia="Arial" w:hAnsi="Arial"/>
          <w:sz w:val="18"/>
          <w:szCs w:val="18"/>
          <w:b w:val="1"/>
          <w:bCs w:val="1"/>
          <w:color w:val="auto"/>
        </w:rPr>
        <w:t>[•]</w:t>
      </w:r>
      <w:r>
        <w:rPr>
          <w:rFonts w:ascii="Arial" w:cs="Arial" w:eastAsia="Arial" w:hAnsi="Arial"/>
          <w:sz w:val="18"/>
          <w:szCs w:val="18"/>
          <w:color w:val="auto"/>
        </w:rPr>
        <w:t>, 2021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674370</wp:posOffset>
            </wp:positionV>
            <wp:extent cx="514350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716915</wp:posOffset>
            </wp:positionV>
            <wp:extent cx="514350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991235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2" w:name="page133"/>
    <w:bookmarkEnd w:id="1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4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Nasdaq Listing Fees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32,629</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19,763</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D&amp;O Insurance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22,608</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14.</w:t>
        <w:tab/>
        <w:t>INDEMNIFICATION OF DIRECTORS AND OFFICERS.</w:t>
      </w:r>
    </w:p>
    <w:p>
      <w:pPr>
        <w:spacing w:after="0" w:line="14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16"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68" w:lineRule="auto"/>
        <w:tabs>
          <w:tab w:leader="none" w:pos="13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2" w:lineRule="exact"/>
        <w:rPr>
          <w:rFonts w:ascii="Arial" w:cs="Arial" w:eastAsia="Arial" w:hAnsi="Arial"/>
          <w:sz w:val="17"/>
          <w:szCs w:val="17"/>
          <w:color w:val="auto"/>
        </w:rPr>
      </w:pPr>
    </w:p>
    <w:p>
      <w:pPr>
        <w:jc w:val="both"/>
        <w:ind w:left="1320" w:right="459" w:hanging="434"/>
        <w:spacing w:after="0" w:line="286" w:lineRule="auto"/>
        <w:tabs>
          <w:tab w:leader="none" w:pos="1282"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91" w:lineRule="auto"/>
        <w:tabs>
          <w:tab w:leader="none" w:pos="1333"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w:t>
      </w:r>
    </w:p>
    <w:p>
      <w:pPr>
        <w:jc w:val="both"/>
        <w:ind w:left="1320" w:right="459" w:hanging="2"/>
        <w:spacing w:after="0" w:line="255" w:lineRule="auto"/>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of this section, or in defense of any claim, issue or matter therein, such person shall be indemnified against expenses (including attorneys’ fees) actually and reasonably incurred by such person in connection therewith.</w:t>
      </w:r>
    </w:p>
    <w:p>
      <w:pPr>
        <w:spacing w:after="0" w:line="122" w:lineRule="exact"/>
        <w:rPr>
          <w:rFonts w:ascii="Arial" w:cs="Arial" w:eastAsia="Arial" w:hAnsi="Arial"/>
          <w:sz w:val="18"/>
          <w:szCs w:val="18"/>
          <w:color w:val="auto"/>
        </w:rPr>
      </w:pPr>
    </w:p>
    <w:p>
      <w:pPr>
        <w:jc w:val="both"/>
        <w:ind w:left="1320" w:right="459" w:hanging="434"/>
        <w:spacing w:after="0" w:line="305" w:lineRule="auto"/>
        <w:tabs>
          <w:tab w:leader="none" w:pos="1273"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5"/>
          <w:szCs w:val="15"/>
          <w:color w:val="auto"/>
        </w:rPr>
      </w:pPr>
    </w:p>
    <w:p>
      <w:pPr>
        <w:jc w:val="both"/>
        <w:ind w:left="1320" w:right="479" w:hanging="2"/>
        <w:spacing w:after="0" w:line="281" w:lineRule="auto"/>
        <w:tabs>
          <w:tab w:leader="none" w:pos="1589"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2" w:lineRule="exact"/>
        <w:rPr>
          <w:rFonts w:ascii="Arial" w:cs="Arial" w:eastAsia="Arial" w:hAnsi="Arial"/>
          <w:sz w:val="16"/>
          <w:szCs w:val="16"/>
          <w:color w:val="auto"/>
        </w:rPr>
      </w:pPr>
    </w:p>
    <w:p>
      <w:pPr>
        <w:ind w:left="1320" w:right="479"/>
        <w:spacing w:after="0" w:line="260" w:lineRule="auto"/>
        <w:rPr>
          <w:rFonts w:ascii="Arial" w:cs="Arial" w:eastAsia="Arial" w:hAnsi="Arial"/>
          <w:sz w:val="16"/>
          <w:szCs w:val="16"/>
          <w:color w:val="auto"/>
        </w:rPr>
      </w:pPr>
      <w:r>
        <w:rPr>
          <w:rFonts w:ascii="Arial" w:cs="Arial" w:eastAsia="Arial" w:hAnsi="Arial"/>
          <w:sz w:val="18"/>
          <w:szCs w:val="18"/>
          <w:color w:val="auto"/>
        </w:rPr>
        <w:t>(3) if there are no such directors, or if such directors so direct, by independent legal counsel in a written opinion, or (4) by the stockholders.</w:t>
      </w:r>
    </w:p>
    <w:p>
      <w:pPr>
        <w:spacing w:after="0" w:line="117" w:lineRule="exact"/>
        <w:rPr>
          <w:rFonts w:ascii="Arial" w:cs="Arial" w:eastAsia="Arial" w:hAnsi="Arial"/>
          <w:sz w:val="16"/>
          <w:szCs w:val="16"/>
          <w:color w:val="auto"/>
        </w:rPr>
      </w:pPr>
    </w:p>
    <w:p>
      <w:pPr>
        <w:jc w:val="both"/>
        <w:ind w:left="1320" w:right="459" w:hanging="434"/>
        <w:spacing w:after="0" w:line="254" w:lineRule="auto"/>
        <w:tabs>
          <w:tab w:leader="none" w:pos="14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w:t>
      </w:r>
    </w:p>
    <w:p>
      <w:pPr>
        <w:spacing w:after="0" w:line="110" w:lineRule="exact"/>
        <w:rPr>
          <w:rFonts w:ascii="Arial" w:cs="Arial" w:eastAsia="Arial" w:hAnsi="Arial"/>
          <w:sz w:val="18"/>
          <w:szCs w:val="18"/>
          <w:color w:val="auto"/>
        </w:rPr>
      </w:pPr>
    </w:p>
    <w:p>
      <w:pPr>
        <w:jc w:val="both"/>
        <w:ind w:left="1320" w:right="479" w:hanging="434"/>
        <w:spacing w:after="0" w:line="275" w:lineRule="auto"/>
        <w:tabs>
          <w:tab w:leader="none" w:pos="1374"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08" w:lineRule="exact"/>
        <w:rPr>
          <w:rFonts w:ascii="Arial" w:cs="Arial" w:eastAsia="Arial" w:hAnsi="Arial"/>
          <w:sz w:val="17"/>
          <w:szCs w:val="17"/>
          <w:color w:val="auto"/>
        </w:rPr>
      </w:pPr>
    </w:p>
    <w:p>
      <w:pPr>
        <w:jc w:val="both"/>
        <w:ind w:left="1320" w:right="459" w:hanging="434"/>
        <w:spacing w:after="0" w:line="293"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96" w:lineRule="exact"/>
        <w:rPr>
          <w:rFonts w:ascii="Arial" w:cs="Arial" w:eastAsia="Arial" w:hAnsi="Arial"/>
          <w:sz w:val="16"/>
          <w:szCs w:val="16"/>
          <w:color w:val="auto"/>
        </w:rPr>
      </w:pPr>
    </w:p>
    <w:p>
      <w:pPr>
        <w:jc w:val="both"/>
        <w:ind w:left="1320" w:right="459" w:hanging="434"/>
        <w:spacing w:after="0" w:line="289" w:lineRule="auto"/>
        <w:tabs>
          <w:tab w:leader="none" w:pos="1283"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85" w:lineRule="exact"/>
        <w:rPr>
          <w:rFonts w:ascii="Arial" w:cs="Arial" w:eastAsia="Arial" w:hAnsi="Arial"/>
          <w:sz w:val="16"/>
          <w:szCs w:val="16"/>
          <w:color w:val="auto"/>
        </w:rPr>
      </w:pPr>
    </w:p>
    <w:p>
      <w:pPr>
        <w:jc w:val="both"/>
        <w:ind w:left="1320" w:right="459" w:hanging="434"/>
        <w:spacing w:after="0" w:line="270" w:lineRule="auto"/>
        <w:tabs>
          <w:tab w:leader="none" w:pos="1324"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59" w:lineRule="auto"/>
        <w:tabs>
          <w:tab w:leader="none" w:pos="131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9" w:lineRule="exact"/>
        <w:rPr>
          <w:rFonts w:ascii="Arial" w:cs="Arial" w:eastAsia="Arial" w:hAnsi="Arial"/>
          <w:sz w:val="18"/>
          <w:szCs w:val="18"/>
          <w:color w:val="auto"/>
        </w:rPr>
      </w:pPr>
    </w:p>
    <w:p>
      <w:pPr>
        <w:jc w:val="both"/>
        <w:ind w:left="1320" w:right="459" w:hanging="434"/>
        <w:spacing w:after="0" w:line="301" w:lineRule="auto"/>
        <w:tabs>
          <w:tab w:leader="none" w:pos="128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90" w:lineRule="exact"/>
        <w:rPr>
          <w:sz w:val="20"/>
          <w:szCs w:val="20"/>
          <w:color w:val="auto"/>
        </w:rPr>
      </w:pPr>
    </w:p>
    <w:p>
      <w:pPr>
        <w:jc w:val="both"/>
        <w:ind w:left="1320" w:right="459"/>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Paragraph B of Article Eighth of our certificate of incorporation provides:</w:t>
      </w:r>
    </w:p>
    <w:p>
      <w:pPr>
        <w:spacing w:after="0" w:line="15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10"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Pursuant to the Underwriting Agreement filed as Exhibit 1.1 to this Registration Statement, we have agreed to indemnify the Underwriter and the Underwriter has agreed to indemnify us against certain civil liabilities that may be incurred in connection with this offering, including certain liabilities under the Securities Act.</w:t>
      </w:r>
    </w:p>
    <w:p>
      <w:pPr>
        <w:spacing w:after="0" w:line="16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118"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1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Company’s sponsor and EarlyBirdCapital have committed that they and/or their designees will purchase from us an aggregate of 350,000 units, or “private units,” at $10.00 per unit, for a total purchase price of $3,500,000 in a private placement that will occur simultaneously with the consummation of this offering. Each private unit consists of one private subunit (consisting of one private share and one-quarter of a private warrant) and one-quarter of a private warrant. They have also agreed that if the over-allotment option is exercised by the underwriters in full or in part, they and/or their designees will purchase from us additional private units (up to a maximum of 30,000 private units at a price of $10.00 per private unit, of which up to 22,500 will be purchased by our sponsor and 7,500</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will be purchased by EarlyBirdCapital and/or its designees) in an amount that is necessary to maintain in the trust account $10.00 per unit sold to the public in this offering. This purchase will take place on a private placement basis simultaneously with the consummation of the initial public offering. These issuances will be made pursuant to the exemption from registration contained in Section 4(a)(2) of the Securities Act.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16.</w:t>
        <w:tab/>
        <w:t>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640"/>
        <w:spacing w:after="0"/>
        <w:tabs>
          <w:tab w:leader="none" w:pos="446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ectPr>
          <w:pgSz w:w="11900" w:h="16838" w:orient="portrait"/>
          <w:cols w:equalWidth="0" w:num="1">
            <w:col w:w="9019"/>
          </w:cols>
          <w:pgMar w:left="1440" w:top="274" w:right="1440" w:bottom="1440" w:gutter="0" w:footer="0" w:header="0"/>
        </w:sectPr>
      </w:pP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w:t>
      </w:r>
    </w:p>
    <w:p>
      <w:pPr>
        <w:spacing w:after="0" w:line="266" w:lineRule="exact"/>
        <w:rPr>
          <w:sz w:val="20"/>
          <w:szCs w:val="20"/>
          <w:color w:val="auto"/>
        </w:rPr>
      </w:pPr>
    </w:p>
    <w:p>
      <w:pPr>
        <w:jc w:val="center"/>
        <w:ind w:left="320"/>
        <w:spacing w:after="0"/>
        <w:rPr>
          <w:sz w:val="20"/>
          <w:szCs w:val="20"/>
          <w:color w:val="auto"/>
        </w:rPr>
      </w:pPr>
      <w:r>
        <w:rPr>
          <w:rFonts w:ascii="Arial" w:cs="Arial" w:eastAsia="Arial" w:hAnsi="Arial"/>
          <w:sz w:val="15"/>
          <w:szCs w:val="15"/>
          <w:color w:val="auto"/>
        </w:rPr>
        <w:t>10.2</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10.5.1</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10.5.2</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10.6</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10.6</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99.6</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rFonts w:ascii="Arial" w:cs="Arial" w:eastAsia="Arial" w:hAnsi="Arial"/>
          <w:sz w:val="18"/>
          <w:szCs w:val="18"/>
          <w:u w:val="single" w:color="auto"/>
          <w:color w:val="0000EE"/>
        </w:rPr>
      </w:pPr>
      <w:hyperlink r:id="rId188">
        <w:r>
          <w:rPr>
            <w:rFonts w:ascii="Arial" w:cs="Arial" w:eastAsia="Arial" w:hAnsi="Arial"/>
            <w:sz w:val="18"/>
            <w:szCs w:val="18"/>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-139065</wp:posOffset>
            </wp:positionV>
            <wp:extent cx="514350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215E9E"/>
        </w:rPr>
      </w:pPr>
      <w:hyperlink w:anchor="page140">
        <w:r>
          <w:rPr>
            <w:rFonts w:ascii="Arial" w:cs="Arial" w:eastAsia="Arial" w:hAnsi="Arial"/>
            <w:sz w:val="18"/>
            <w:szCs w:val="18"/>
            <w:u w:val="single" w:color="auto"/>
            <w:color w:val="215E9E"/>
          </w:rPr>
          <w:t>Form of Amended and Restated Certificate of Incorporation.*</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194">
        <w:r>
          <w:rPr>
            <w:rFonts w:ascii="Arial" w:cs="Arial" w:eastAsia="Arial" w:hAnsi="Arial"/>
            <w:sz w:val="18"/>
            <w:szCs w:val="18"/>
            <w:u w:val="single" w:color="auto"/>
            <w:color w:val="0000EE"/>
          </w:rPr>
          <w:t>Specimen Unit Certificate.**</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Specimen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197">
        <w:r>
          <w:rPr>
            <w:rFonts w:ascii="Arial" w:cs="Arial" w:eastAsia="Arial" w:hAnsi="Arial"/>
            <w:sz w:val="18"/>
            <w:szCs w:val="18"/>
            <w:u w:val="single" w:color="auto"/>
            <w:color w:val="0000EE"/>
          </w:rPr>
          <w:t>Specimen Warrant Certificate.**</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198">
        <w:r>
          <w:rPr>
            <w:rFonts w:ascii="Arial" w:cs="Arial" w:eastAsia="Arial" w:hAnsi="Arial"/>
            <w:sz w:val="18"/>
            <w:szCs w:val="18"/>
            <w:u w:val="single" w:color="auto"/>
            <w:color w:val="0000EE"/>
          </w:rPr>
          <w:t>Specimen Subunit Certificate.**</w:t>
        </w:r>
      </w:hyperlink>
    </w:p>
    <w:p>
      <w:pPr>
        <w:spacing w:after="0" w:line="50" w:lineRule="exact"/>
        <w:rPr>
          <w:sz w:val="20"/>
          <w:szCs w:val="20"/>
          <w:color w:val="auto"/>
        </w:rPr>
      </w:pPr>
    </w:p>
    <w:p>
      <w:pPr>
        <w:ind w:right="459"/>
        <w:spacing w:after="0" w:line="277" w:lineRule="auto"/>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Form of Warrant Agreement between Continental Stock Transfer &amp; Trust Company and the</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-293370</wp:posOffset>
            </wp:positionV>
            <wp:extent cx="5143500" cy="3003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pacing w:after="0"/>
        <w:rPr>
          <w:rFonts w:ascii="Arial" w:cs="Arial" w:eastAsia="Arial" w:hAnsi="Arial"/>
          <w:sz w:val="18"/>
          <w:szCs w:val="18"/>
          <w:u w:val="single" w:color="auto"/>
          <w:color w:val="0000EE"/>
        </w:rPr>
      </w:pPr>
      <w:hyperlink r:id="rId201">
        <w:r>
          <w:rPr>
            <w:rFonts w:ascii="Arial" w:cs="Arial" w:eastAsia="Arial" w:hAnsi="Arial"/>
            <w:sz w:val="18"/>
            <w:szCs w:val="18"/>
            <w:u w:val="single" w:color="auto"/>
            <w:color w:val="0000EE"/>
          </w:rPr>
          <w:t>Opinion of Loeb &amp; Loeb LLP.**</w:t>
        </w:r>
      </w:hyperlink>
    </w:p>
    <w:p>
      <w:pPr>
        <w:spacing w:after="0" w:line="50" w:lineRule="exact"/>
        <w:rPr>
          <w:sz w:val="20"/>
          <w:szCs w:val="20"/>
          <w:color w:val="auto"/>
        </w:rPr>
      </w:pPr>
    </w:p>
    <w:p>
      <w:pPr>
        <w:ind w:right="479"/>
        <w:spacing w:after="0" w:line="273" w:lineRule="auto"/>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Form of Letter Agreement from each of the Registrant’s sponsor, initial stockholders, officers and</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-289560</wp:posOffset>
            </wp:positionV>
            <wp:extent cx="5143500" cy="3003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459"/>
        <w:spacing w:after="0" w:line="277" w:lineRule="auto"/>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Form of Investment Management Trust Agreement between Continental Stock Transfer &amp; Trust</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Company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5715</wp:posOffset>
            </wp:positionV>
            <wp:extent cx="5143500"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 w:lineRule="exact"/>
        <w:rPr>
          <w:sz w:val="20"/>
          <w:szCs w:val="20"/>
          <w:color w:val="auto"/>
        </w:rPr>
      </w:pPr>
    </w:p>
    <w:p>
      <w:pPr>
        <w:spacing w:after="0"/>
        <w:rPr>
          <w:rFonts w:ascii="Arial" w:cs="Arial" w:eastAsia="Arial" w:hAnsi="Arial"/>
          <w:sz w:val="18"/>
          <w:szCs w:val="18"/>
          <w:u w:val="single" w:color="auto"/>
          <w:color w:val="0000EE"/>
        </w:rPr>
      </w:pPr>
      <w:hyperlink r:id="rId206">
        <w:r>
          <w:rPr>
            <w:rFonts w:ascii="Arial" w:cs="Arial" w:eastAsia="Arial" w:hAnsi="Arial"/>
            <w:sz w:val="18"/>
            <w:szCs w:val="18"/>
            <w:u w:val="single" w:color="auto"/>
            <w:color w:val="0000EE"/>
          </w:rPr>
          <w:t>Promissory Note.**</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207">
        <w:r>
          <w:rPr>
            <w:rFonts w:ascii="Arial" w:cs="Arial" w:eastAsia="Arial" w:hAnsi="Arial"/>
            <w:sz w:val="18"/>
            <w:szCs w:val="18"/>
            <w:u w:val="single" w:color="auto"/>
            <w:color w:val="0000EE"/>
          </w:rPr>
          <w:t>Form of Registration Rights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7"/>
          <w:szCs w:val="17"/>
          <w:u w:val="single" w:color="auto"/>
          <w:color w:val="0000EE"/>
        </w:rPr>
      </w:pPr>
      <w:hyperlink r:id="rId209">
        <w:r>
          <w:rPr>
            <w:rFonts w:ascii="Arial" w:cs="Arial" w:eastAsia="Arial" w:hAnsi="Arial"/>
            <w:sz w:val="17"/>
            <w:szCs w:val="17"/>
            <w:u w:val="single" w:color="auto"/>
            <w:color w:val="0000EE"/>
          </w:rPr>
          <w:t>Form of Subscription agreement for private units by Archimedes Tech SPAC Sponsors LLC.**</w:t>
        </w:r>
      </w:hyperlink>
    </w:p>
    <w:p>
      <w:pPr>
        <w:spacing w:after="0" w:line="88" w:lineRule="exact"/>
        <w:rPr>
          <w:sz w:val="20"/>
          <w:szCs w:val="20"/>
          <w:color w:val="auto"/>
        </w:rPr>
      </w:pPr>
    </w:p>
    <w:p>
      <w:pPr>
        <w:spacing w:after="0"/>
        <w:rPr>
          <w:rFonts w:ascii="Arial" w:cs="Arial" w:eastAsia="Arial" w:hAnsi="Arial"/>
          <w:sz w:val="18"/>
          <w:szCs w:val="18"/>
          <w:u w:val="single" w:color="auto"/>
          <w:color w:val="0000EE"/>
        </w:rPr>
      </w:pPr>
      <w:hyperlink r:id="rId210">
        <w:r>
          <w:rPr>
            <w:rFonts w:ascii="Arial" w:cs="Arial" w:eastAsia="Arial" w:hAnsi="Arial"/>
            <w:sz w:val="18"/>
            <w:szCs w:val="18"/>
            <w:u w:val="single" w:color="auto"/>
            <w:color w:val="0000EE"/>
          </w:rPr>
          <w:t>Form of Subscription agreement for private units by EarlyBirdCapital,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Form of Stock Escrow Agreement.**</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Form of Administrative Services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Code of Ethics.**</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Consent of Marcum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01">
        <w:r>
          <w:rPr>
            <w:rFonts w:ascii="Arial" w:cs="Arial" w:eastAsia="Arial" w:hAnsi="Arial"/>
            <w:sz w:val="18"/>
            <w:szCs w:val="18"/>
            <w:u w:val="single" w:color="auto"/>
            <w:color w:val="0000EE"/>
          </w:rPr>
          <w:t>Consent of Loeb &amp; Loeb LLP (included in Exhibit 5.1).**</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Power of Attorney (included on signature page of this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18">
        <w:r>
          <w:rPr>
            <w:rFonts w:ascii="Arial" w:cs="Arial" w:eastAsia="Arial" w:hAnsi="Arial"/>
            <w:sz w:val="18"/>
            <w:szCs w:val="18"/>
            <w:u w:val="single" w:color="auto"/>
            <w:color w:val="0000EE"/>
          </w:rPr>
          <w:t>Audit committee charter.**</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Compensation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Nominating committee charter.**</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Consent of Eric R. 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40640</wp:posOffset>
            </wp:positionV>
            <wp:extent cx="5143500"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Consent of Bryant Edwards.**</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225">
        <w:r>
          <w:rPr>
            <w:rFonts w:ascii="Arial" w:cs="Arial" w:eastAsia="Arial" w:hAnsi="Arial"/>
            <w:sz w:val="18"/>
            <w:szCs w:val="18"/>
            <w:u w:val="single" w:color="auto"/>
            <w:color w:val="0000EE"/>
          </w:rPr>
          <w:t>Consent of Luc Julia.**</w:t>
        </w:r>
      </w:hyperlink>
    </w:p>
    <w:p>
      <w:pPr>
        <w:spacing w:after="0" w:line="50" w:lineRule="exact"/>
        <w:rPr>
          <w:sz w:val="20"/>
          <w:szCs w:val="20"/>
          <w:color w:val="auto"/>
        </w:rPr>
      </w:pPr>
    </w:p>
    <w:p>
      <w:pPr>
        <w:sectPr>
          <w:pgSz w:w="11900" w:h="16838" w:orient="portrait"/>
          <w:cols w:equalWidth="0" w:num="2">
            <w:col w:w="900" w:space="320"/>
            <w:col w:w="7799"/>
          </w:cols>
          <w:pgMar w:left="1440" w:top="274" w:right="1440" w:bottom="1440" w:gutter="0" w:footer="0" w:header="0"/>
          <w:type w:val="continuous"/>
        </w:sectPr>
      </w:pPr>
    </w:p>
    <w:p>
      <w:pPr>
        <w:ind w:left="46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99.7</w:t>
      </w:r>
      <w:r>
        <w:rPr>
          <w:sz w:val="20"/>
          <w:szCs w:val="20"/>
          <w:color w:val="auto"/>
        </w:rPr>
        <w:tab/>
      </w:r>
      <w:hyperlink r:id="rId226">
        <w:r>
          <w:rPr>
            <w:rFonts w:ascii="Arial" w:cs="Arial" w:eastAsia="Arial" w:hAnsi="Arial"/>
            <w:sz w:val="16"/>
            <w:szCs w:val="16"/>
            <w:u w:val="single" w:color="auto"/>
            <w:color w:val="0000EE"/>
          </w:rPr>
          <w:t>Consent of Rajan P. Pai.**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right="7079" w:hanging="6"/>
        <w:spacing w:after="0" w:line="293" w:lineRule="auto"/>
        <w:tabs>
          <w:tab w:leader="none" w:pos="865" w:val="left"/>
        </w:tabs>
        <w:numPr>
          <w:ilvl w:val="0"/>
          <w:numId w:val="83"/>
        </w:numPr>
        <w:rPr>
          <w:rFonts w:ascii="Arial" w:cs="Arial" w:eastAsia="Arial" w:hAnsi="Arial"/>
          <w:sz w:val="16"/>
          <w:szCs w:val="16"/>
          <w:color w:val="auto"/>
        </w:rPr>
      </w:pPr>
      <w:r>
        <w:rPr>
          <w:rFonts w:ascii="Arial" w:cs="Arial" w:eastAsia="Arial" w:hAnsi="Arial"/>
          <w:sz w:val="16"/>
          <w:szCs w:val="16"/>
          <w:color w:val="auto"/>
        </w:rPr>
        <w:t>Filed herewith. ** Previously filed.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6" w:name="page137"/>
    <w:bookmarkEnd w:id="1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b w:val="1"/>
          <w:bCs w:val="1"/>
          <w:color w:val="auto"/>
        </w:rPr>
        <w:t>ITEM 17.</w:t>
        <w:tab/>
        <w:t>UNDERTAKINGS.</w:t>
      </w:r>
    </w:p>
    <w:p>
      <w:pPr>
        <w:spacing w:after="0" w:line="148" w:lineRule="exact"/>
        <w:rPr>
          <w:sz w:val="20"/>
          <w:szCs w:val="20"/>
          <w:color w:val="auto"/>
        </w:rPr>
      </w:pPr>
    </w:p>
    <w:p>
      <w:pPr>
        <w:ind w:left="1300" w:hanging="41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760" w:right="479" w:hanging="442"/>
        <w:spacing w:after="0" w:line="277" w:lineRule="auto"/>
        <w:tabs>
          <w:tab w:leader="none" w:pos="172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2140" w:hanging="390"/>
        <w:spacing w:after="0"/>
        <w:tabs>
          <w:tab w:leader="none" w:pos="2140" w:val="left"/>
        </w:tabs>
        <w:numPr>
          <w:ilvl w:val="2"/>
          <w:numId w:val="84"/>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55" w:lineRule="exact"/>
        <w:rPr>
          <w:rFonts w:ascii="Arial" w:cs="Arial" w:eastAsia="Arial" w:hAnsi="Arial"/>
          <w:sz w:val="17"/>
          <w:szCs w:val="17"/>
          <w:color w:val="auto"/>
        </w:rPr>
      </w:pPr>
    </w:p>
    <w:p>
      <w:pPr>
        <w:jc w:val="both"/>
        <w:ind w:left="2180" w:right="459" w:hanging="430"/>
        <w:spacing w:after="0" w:line="269" w:lineRule="auto"/>
        <w:tabs>
          <w:tab w:leader="none" w:pos="2284" w:val="left"/>
        </w:tabs>
        <w:numPr>
          <w:ilvl w:val="2"/>
          <w:numId w:val="8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14" w:lineRule="exact"/>
        <w:rPr>
          <w:rFonts w:ascii="Arial" w:cs="Arial" w:eastAsia="Arial" w:hAnsi="Arial"/>
          <w:sz w:val="17"/>
          <w:szCs w:val="17"/>
          <w:color w:val="auto"/>
        </w:rPr>
      </w:pPr>
    </w:p>
    <w:p>
      <w:pPr>
        <w:jc w:val="both"/>
        <w:ind w:left="2180" w:right="479" w:hanging="430"/>
        <w:spacing w:after="0" w:line="263" w:lineRule="auto"/>
        <w:tabs>
          <w:tab w:leader="none" w:pos="2367" w:val="left"/>
        </w:tabs>
        <w:numPr>
          <w:ilvl w:val="2"/>
          <w:numId w:val="8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rFonts w:ascii="Arial" w:cs="Arial" w:eastAsia="Arial" w:hAnsi="Arial"/>
          <w:sz w:val="18"/>
          <w:szCs w:val="18"/>
          <w:color w:val="auto"/>
        </w:rPr>
      </w:pPr>
    </w:p>
    <w:p>
      <w:pPr>
        <w:jc w:val="both"/>
        <w:ind w:left="1760" w:right="459" w:hanging="442"/>
        <w:spacing w:after="0" w:line="259" w:lineRule="auto"/>
        <w:tabs>
          <w:tab w:leader="none" w:pos="17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5" w:lineRule="exact"/>
        <w:rPr>
          <w:rFonts w:ascii="Arial" w:cs="Arial" w:eastAsia="Arial" w:hAnsi="Arial"/>
          <w:sz w:val="18"/>
          <w:szCs w:val="18"/>
          <w:color w:val="auto"/>
        </w:rPr>
      </w:pPr>
    </w:p>
    <w:p>
      <w:pPr>
        <w:ind w:left="1760" w:right="479" w:hanging="442"/>
        <w:spacing w:after="0" w:line="277" w:lineRule="auto"/>
        <w:tabs>
          <w:tab w:leader="none" w:pos="1846"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jc w:val="both"/>
        <w:ind w:left="1760" w:right="479" w:hanging="442"/>
        <w:spacing w:after="0" w:line="273" w:lineRule="auto"/>
        <w:tabs>
          <w:tab w:leader="none" w:pos="1725"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7"/>
          <w:szCs w:val="17"/>
          <w:color w:val="auto"/>
        </w:rPr>
      </w:pPr>
    </w:p>
    <w:p>
      <w:pPr>
        <w:ind w:left="2180" w:right="479" w:hanging="430"/>
        <w:spacing w:after="0" w:line="277" w:lineRule="auto"/>
        <w:tabs>
          <w:tab w:leader="none" w:pos="221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180" w:right="459" w:hanging="430"/>
        <w:spacing w:after="0" w:line="277" w:lineRule="auto"/>
        <w:tabs>
          <w:tab w:leader="none" w:pos="2287"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jc w:val="both"/>
        <w:ind w:left="2180" w:right="479" w:hanging="430"/>
        <w:spacing w:after="0" w:line="263" w:lineRule="auto"/>
        <w:tabs>
          <w:tab w:leader="none" w:pos="2299"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180" w:right="479" w:hanging="430"/>
        <w:spacing w:after="0" w:line="277" w:lineRule="auto"/>
        <w:tabs>
          <w:tab w:leader="none" w:pos="2289"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16" w:lineRule="exact"/>
        <w:rPr>
          <w:rFonts w:ascii="Arial" w:cs="Arial" w:eastAsia="Arial" w:hAnsi="Arial"/>
          <w:sz w:val="18"/>
          <w:szCs w:val="18"/>
          <w:color w:val="auto"/>
        </w:rPr>
      </w:pPr>
    </w:p>
    <w:p>
      <w:pPr>
        <w:jc w:val="both"/>
        <w:ind w:left="1320" w:right="479" w:hanging="434"/>
        <w:spacing w:after="0" w:line="257" w:lineRule="auto"/>
        <w:tabs>
          <w:tab w:leader="none" w:pos="13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7" w:lineRule="exact"/>
        <w:rPr>
          <w:sz w:val="20"/>
          <w:szCs w:val="20"/>
          <w:color w:val="auto"/>
        </w:rPr>
      </w:pPr>
    </w:p>
    <w:p>
      <w:pPr>
        <w:ind w:left="1280" w:hanging="394"/>
        <w:spacing w:after="0"/>
        <w:tabs>
          <w:tab w:leader="none" w:pos="12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jc w:val="both"/>
        <w:ind w:left="1760" w:right="459" w:hanging="442"/>
        <w:spacing w:after="0" w:line="275" w:lineRule="auto"/>
        <w:tabs>
          <w:tab w:leader="none" w:pos="1834" w:val="left"/>
        </w:tabs>
        <w:numPr>
          <w:ilvl w:val="1"/>
          <w:numId w:val="8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5" w:lineRule="exact"/>
        <w:rPr>
          <w:rFonts w:ascii="Arial" w:cs="Arial" w:eastAsia="Arial" w:hAnsi="Arial"/>
          <w:sz w:val="17"/>
          <w:szCs w:val="17"/>
          <w:color w:val="auto"/>
        </w:rPr>
      </w:pPr>
    </w:p>
    <w:p>
      <w:pPr>
        <w:jc w:val="both"/>
        <w:ind w:left="1760" w:right="459" w:hanging="442"/>
        <w:spacing w:after="0" w:line="279" w:lineRule="auto"/>
        <w:tabs>
          <w:tab w:leader="none" w:pos="1826"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Claymont, Delaware.</w:t>
      </w:r>
    </w:p>
    <w:p>
      <w:pPr>
        <w:spacing w:after="0" w:line="14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ARCHIMEDES TECH SPAC PARTNERS CO.</w:t>
      </w:r>
    </w:p>
    <w:p>
      <w:pPr>
        <w:spacing w:after="0" w:line="189"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48895</wp:posOffset>
            </wp:positionV>
            <wp:extent cx="23145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7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  Stephen N. Cannon</w:t>
      </w:r>
    </w:p>
    <w:p>
      <w:pPr>
        <w:spacing w:after="0" w:line="77"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Stephen N. Cannon his true and lawful attorney-in-fact, with full power of substitution and resubstitution for him and in his name, place and stead, in any and all capacities to sign any and all amendments including pre- and post-effective amendments to this registration statement, any subsequent registration statement for the same offering which may be filed pursuant to Rule 462(b) under the Securities Act of 1933, as amended, and pre- or post-effective amendments thereto,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4140" w:type="dxa"/>
            <w:vAlign w:val="bottom"/>
            <w:gridSpan w:val="2"/>
          </w:tcPr>
          <w:p>
            <w:pPr>
              <w:ind w:left="1740"/>
              <w:spacing w:after="0"/>
              <w:rPr>
                <w:sz w:val="20"/>
                <w:szCs w:val="20"/>
                <w:color w:val="auto"/>
              </w:rPr>
            </w:pPr>
            <w:r>
              <w:rPr>
                <w:rFonts w:ascii="Arial" w:cs="Arial" w:eastAsia="Arial" w:hAnsi="Arial"/>
                <w:sz w:val="16"/>
                <w:szCs w:val="16"/>
                <w:b w:val="1"/>
                <w:bCs w:val="1"/>
                <w:color w:val="auto"/>
              </w:rPr>
              <w:t>Position</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46"/>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120" w:type="dxa"/>
            <w:vAlign w:val="bottom"/>
          </w:tcPr>
          <w:p>
            <w:pPr>
              <w:spacing w:after="0"/>
              <w:rPr>
                <w:sz w:val="20"/>
                <w:szCs w:val="20"/>
                <w:color w:val="auto"/>
              </w:rPr>
            </w:pPr>
            <w:r>
              <w:rPr>
                <w:rFonts w:ascii="Arial" w:cs="Arial" w:eastAsia="Arial" w:hAnsi="Arial"/>
                <w:sz w:val="18"/>
                <w:szCs w:val="18"/>
                <w:color w:val="auto"/>
              </w:rPr>
              <w:t>/s/ Stephen N. Cannon</w:t>
            </w: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President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5, 2021</w:t>
            </w:r>
          </w:p>
        </w:tc>
        <w:tc>
          <w:tcPr>
            <w:tcW w:w="0" w:type="dxa"/>
            <w:vAlign w:val="bottom"/>
          </w:tcPr>
          <w:p>
            <w:pPr>
              <w:spacing w:after="0"/>
              <w:rPr>
                <w:sz w:val="1"/>
                <w:szCs w:val="1"/>
                <w:color w:val="auto"/>
              </w:rPr>
            </w:pPr>
          </w:p>
        </w:tc>
      </w:tr>
      <w:tr>
        <w:trPr>
          <w:trHeight w:val="40"/>
        </w:trPr>
        <w:tc>
          <w:tcPr>
            <w:tcW w:w="2120" w:type="dxa"/>
            <w:vAlign w:val="bottom"/>
            <w:tcBorders>
              <w:bottom w:val="single" w:sz="8" w:color="auto"/>
            </w:tcBorders>
          </w:tcPr>
          <w:p>
            <w:pPr>
              <w:spacing w:after="0"/>
              <w:rPr>
                <w:sz w:val="3"/>
                <w:szCs w:val="3"/>
                <w:color w:val="auto"/>
              </w:rPr>
            </w:pPr>
          </w:p>
        </w:tc>
        <w:tc>
          <w:tcPr>
            <w:tcW w:w="42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Stephen N. Cannon</w:t>
            </w:r>
          </w:p>
        </w:tc>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120" w:type="dxa"/>
            <w:vAlign w:val="bottom"/>
          </w:tcPr>
          <w:p>
            <w:pPr>
              <w:spacing w:after="0"/>
              <w:rPr>
                <w:sz w:val="20"/>
                <w:szCs w:val="20"/>
                <w:color w:val="auto"/>
              </w:rPr>
            </w:pPr>
            <w:r>
              <w:rPr>
                <w:rFonts w:ascii="Arial" w:cs="Arial" w:eastAsia="Arial" w:hAnsi="Arial"/>
                <w:sz w:val="18"/>
                <w:szCs w:val="18"/>
                <w:color w:val="auto"/>
              </w:rPr>
              <w:t>/s/ Long Long</w:t>
            </w:r>
          </w:p>
        </w:tc>
        <w:tc>
          <w:tcPr>
            <w:tcW w:w="42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5, 2021</w:t>
            </w:r>
          </w:p>
        </w:tc>
        <w:tc>
          <w:tcPr>
            <w:tcW w:w="0" w:type="dxa"/>
            <w:vAlign w:val="bottom"/>
          </w:tcPr>
          <w:p>
            <w:pPr>
              <w:spacing w:after="0"/>
              <w:rPr>
                <w:sz w:val="1"/>
                <w:szCs w:val="1"/>
                <w:color w:val="auto"/>
              </w:rPr>
            </w:pPr>
          </w:p>
        </w:tc>
      </w:tr>
      <w:tr>
        <w:trPr>
          <w:trHeight w:val="40"/>
        </w:trPr>
        <w:tc>
          <w:tcPr>
            <w:tcW w:w="2120" w:type="dxa"/>
            <w:vAlign w:val="bottom"/>
            <w:tcBorders>
              <w:bottom w:val="single" w:sz="8" w:color="auto"/>
            </w:tcBorders>
          </w:tcPr>
          <w:p>
            <w:pPr>
              <w:spacing w:after="0"/>
              <w:rPr>
                <w:sz w:val="3"/>
                <w:szCs w:val="3"/>
                <w:color w:val="auto"/>
              </w:rPr>
            </w:pPr>
          </w:p>
        </w:tc>
        <w:tc>
          <w:tcPr>
            <w:tcW w:w="424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Long Long</w:t>
            </w:r>
          </w:p>
        </w:tc>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II-7</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Archimedes Tech SPAC Partners Co., a corporation existing under the laws of the State of Delaware (the “Corporation”), by its Chief Executive Officer, hereby certifies as follows:</w:t>
      </w:r>
    </w:p>
    <w:p>
      <w:pPr>
        <w:spacing w:after="0" w:line="170" w:lineRule="exact"/>
        <w:rPr>
          <w:sz w:val="20"/>
          <w:szCs w:val="20"/>
          <w:color w:val="auto"/>
        </w:rPr>
      </w:pPr>
    </w:p>
    <w:p>
      <w:pPr>
        <w:ind w:left="840" w:hanging="184"/>
        <w:spacing w:after="0"/>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name of the Corporation is “Archimedes Tech SPAC Partners Co.”</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Corporation’s Certificate of Incorporation was filed in the office of the Secretary of State of the State of Delaware on September 15 2020.</w:t>
      </w:r>
    </w:p>
    <w:p>
      <w:pPr>
        <w:spacing w:after="0" w:line="248" w:lineRule="exact"/>
        <w:rPr>
          <w:rFonts w:ascii="Arial" w:cs="Arial" w:eastAsia="Arial" w:hAnsi="Arial"/>
          <w:sz w:val="16"/>
          <w:szCs w:val="16"/>
          <w:color w:val="auto"/>
        </w:rPr>
      </w:pPr>
    </w:p>
    <w:p>
      <w:pPr>
        <w:ind w:firstLine="656"/>
        <w:spacing w:after="0" w:line="277" w:lineRule="auto"/>
        <w:tabs>
          <w:tab w:leader="none" w:pos="87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restates, integrates and amends the provisions of the Original Certificate of Incorporation of the Corporation.</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joint written consent of the directors and stockholders of the Corporation in accordance with the applicable provisions of Sections 141(f), 228, 242 and 245 of the General Corporation Law of the State of Delaware (“DGCL”).</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FIRST: The name of the corporation is Archimedes Tech SPAC Partners Co. (hereinafter sometimes referred to as the “Corporation”).</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SECOND: The registered office of the Corporation is to be located at c/o Corporation Service Company, 251 Little Falls Drive, in the City of Wilmington, County of New Castle, State of Delaware, 19808. The name of its registered agent at that address is Corporation Service Company.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THIRD: The purpose of the Corporation shall be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a Business Combination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both"/>
        <w:ind w:firstLine="648"/>
        <w:spacing w:after="0" w:line="263" w:lineRule="auto"/>
        <w:rPr>
          <w:sz w:val="20"/>
          <w:szCs w:val="20"/>
          <w:color w:val="auto"/>
        </w:rPr>
      </w:pPr>
      <w:r>
        <w:rPr>
          <w:rFonts w:ascii="Arial" w:cs="Arial" w:eastAsia="Arial" w:hAnsi="Arial"/>
          <w:sz w:val="18"/>
          <w:szCs w:val="18"/>
          <w:color w:val="auto"/>
        </w:rPr>
        <w:t>FOURTH: The total number of shares of all classes of capital stock which the Corporation shall have authority to issue is 101,000,000 of which 100,000,000 shares shall be Common Stock of the par value of $0.0001 per share and 1,000,000 shares shall be Preferred Stock of the par value of $0.0001 per share.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Preferred Stock.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DGCL.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Common Stock. Except as otherwise required by law or as otherwise provided in any Preferred Stock Designation, the holders of the Common Stock shall exclusively possess all voting power and each share of Common Stock shall have one vote. The holders of shares of Common Stock shall not have cumulative voting rights.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FIFTH: Intentionally Omitted.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SIXTH: The introduction and the following provisions (A) through (J) of this Article Sixth shall apply during the period commencing upon the filing of this Amended and Restated Certificate of Incorporation and terminating upon the consummation of any Business Combination (defined below) and no amendment to this Article Sixth shall be effective during the Target Business Acquisition Period (defined below) unless approved by the affirmative vote of the holders of at least a majority of the then outstanding shares of Common Stock. Notwithstanding the foregoing, if the Corporation seeks to amend any of the foregoing provisions other than in connection with a Business Combination, the Corporation will provide holders of IPO Subunits (defined below) with the opportunity to convert their IPO Subunits in connection with any such vote as described in paragraph C below. The “Target Business Acquisition Period” shall mean the period from the effectiveness of the registration statement on Form S-1 (“Registration Statement”) filed with the Securities and Exchange Commission (“Commission”) in connection with the Corporation’s initial public offering (“IPO”) up to and including the first to occur of (a) a Business Combination or (b) the Termination Date (defined below).</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“Business Combination” shall mean any merger, share exchange, asset acquisition, stock purchase, recapitalization, reorganization or other similar business combination involving the Corporation and one or more businesses or entities (“Target Business” or “Target Businesses”). So long as the Corporation’s securities are listed on a national securities exchange, the Target Business or Target Businesses acquired in the Business Combination must together have a fair market value of at least 80% of the assets held in the Trust Account (defined below), excluding taxes payable on the income earned on the Trust Account, at the time of the signing of the definitive agreement governing the terms of the initial Business Combination. If the Corporation acquires less than 100% of the equity interests or assets of a Target Business, the portion of such Target Business that the Corporation acquires is what will be valued for purposes of the 80% fair market value test.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648"/>
        <w:spacing w:after="0" w:line="301" w:lineRule="auto"/>
        <w:rPr>
          <w:sz w:val="20"/>
          <w:szCs w:val="20"/>
          <w:color w:val="auto"/>
        </w:rPr>
      </w:pPr>
      <w:r>
        <w:rPr>
          <w:rFonts w:ascii="Arial" w:cs="Arial" w:eastAsia="Arial" w:hAnsi="Arial"/>
          <w:sz w:val="16"/>
          <w:szCs w:val="16"/>
          <w:color w:val="auto"/>
        </w:rPr>
        <w:t>The “fair market value”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Prior to the consummation of any Business Combination, the Corporation shall either (i) submit such Business Combination to its stockholders for approval (“Proxy Solicitation”) pursuant to the proxy rules promulgated under the Securities Exchange Act of 1934, as amended (“Exchange Act”) or</w:t>
      </w:r>
    </w:p>
    <w:p>
      <w:pPr>
        <w:jc w:val="both"/>
        <w:ind w:firstLine="8"/>
        <w:spacing w:after="0" w:line="255" w:lineRule="auto"/>
        <w:tabs>
          <w:tab w:leader="none" w:pos="282"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all holders of its Common Stock included in the IPO Subunits with the opportunity to sell their subunits to the Corporation, effective upon consummation of such Business Combination, for cash through a tender offer (“Tender Offer”) pursuant to the tender offer rules promulgated under the Exchange Act.</w:t>
      </w:r>
    </w:p>
    <w:p>
      <w:pPr>
        <w:spacing w:after="0" w:line="189" w:lineRule="exact"/>
        <w:rPr>
          <w:rFonts w:ascii="Arial" w:cs="Arial" w:eastAsia="Arial" w:hAnsi="Arial"/>
          <w:sz w:val="18"/>
          <w:szCs w:val="18"/>
          <w:color w:val="auto"/>
        </w:rPr>
      </w:pPr>
    </w:p>
    <w:p>
      <w:pPr>
        <w:jc w:val="both"/>
        <w:ind w:firstLine="656"/>
        <w:spacing w:after="0" w:line="263" w:lineRule="auto"/>
        <w:tabs>
          <w:tab w:leader="none" w:pos="8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the Corporation engages in a Proxy Solicitation in connection with any proposed Business Combination, the Corporation will consummate such Business Combination only if a majority of the then outstanding shares of Common Stock present and entitled to vote at the meeting to approve the Business Combination are voted for the approval of such Business Combination.</w:t>
      </w:r>
    </w:p>
    <w:p>
      <w:pPr>
        <w:spacing w:after="0" w:line="183" w:lineRule="exact"/>
        <w:rPr>
          <w:rFonts w:ascii="Arial" w:cs="Arial" w:eastAsia="Arial" w:hAnsi="Arial"/>
          <w:sz w:val="18"/>
          <w:szCs w:val="18"/>
          <w:color w:val="auto"/>
        </w:rPr>
      </w:pPr>
    </w:p>
    <w:p>
      <w:pPr>
        <w:jc w:val="both"/>
        <w:ind w:firstLine="656"/>
        <w:spacing w:after="0" w:line="287" w:lineRule="auto"/>
        <w:tabs>
          <w:tab w:leader="none" w:pos="861" w:val="left"/>
        </w:tabs>
        <w:numPr>
          <w:ilvl w:val="1"/>
          <w:numId w:val="87"/>
        </w:numPr>
        <w:rPr>
          <w:rFonts w:ascii="Arial" w:cs="Arial" w:eastAsia="Arial" w:hAnsi="Arial"/>
          <w:sz w:val="16"/>
          <w:szCs w:val="16"/>
          <w:color w:val="auto"/>
        </w:rPr>
      </w:pPr>
      <w:r>
        <w:rPr>
          <w:rFonts w:ascii="Arial" w:cs="Arial" w:eastAsia="Arial" w:hAnsi="Arial"/>
          <w:sz w:val="16"/>
          <w:szCs w:val="16"/>
          <w:color w:val="auto"/>
        </w:rPr>
        <w:t>In the event that a Business Combination is approved in accordance with the above paragraph (B) and is consummated by the Corporation, any holder of shares of Common Stock included in the subunits sold in the IPO (the “IPO Subunits”) may demand that the Corporation convert the holder’s IPO Subunits into cash. If so demanded, the Corporation shall, promptly after consummation of the Business Combination, convert such shares into cash at a per share price equal to the quotient determined by dividing (i) the amount then held in the Trust Account (defined below) net of taxes payable, calculated as of two business days prior to the consummation of the Business Combination, by (ii) the total number of IPO Subunits then outstanding (such price being referred to as the “Conversion Price”). “Trust Account” shall mean the trust account established by the Corporation pursuant to a trust agreement (“Trust Agreement”) at the consummation of its IPO and into which a certain amount of the net proceeds of the IPO and simultaneous private placement is deposited, all as described in the Registration Statement. The Corporation may require any holder of IPO Subunits who demands that the Corporation convert such IPO Subunits into cash to either tender such holder’s certificates to the Corporation’s transfer agent at any time prior to the vote taken at the stockholder meeting relating to such Business Combination or to deliver their shares to the transfer agent electronically using The Depository Trust Company’s DWAC (Deposit/Withdrawal At Custodian) System at any time prior to the vote taken at the stockholder meeting relating to such Business Combination, with the exact timing of the delivery of the IPO Subunits to be set forth in the proxy materials relating to such Business Combination.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both"/>
        <w:ind w:firstLine="648"/>
        <w:spacing w:after="0" w:line="255" w:lineRule="auto"/>
        <w:rPr>
          <w:sz w:val="20"/>
          <w:szCs w:val="20"/>
          <w:color w:val="auto"/>
        </w:rPr>
      </w:pPr>
      <w:r>
        <w:rPr>
          <w:rFonts w:ascii="Arial" w:cs="Arial" w:eastAsia="Arial" w:hAnsi="Arial"/>
          <w:sz w:val="18"/>
          <w:szCs w:val="18"/>
          <w:color w:val="auto"/>
        </w:rPr>
        <w:t>D. If the Corporation engages in a Tender Offer, the Corporation shall file tender offer documents with the Commission which will contain substantially the same financial and other information about the Business Combination as is required under the proxy rules promulgated under the Exchange Act and that would have been included in any proxy statement filed with the Commission in connection with a Proxy Solicitation, even if such information is not required under the tender offer rules promulgated under the Exchange Act. The per-share price at which the Corporation will repurchase the IPO Subunits in any such Tender Offer shall be equal to the Conversion Price. The Corporation shall not purchase any shares of Common Stock other than IPO Subunits in any such Tender Offer.</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 The Corporation will only consummate a Business Combination if it has net tangible assets of at least $5,000,001 either immediately prior to or upon consummation of such Business Combination.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 In the event that the Corporation does not consummate a Business Combination by 18 months after the consummation of the IPO (or, if the Office of the Delaware Division of Corporations shall not be open for business (including filing of corporate documents) on such date the next date upon which the Office of the Delaware Division of Corporations shall be open) (or such later date pursuant to the extension set forth under this paragraph, the “Termination Date”), the Corporation shall (i) cease all operations except for the purposes of winding up, (ii) as promptly as reasonably possible but not more than ten (10) business days thereafter, redeem 100% of the IPO Subunits for cash for a redemption price per share equal to the amount then held in the Trust Account, less any interest for any income or other taxes payable, divided by the total number of IPO Subunits then outstanding (which redemption will completely extinguish such holders’ rights as stockholders, including the right to receive further liquidation distributions, if any), subject to applicable law, and (iii) as promptly as reasonably possible following such redemption, subject to approval of the Corporation’s then stockholders and subject to the requirements of the DGCL, including the adoption of a resolution by the Board pursuant to Section 275(a) of the DGCL finding the dissolution of the Corporation advisable and the provision of such notices as are required by said Section 275(a) of the DGCL, dissolve and liquidate, subject (in the case of clauses (ii) and (iii) above) to the Corporation’s obligations under the DGCL to provide for claims of creditors and other requirements of applicable law. The gross proceeds from the issuance of such promissory note(s) shall be held in the Trust Account and used to fund the conversion of the IPO Subunits in accordance with this Article Sixth. If the Corporation completes its initial Business Combination, it will repay the amounts loaned under the promissory note out of the proceeds of the Trust Account released to it. If the Corporation does not complete a Business Combination by the Termination Date, the loans will not be repaid.</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 A holder of IPO Subunits shall be entitled to receive distributions from the Trust Fund only in the event (i) such holder demands conversion of his shares in accordance with paragraph C above in connection with any Proxy Solicitation, (ii) such holder sells the holder’s shares to the Corporation in accordance with paragraph D above in connection with any Tender Offer, (iii) that the Corporation has not consummated a Business Combination by the Termination Date or (iv) the Corporation seeks to amend the provisions of this Article Sixth prior to the consummation of a Business Combination. In no other circumstances shall a holder of IPO Subunits have any right or interest of any kind in or to the Trust Fund.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648"/>
        <w:spacing w:after="0" w:line="293" w:lineRule="auto"/>
        <w:rPr>
          <w:sz w:val="20"/>
          <w:szCs w:val="20"/>
          <w:color w:val="auto"/>
        </w:rPr>
      </w:pPr>
      <w:r>
        <w:rPr>
          <w:rFonts w:ascii="Arial" w:cs="Arial" w:eastAsia="Arial" w:hAnsi="Arial"/>
          <w:sz w:val="16"/>
          <w:szCs w:val="16"/>
          <w:color w:val="auto"/>
        </w:rPr>
        <w:t>H. Unless and until the Corporation has consummated its initial Business Combination as permitted under this Article Sixth, the Corporation may not consummate any other business combination transaction, whether by merger, capital stock exchange, asset acquisition, stock purchase, reorganization or other similar business combination, transaction or otherwise. The Corporation shall not consummate a Business Combination with an entity that is affiliated with any of the Corporation’s officers, directors or sponsors unless the Corporation has obtained an opinion from an independent investment banking firm or another independent entity that commonly renders valuation opinions that such a Business Combination is fair to the Corporation (or its stockholders) from a financial point of view and a majority of the Corporation’s disinterested independent directors approve such Business Combination.</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 Prior to the consummation of a Business Combination, the Board of Directors may not issue any securities which participate in or are otherwise entitled in any manner to any of the proceeds in the Trust Account or which vote as a class with the Common Stock on any matter.</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J. The Board of Directors shall be divided into three classes: Class A, Class B and Class C. The number of directors in each class shall be fixed exclusively by the Board of Directors and shall be as nearly equal as possible. At the first election of directors by the incorporator, the directors elected by the incorporator shall serve as Class C directors for a term expiring at the Corporation’s third Annual Meeting of Stockholders. The Class C directors shall then appoint additional Class A, Class B and Class C directors, as necessary. The directors in Class A shall be elected for a term expiring at the first Annual Meeting of Stockholders, the directors in Class B shall be elected for a term expiring at the second Annual Meeting of Stockholders and the directors in Class C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DGCL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only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648"/>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Election of directors need not be by ballot unless the by-laws of the Corporation so provide.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In furtherance and not in limitation of the powers conferred by the laws of the State of Delaware, the Board of Directors is expressly authorized to make, alter and repeal the by-laws of the Corporation, subject to the power of the stockholders of the Corporation to alter or repeal any by-law whether adopted by them or otherwise.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 The directors in their discretion may submit any contract or act for approval or ratification at any annual meeting of the stockholders or at any special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unless a higher vote is required by applicable law,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EIGHTH: 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648"/>
        <w:spacing w:after="0" w:line="296" w:lineRule="auto"/>
        <w:rPr>
          <w:sz w:val="20"/>
          <w:szCs w:val="20"/>
          <w:color w:val="auto"/>
        </w:rPr>
      </w:pPr>
      <w:r>
        <w:rPr>
          <w:rFonts w:ascii="Arial" w:cs="Arial" w:eastAsia="Arial" w:hAnsi="Arial"/>
          <w:sz w:val="16"/>
          <w:szCs w:val="16"/>
          <w:color w:val="auto"/>
        </w:rPr>
        <w:t>B.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TENTH: A. Forum. Subject to the last sentence in this Section 10.A,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of Incorporation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Section 10.A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jc w:val="both"/>
        <w:ind w:firstLine="648"/>
        <w:spacing w:after="0" w:line="275" w:lineRule="auto"/>
        <w:rPr>
          <w:sz w:val="20"/>
          <w:szCs w:val="20"/>
          <w:color w:val="auto"/>
        </w:rPr>
      </w:pPr>
      <w:r>
        <w:rPr>
          <w:rFonts w:ascii="Arial" w:cs="Arial" w:eastAsia="Arial" w:hAnsi="Arial"/>
          <w:sz w:val="17"/>
          <w:szCs w:val="17"/>
          <w:color w:val="auto"/>
        </w:rPr>
        <w:t>B. Consent to Jurisdiction. If any action the subject matter of which is within the scope of Section 10.A immediately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Section 10.A immediately above (an “FSC Enforcement Action”) and (ii) having service of process made upon such stockholder in any such FSC Enforcement Action by service upon such stockholder’s counsel in the Foreign Action as agent for such stockholder.</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 Severability. If any provision or provisions of this Amended and Restated Certificate of Incorporation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Amended and Restated Certificate of Incorporation (including, without limitation, each portion of any sentence of this Section 10.C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Section 10.C.</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ELEVENTH: The doctrine of corporate opportunity, or any other analogous doctrine, shall not apply with respect to the Corporation or any of its officers or directors in circumstances where the application of any such doctrine would conflict with any fiduciary duties or contractual obligations they may have as of the date of this Amended and Restated Certificate of Incorporation or in the future. In addition to the foregoing, unless the Corporation and a director or officer of the Corporation otherwise agree in writing,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Amended and Restated Certificate of Incorporation to be signed by Stephen 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Cannon, its Chief Executive Officer, as of the ___ day of ____, 2021.</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ARCHIMEDES TECH SPAC PARTNERS CO.</w:t>
      </w:r>
    </w:p>
    <w:p>
      <w:pPr>
        <w:spacing w:after="0" w:line="25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Name:</w:t>
        <w:tab/>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-130175</wp:posOffset>
            </wp:positionV>
            <wp:extent cx="241744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ind w:left="103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Registration Statement of Archimedes Tech SPAC Partners Co. (the “Company”) on Amendment No. 2 to Form S-1, File No. 333-253108, of our report dated March 1, 2021, which includes an explanatory paragraph as to the Company’s ability to continue as a going concern, with respect to our audit of the financial statements of Archimedes Tech SPAC Partners Co. as of December 31, 2020 and for the period from September 15, 2020 (inception) through December 31, 2020,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1"/>
    </w:lvl>
  </w:abstractNum>
  <w:abstractNum w:abstractNumId="1">
    <w:nsid w:val="2CD89A32"/>
    <w:multiLevelType w:val="hybridMultilevel"/>
    <w:lvl w:ilvl="0">
      <w:lvlJc w:val="left"/>
      <w:lvlText w:val="(%1)"/>
      <w:numFmt w:val="decimal"/>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0"/>
      <w:numFmt w:val="bullet"/>
      <w:start w:val="1"/>
    </w:lvl>
  </w:abstractNum>
  <w:abstractNum w:abstractNumId="4">
    <w:nsid w:val="4B588F54"/>
    <w:multiLevelType w:val="hybridMultilevel"/>
    <w:lvl w:ilvl="0">
      <w:lvlJc w:val="left"/>
      <w:lvlText w:val="0"/>
      <w:numFmt w:val="bullet"/>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lowerLetter"/>
      <w:start w:val="24"/>
    </w:lvl>
  </w:abstractNum>
  <w:abstractNum w:abstractNumId="7">
    <w:nsid w:val="38437FDB"/>
    <w:multiLevelType w:val="hybridMultilevel"/>
    <w:lvl w:ilvl="0">
      <w:lvlJc w:val="left"/>
      <w:lvlText w:val="(%1)"/>
      <w:numFmt w:val="lowerLetter"/>
      <w:start w:val="26"/>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1"/>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1)"/>
      <w:numFmt w:val="upperLetter"/>
      <w:start w:val="3"/>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1)"/>
      <w:numFmt w:val="lowerRoman"/>
      <w:start w:val="2"/>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lvl w:ilvl="1">
      <w:lvlJc w:val="left"/>
      <w:lvlText w:val="(%2)"/>
      <w:numFmt w:val="decimal"/>
      <w:start w:val="2"/>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1)"/>
      <w:numFmt w:val="decimal"/>
      <w:start w:val="2"/>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lowerRoman"/>
      <w:start w:val="3"/>
    </w:lvl>
  </w:abstractNum>
  <w:abstractNum w:abstractNumId="47">
    <w:nsid w:val="1381823A"/>
    <w:multiLevelType w:val="hybridMultilevel"/>
    <w:lvl w:ilvl="0">
      <w:lvlJc w:val="left"/>
      <w:lvlText w:val="(%1)"/>
      <w:numFmt w:val="upperLetter"/>
      <w:start w:val="2"/>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upperLetter"/>
      <w:start w:val="2"/>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1)"/>
      <w:numFmt w:val="lowerRoman"/>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1)"/>
      <w:numFmt w:val="lowerRoman"/>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1)"/>
      <w:numFmt w:val="lowerLetter"/>
      <w:start w:val="3"/>
    </w:lvl>
    <w:lvl w:ilvl="1">
      <w:lvlJc w:val="left"/>
      <w:lvlText w:val="(%2)"/>
      <w:numFmt w:val="lowerLetter"/>
      <w:start w:val="2"/>
    </w:lvl>
  </w:abstractNum>
  <w:abstractNum w:abstractNumId="78">
    <w:nsid w:val="1A27709E"/>
    <w:multiLevelType w:val="hybridMultilevel"/>
    <w:lvl w:ilvl="0">
      <w:lvlJc w:val="left"/>
      <w:lvlText w:val="%1"/>
      <w:numFmt w:val="lowerLetter"/>
      <w:start w:val="1"/>
    </w:lvl>
    <w:lvl w:ilvl="1">
      <w:lvlJc w:val="left"/>
      <w:lvlText w:val="(%2)"/>
      <w:numFmt w:val="lowerLetter"/>
      <w:start w:val="1"/>
    </w:lvl>
  </w:abstractNum>
  <w:abstractNum w:abstractNumId="79">
    <w:nsid w:val="71EA1109"/>
    <w:multiLevelType w:val="hybridMultilevel"/>
    <w:lvl w:ilvl="0">
      <w:lvlJc w:val="left"/>
      <w:lvlText w:val="(%1)"/>
      <w:numFmt w:val="lowerLetter"/>
      <w:start w:val="5"/>
    </w:lvl>
    <w:lvl w:ilvl="1">
      <w:lvlJc w:val="left"/>
      <w:lvlText w:val="%2"/>
      <w:numFmt w:val="lowerLetter"/>
      <w:start w:val="1"/>
    </w:lvl>
  </w:abstractNum>
  <w:abstractNum w:abstractNumId="80">
    <w:nsid w:val="100F59DC"/>
    <w:multiLevelType w:val="hybridMultilevel"/>
    <w:lvl w:ilvl="0">
      <w:lvlJc w:val="left"/>
      <w:lvlText w:val="(%1)"/>
      <w:numFmt w:val="lowerLetter"/>
      <w:start w:val="10"/>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4">
    <w:nsid w:val="94211F2"/>
    <w:multiLevelType w:val="hybridMultilevel"/>
    <w:lvl w:ilvl="0">
      <w:lvlJc w:val="left"/>
      <w:lvlText w:val="(%1)"/>
      <w:numFmt w:val="lowerLetter"/>
      <w:start w:val="4"/>
    </w:lvl>
    <w:lvl w:ilvl="1">
      <w:lvlJc w:val="left"/>
      <w:lvlText w:val="(%2)"/>
      <w:numFmt w:val="decimal"/>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lowerRoman"/>
      <w:start w:val="2"/>
    </w:lvl>
    <w:lvl w:ilvl="1">
      <w:lvlJc w:val="left"/>
      <w:lvlText w:val="%2."/>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9" Type="http://schemas.openxmlformats.org/officeDocument/2006/relationships/image" Target="media/image181.png"/><Relationship Id="rId191" Type="http://schemas.openxmlformats.org/officeDocument/2006/relationships/image" Target="media/image182.png"/><Relationship Id="rId193" Type="http://schemas.openxmlformats.org/officeDocument/2006/relationships/image" Target="media/image183.png"/><Relationship Id="rId196" Type="http://schemas.openxmlformats.org/officeDocument/2006/relationships/image" Target="media/image184.png"/><Relationship Id="rId200" Type="http://schemas.openxmlformats.org/officeDocument/2006/relationships/image" Target="media/image185.png"/><Relationship Id="rId203" Type="http://schemas.openxmlformats.org/officeDocument/2006/relationships/image" Target="media/image186.png"/><Relationship Id="rId205" Type="http://schemas.openxmlformats.org/officeDocument/2006/relationships/image" Target="media/image187.png"/><Relationship Id="rId208" Type="http://schemas.openxmlformats.org/officeDocument/2006/relationships/image" Target="media/image188.png"/><Relationship Id="rId211" Type="http://schemas.openxmlformats.org/officeDocument/2006/relationships/image" Target="media/image189.png"/><Relationship Id="rId214"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20" Type="http://schemas.openxmlformats.org/officeDocument/2006/relationships/image" Target="media/image193.png"/><Relationship Id="rId223"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188" Type="http://schemas.openxmlformats.org/officeDocument/2006/relationships/hyperlink" Target="http://www.sec.gov/Archives/edgar/data/1840856/000121390021012440/fs12021a1ex1-1_archimedes.htm" TargetMode="External"/><Relationship Id="rId190" Type="http://schemas.openxmlformats.org/officeDocument/2006/relationships/hyperlink" Target="http://www.sec.gov/Archives/edgar/data/1840856/000121390021009092/fs12021ex3-1_archimedes.htm" TargetMode="External"/><Relationship Id="rId192" Type="http://schemas.openxmlformats.org/officeDocument/2006/relationships/hyperlink" Target="http://www.sec.gov/Archives/edgar/data/1840856/000121390021009092/fs12021ex3-3_archimedes.htm" TargetMode="External"/><Relationship Id="rId194" Type="http://schemas.openxmlformats.org/officeDocument/2006/relationships/hyperlink" Target="http://www.sec.gov/Archives/edgar/data/1840856/000121390021012440/fs12021a1ex4-1_archimedes.htm" TargetMode="External"/><Relationship Id="rId195" Type="http://schemas.openxmlformats.org/officeDocument/2006/relationships/hyperlink" Target="http://www.sec.gov/Archives/edgar/data/1840856/000121390021009092/fs12021ex4-2_archimedes.htm" TargetMode="External"/><Relationship Id="rId197" Type="http://schemas.openxmlformats.org/officeDocument/2006/relationships/hyperlink" Target="http://www.sec.gov/Archives/edgar/data/1840856/000121390021012440/fs12021a1ex4-3_archimedes.htm" TargetMode="External"/><Relationship Id="rId198" Type="http://schemas.openxmlformats.org/officeDocument/2006/relationships/hyperlink" Target="http://www.sec.gov/Archives/edgar/data/1840856/000121390021009092/fs12021ex4-4_archimedes.htm" TargetMode="External"/><Relationship Id="rId199" Type="http://schemas.openxmlformats.org/officeDocument/2006/relationships/hyperlink" Target="http://www.sec.gov/Archives/edgar/data/1840856/000121390021012440/fs12021a1ex4-5_archimedes.htm" TargetMode="External"/><Relationship Id="rId201" Type="http://schemas.openxmlformats.org/officeDocument/2006/relationships/hyperlink" Target="http://www.sec.gov/Archives/edgar/data/1840856/000121390021012440/fs12021a1ex5-1_archimedes.htm" TargetMode="External"/><Relationship Id="rId202" Type="http://schemas.openxmlformats.org/officeDocument/2006/relationships/hyperlink" Target="http://www.sec.gov/Archives/edgar/data/1840856/000121390021012440/fs12021a1ex10-1_archimedes.htm" TargetMode="External"/><Relationship Id="rId204" Type="http://schemas.openxmlformats.org/officeDocument/2006/relationships/hyperlink" Target="http://www.sec.gov/Archives/edgar/data/1840856/000121390021009092/fs12021ex10-2_archimedes.htm" TargetMode="External"/><Relationship Id="rId206" Type="http://schemas.openxmlformats.org/officeDocument/2006/relationships/hyperlink" Target="http://www.sec.gov/Archives/edgar/data/1840856/000121390021009092/fs12021ex10-3_archimedes.htm" TargetMode="External"/><Relationship Id="rId207" Type="http://schemas.openxmlformats.org/officeDocument/2006/relationships/hyperlink" Target="http://www.sec.gov/Archives/edgar/data/1840856/000121390021012440/fs12021a1ex10-4_archimedes.htm" TargetMode="External"/><Relationship Id="rId209" Type="http://schemas.openxmlformats.org/officeDocument/2006/relationships/hyperlink" Target="http://www.sec.gov/Archives/edgar/data/1840856/000121390021012440/fs12021a1ex10-5i_archimedes.htm" TargetMode="External"/><Relationship Id="rId210" Type="http://schemas.openxmlformats.org/officeDocument/2006/relationships/hyperlink" Target="http://www.sec.gov/Archives/edgar/data/1840856/000121390021012440/fs12021a1ex10-5ii_archimedes.htm" TargetMode="External"/><Relationship Id="rId212" Type="http://schemas.openxmlformats.org/officeDocument/2006/relationships/hyperlink" Target="http://www.sec.gov/Archives/edgar/data/1840856/000121390021012440/fs12021a1ex10-6_archimedes.htm" TargetMode="External"/><Relationship Id="rId213" Type="http://schemas.openxmlformats.org/officeDocument/2006/relationships/hyperlink" Target="http://www.sec.gov/Archives/edgar/data/1840856/000121390021009092/fs12021ex10-7_archimedes.htm" TargetMode="External"/><Relationship Id="rId215" Type="http://schemas.openxmlformats.org/officeDocument/2006/relationships/hyperlink" Target="http://www.sec.gov/Archives/edgar/data/1840856/000121390021009092/fs12021ex14_archimedes.htm" TargetMode="External"/><Relationship Id="rId218" Type="http://schemas.openxmlformats.org/officeDocument/2006/relationships/hyperlink" Target="http://www.sec.gov/Archives/edgar/data/1840856/000121390021009092/fs12021ex99-1_archimedes.htm" TargetMode="External"/><Relationship Id="rId219" Type="http://schemas.openxmlformats.org/officeDocument/2006/relationships/hyperlink" Target="http://www.sec.gov/Archives/edgar/data/1840856/000121390021009092/fs12021ex99-2_archimedes.htm" TargetMode="External"/><Relationship Id="rId221" Type="http://schemas.openxmlformats.org/officeDocument/2006/relationships/hyperlink" Target="http://www.sec.gov/Archives/edgar/data/1840856/000121390021009092/fs12021ex99-3_archimedes.htm" TargetMode="External"/><Relationship Id="rId222" Type="http://schemas.openxmlformats.org/officeDocument/2006/relationships/hyperlink" Target="http://www.sec.gov/Archives/edgar/data/1840856/000121390021009092/fs12021ex99-4_archimedes.htm" TargetMode="External"/><Relationship Id="rId224" Type="http://schemas.openxmlformats.org/officeDocument/2006/relationships/hyperlink" Target="http://www.sec.gov/Archives/edgar/data/1840856/000121390021009092/fs12021ex99-5_archimedes.htm" TargetMode="External"/><Relationship Id="rId225" Type="http://schemas.openxmlformats.org/officeDocument/2006/relationships/hyperlink" Target="http://www.sec.gov/Archives/edgar/data/1840856/000121390021009092/fs12021ex99-6_archimedes.htm" TargetMode="External"/><Relationship Id="rId226" Type="http://schemas.openxmlformats.org/officeDocument/2006/relationships/hyperlink" Target="http://www.sec.gov/Archives/edgar/data/1840856/000121390021009092/fs12021ex99-7_archimed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2021-03-08T05:07:59Z</dcterms:created>
  <dcterms:modified xsi:type="dcterms:W3CDTF">2021-03-08T05:07:59Z</dcterms:modified>
</cp:coreProperties>
</file>