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16, 2021 (March 10,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Archimedes Tech SPAC Partners Co.</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001-40193</w:t>
            </w:r>
          </w:p>
        </w:tc>
        <w:tc>
          <w:tcPr>
            <w:tcW w:w="38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86-1286799</w:t>
            </w:r>
          </w:p>
        </w:tc>
        <w:tc>
          <w:tcPr>
            <w:tcW w:w="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2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442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0"/>
              </w:rPr>
              <w:t>2093 Philadelphia Pike #1968</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2"/>
              </w:rPr>
              <w:t>Claymont, DE 19703</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19703</w:t>
            </w:r>
          </w:p>
        </w:tc>
        <w:tc>
          <w:tcPr>
            <w:tcW w:w="2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42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20"/>
                <w:szCs w:val="20"/>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560 4753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980" w:type="dxa"/>
            <w:vAlign w:val="bottom"/>
            <w:gridSpan w:val="2"/>
          </w:tcPr>
          <w:p>
            <w:pPr>
              <w:ind w:left="2200"/>
              <w:spacing w:after="0"/>
              <w:rPr>
                <w:sz w:val="20"/>
                <w:szCs w:val="20"/>
                <w:color w:val="auto"/>
              </w:rPr>
            </w:pPr>
            <w:r>
              <w:rPr>
                <w:rFonts w:ascii="Arial" w:cs="Arial" w:eastAsia="Arial" w:hAnsi="Arial"/>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Units, each consisting of one subunit and one-quarter of one warrant</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ATSPU</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2"/>
        </w:trPr>
        <w:tc>
          <w:tcPr>
            <w:tcW w:w="5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Subunits included as part of the units, each consisting of one share of common</w:t>
            </w:r>
          </w:p>
        </w:tc>
        <w:tc>
          <w:tcPr>
            <w:tcW w:w="24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ATSPT</w:t>
            </w: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$0.0001 par value, and one-quarter of one warrant</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$0.0001 per share</w:t>
            </w:r>
          </w:p>
        </w:tc>
        <w:tc>
          <w:tcPr>
            <w:tcW w:w="24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ATSP</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ATSPW</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10, 2021, the Company’s registration statements (File No. 333-253108) relating to the initial public offering (“IPO”) of Archimedes Tech SPAC Partners Co. (the “Company”) was declared effective by the Securities and Exchange Commission. On the same day, the Company filed a registration statement on Form S-1 with the Securities and Exchange Commission to register additional securities (File No. 333-254114) (together, the “Registration Statements”). In connection therewith, the Company entered into the following agreements previously filed as exhibits to the Registration Statements:</w:t>
      </w:r>
    </w:p>
    <w:p>
      <w:pPr>
        <w:spacing w:after="0" w:line="15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Underwriting Agreement, dated March 10, 2021, by and between the Company and EarlyBirdCapital, Inc.;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Warrant Agreement, dated March 10, 2021, by and between the Company and Continental Stock Transfer &amp; Trust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Letter Agreement, dated March 10, 2021, by and between the Company’s sponsor, initial stockholders, officers and directors;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Investment Management Trust Agreement, dated March 10, 2021, by and between Continental Stock Transfer &amp; Trust Company and the Company;</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Escrow Agreement, dated March 10, 2021, by and among the Company, Continental Stock Transfer &amp; Trust Company and each of the initial shareholders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Indemnity Agreements, dated March 10, 2021, by and among the Company and the directors and officers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Subscription Agreement, dated March 10, 2021, by and between the Company and Archimedes Tech SPAC Sponsors LLC;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Subscription Agreement, dated March 10, 2021, by and between the Company and EarlyBirdCapital, Inc.;</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Rights Agreement, dated March 10, 2021, by and among the Company, the Company’s sponsor, EarlyBirdCapital, Inc., and the initial shareholders of the Company;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Administrative Services Agreement, dated March 10, 2021, between the Company and SPAC Partners LLC.</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15, 2021, the Company consummated the IPO of 12,000,000 units (the “Units”). Each Unit consisting of one subunit (the “Subunits”) and one-quarter of one redeemable warrant (the “Warrant(s)”). Each Subunit consists of one share of common stock of the Company, $0.0001 par value (the “Common Stock”), and one-quarter of one Warrant; each whole Warrant entitles the holder to purchase one share of Common Stock for $11.50 per share. The Units were sold at an offering price of $10.00 per Unit, generating gross proceeds of $120,000,000. The Company granted the underwriters a 45-day option to purchase up to 1,800,000 additional Units to cover over-allotments, if any.</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15, 2021, a total of $120,000,000 of the net proceeds from the IPO and the Private Placement (as defined below) were deposited in a trust account established for the benefit of the Company’s public shareholders. An audited balance sheet as of March 15, 2021 reflecting receipt of the proceeds upon consummation of the IPO and the Private Placement will be filed within 4 business days of the consummation of the IPO.</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IPO, the Company consummated the private placement (“Private Placement”) with Archimedes Tech SPAC Sponsors LLC and EarlyBirdCapital, Inc. of 390,000 units (the “Private Units”), generating total proceeds of $3,900,000.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Units are identical to the Units sold as part of the public Units in this offering. Additionally, such initial purchasers agreed not to transfer, assign or sell any of the Private Units or underlying securities (except in limited circumstances, as described in the Registration Statement) until the completion of the Company’s initial business combination. Such initial purchasers were granted certain demand and piggyback registration rights in connection with the purchase of the Private Units.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Private Units were issued pursuant to Section 4(a)(2) of the Securities Act of 1933, as amended, as the transactions did not involve a public offering.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Certificate of Incorporation or Bylaws; Change in Fiscal Year.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2021, in connection with the IPO, the Company filed its Amended and Restated Certificate of Incorporation with the Delaware Secretary of State. The terms of the Amended and Restated Certificate of Incorporation are set forth in the Registration Statement and are incorporated herein by reference.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101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tcBorders>
              <w:top w:val="single" w:sz="8" w:color="auto"/>
              <w:right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Underwriting Agreement, dated March 10, 2021, by and between the Company and EarlyBirdCapital, Inc.</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Amended and Restated Certificate of Incorporation.</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Warrant Agreement, dated March 10, 2021, by and between the Company and Continental Stock Transfer &amp; Trust Company</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Letter Agreement, dated March 10, 2021, by and between the Company’s sponsor, initial stockholders, officers and directors.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Investment Management Trust Agreement, dated March 10, 2021, by and between Continental Stock Transfer &amp; Trust Company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Escrow Agreement, dated March 10, 2021, by and among the Company, Continental Stock Transfer &amp; Trust Company and each of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initial shareholders of the 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Registration Rights Agreement, dated March 10, 2021, by and among the Company, the Company’s sponsor, EarlyBirdCapital, Inc.,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3"/>
            <w:shd w:val="clear" w:color="auto" w:fill="CCEEFF"/>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initial shareholders of the 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Indemnity Agreements, dated March 10, 2021, by and among the Company and the directors and officers of the Company.</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rPr>
                <w:rFonts w:ascii="Arial" w:cs="Arial" w:eastAsia="Arial" w:hAnsi="Arial"/>
                <w:sz w:val="18"/>
                <w:szCs w:val="18"/>
                <w:color w:val="0000EE"/>
              </w:rPr>
            </w:pPr>
            <w:hyperlink w:anchor="page198">
              <w:r>
                <w:rPr>
                  <w:rFonts w:ascii="Arial" w:cs="Arial" w:eastAsia="Arial" w:hAnsi="Arial"/>
                  <w:sz w:val="18"/>
                  <w:szCs w:val="18"/>
                  <w:u w:val="single" w:color="auto"/>
                  <w:color w:val="0000EE"/>
                </w:rPr>
                <w:t>Subscription Agreement, dated March 10, 2021, by and between the Company and Archimedes Tech SPAC Sponsors LLC</w:t>
              </w:r>
              <w:r>
                <w:rPr>
                  <w:rFonts w:ascii="Arial" w:cs="Arial" w:eastAsia="Arial" w:hAnsi="Arial"/>
                  <w:sz w:val="18"/>
                  <w:szCs w:val="18"/>
                  <w:color w:val="0000EE"/>
                </w:rPr>
                <w:t>.</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Subscription Agreement, dated March 10, 2021, by and between the Company and EarlyBirdCapital,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Administrative Services Agreement, dated March 10, 2021, between the Company and SPAC Partners LLC.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4"/>
          </w:tcPr>
          <w:p>
            <w:pPr>
              <w:jc w:val="right"/>
              <w:ind w:right="55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366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named on </w:t>
      </w:r>
      <w:r>
        <w:rPr>
          <w:rFonts w:ascii="Arial" w:cs="Arial" w:eastAsia="Arial" w:hAnsi="Arial"/>
          <w:sz w:val="18"/>
          <w:szCs w:val="18"/>
          <w:i w:val="1"/>
          <w:iCs w:val="1"/>
          <w:u w:val="single" w:color="auto"/>
          <w:color w:val="auto"/>
        </w:rPr>
        <w:t>Schedule A</w:t>
      </w:r>
      <w:r>
        <w:rPr>
          <w:rFonts w:ascii="Arial" w:cs="Arial" w:eastAsia="Arial" w:hAnsi="Arial"/>
          <w:sz w:val="18"/>
          <w:szCs w:val="18"/>
          <w:i w:val="1"/>
          <w:iCs w:val="1"/>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Archimedes Tech SPAC Partners Co.,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confirms its agreement with EarlyBirdCapital, Inc. (the “</w:t>
      </w:r>
      <w:r>
        <w:rPr>
          <w:rFonts w:ascii="Arial" w:cs="Arial" w:eastAsia="Arial" w:hAnsi="Arial"/>
          <w:sz w:val="17"/>
          <w:szCs w:val="17"/>
          <w:b w:val="1"/>
          <w:bCs w:val="1"/>
          <w:color w:val="auto"/>
        </w:rPr>
        <w:t>Representative</w:t>
      </w:r>
      <w:r>
        <w:rPr>
          <w:rFonts w:ascii="Arial" w:cs="Arial" w:eastAsia="Arial" w:hAnsi="Arial"/>
          <w:sz w:val="17"/>
          <w:szCs w:val="17"/>
          <w:color w:val="auto"/>
        </w:rPr>
        <w:t xml:space="preserve">”) and with the other underwriters named on </w:t>
      </w:r>
      <w:r>
        <w:rPr>
          <w:rFonts w:ascii="Arial" w:cs="Arial" w:eastAsia="Arial" w:hAnsi="Arial"/>
          <w:sz w:val="17"/>
          <w:szCs w:val="17"/>
          <w:i w:val="1"/>
          <w:iCs w:val="1"/>
          <w:u w:val="single" w:color="auto"/>
          <w:color w:val="auto"/>
        </w:rPr>
        <w:t>Schedule A</w:t>
      </w:r>
      <w:r>
        <w:rPr>
          <w:rFonts w:ascii="Arial" w:cs="Arial" w:eastAsia="Arial" w:hAnsi="Arial"/>
          <w:sz w:val="17"/>
          <w:szCs w:val="17"/>
          <w:color w:val="auto"/>
        </w:rPr>
        <w:t xml:space="preserve"> hereto (if any), for which the Representative is acting as representative (the Representative and such other underwriters being collectively referred to herein as the “</w:t>
      </w:r>
      <w:r>
        <w:rPr>
          <w:rFonts w:ascii="Arial" w:cs="Arial" w:eastAsia="Arial" w:hAnsi="Arial"/>
          <w:sz w:val="17"/>
          <w:szCs w:val="17"/>
          <w:b w:val="1"/>
          <w:bCs w:val="1"/>
          <w:color w:val="auto"/>
        </w:rPr>
        <w:t>Underwriters</w:t>
      </w:r>
      <w:r>
        <w:rPr>
          <w:rFonts w:ascii="Arial" w:cs="Arial" w:eastAsia="Arial" w:hAnsi="Arial"/>
          <w:sz w:val="17"/>
          <w:szCs w:val="17"/>
          <w:color w:val="auto"/>
        </w:rPr>
        <w:t>” or, each underwriter individually, an “</w:t>
      </w:r>
      <w:r>
        <w:rPr>
          <w:rFonts w:ascii="Arial" w:cs="Arial" w:eastAsia="Arial" w:hAnsi="Arial"/>
          <w:sz w:val="17"/>
          <w:szCs w:val="17"/>
          <w:b w:val="1"/>
          <w:bCs w:val="1"/>
          <w:color w:val="auto"/>
        </w:rPr>
        <w:t>Underwriter</w:t>
      </w:r>
      <w:r>
        <w:rPr>
          <w:rFonts w:ascii="Arial" w:cs="Arial" w:eastAsia="Arial" w:hAnsi="Arial"/>
          <w:sz w:val="17"/>
          <w:szCs w:val="17"/>
          <w:color w:val="auto"/>
        </w:rPr>
        <w:t>”) and with I-Bankers Securities, Inc. acting as the qualified independent underwriter (the “</w:t>
      </w:r>
      <w:r>
        <w:rPr>
          <w:rFonts w:ascii="Arial" w:cs="Arial" w:eastAsia="Arial" w:hAnsi="Arial"/>
          <w:sz w:val="17"/>
          <w:szCs w:val="17"/>
          <w:b w:val="1"/>
          <w:bCs w:val="1"/>
          <w:color w:val="auto"/>
        </w:rPr>
        <w:t>QIU</w:t>
      </w:r>
      <w:r>
        <w:rPr>
          <w:rFonts w:ascii="Arial" w:cs="Arial" w:eastAsia="Arial" w:hAnsi="Arial"/>
          <w:sz w:val="17"/>
          <w:szCs w:val="17"/>
          <w:color w:val="auto"/>
        </w:rPr>
        <w:t>”), as follows:</w:t>
      </w:r>
    </w:p>
    <w:p>
      <w:pPr>
        <w:spacing w:after="0" w:line="196" w:lineRule="exact"/>
        <w:rPr>
          <w:sz w:val="20"/>
          <w:szCs w:val="20"/>
          <w:color w:val="auto"/>
        </w:rPr>
      </w:pPr>
    </w:p>
    <w:p>
      <w:pPr>
        <w:ind w:left="840" w:hanging="18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and Sale of Securities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Units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Purchase of Units</w:t>
      </w:r>
      <w:r>
        <w:rPr>
          <w:rFonts w:ascii="Arial" w:cs="Arial" w:eastAsia="Arial" w:hAnsi="Arial"/>
          <w:sz w:val="17"/>
          <w:szCs w:val="17"/>
          <w:color w:val="auto"/>
        </w:rPr>
        <w:t>. On the basis of the representations and warranties herein contained, but subject to the terms and conditions herein set forth, the Company agrees to issue and sell to the several Underwriters, severally and not jointly, an aggregate of 12,000,000 units of the Company (the “</w:t>
      </w:r>
      <w:r>
        <w:rPr>
          <w:rFonts w:ascii="Arial" w:cs="Arial" w:eastAsia="Arial" w:hAnsi="Arial"/>
          <w:sz w:val="17"/>
          <w:szCs w:val="17"/>
          <w:b w:val="1"/>
          <w:bCs w:val="1"/>
          <w:color w:val="auto"/>
        </w:rPr>
        <w:t>Firm Units</w:t>
      </w:r>
      <w:r>
        <w:rPr>
          <w:rFonts w:ascii="Arial" w:cs="Arial" w:eastAsia="Arial" w:hAnsi="Arial"/>
          <w:sz w:val="17"/>
          <w:szCs w:val="17"/>
          <w:color w:val="auto"/>
        </w:rPr>
        <w:t>”) at a purchase price (net of discounts and commissions) of $9.80 per Firm Unit. Each Firm Unit consists of one subunit (the “</w:t>
      </w:r>
      <w:r>
        <w:rPr>
          <w:rFonts w:ascii="Arial" w:cs="Arial" w:eastAsia="Arial" w:hAnsi="Arial"/>
          <w:sz w:val="17"/>
          <w:szCs w:val="17"/>
          <w:b w:val="1"/>
          <w:bCs w:val="1"/>
          <w:color w:val="auto"/>
        </w:rPr>
        <w:t>Subunits</w:t>
      </w:r>
      <w:r>
        <w:rPr>
          <w:rFonts w:ascii="Arial" w:cs="Arial" w:eastAsia="Arial" w:hAnsi="Arial"/>
          <w:sz w:val="17"/>
          <w:szCs w:val="17"/>
          <w:color w:val="auto"/>
        </w:rPr>
        <w:t>”) and one-quarter of one redeemable warrant (the “</w:t>
      </w:r>
      <w:r>
        <w:rPr>
          <w:rFonts w:ascii="Arial" w:cs="Arial" w:eastAsia="Arial" w:hAnsi="Arial"/>
          <w:sz w:val="17"/>
          <w:szCs w:val="17"/>
          <w:b w:val="1"/>
          <w:bCs w:val="1"/>
          <w:color w:val="auto"/>
        </w:rPr>
        <w:t>Warrant(s)</w:t>
      </w:r>
      <w:r>
        <w:rPr>
          <w:rFonts w:ascii="Arial" w:cs="Arial" w:eastAsia="Arial" w:hAnsi="Arial"/>
          <w:sz w:val="17"/>
          <w:szCs w:val="17"/>
          <w:color w:val="auto"/>
        </w:rPr>
        <w:t>”). Each Subunit consists of one share of common stock of the Company, $0.0001 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and one-quarter of one Warrant. Each whole Warrant entitles the holder to purchase one share of Common Stock for $11.50 per share. The Subunits and Warrants included in the Firm Units will not be separately tradable until 90 days after the date hereof unless the Representative informs the Company of its decision to allow earlier separate trading, subject to the Company filing a Current Report on Form 8-K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xml:space="preserve">”) containing an audited balance sheet reflecting the Company’s receipt of the gross proceeds of the Offering (defined below) and the sale of the Private Units (defined below) and issuing a press release announcing when such separate trading will begin. The Common Stock and Warrants included in the Subunits shall not be separately transferable until consummation by the Company of a Business Combination (as defined below). The Underwriters, severally and not jointly, agree to purchase from the Company the number of Firm Units set forth opposite their respective names on </w:t>
      </w:r>
      <w:r>
        <w:rPr>
          <w:rFonts w:ascii="Arial" w:cs="Arial" w:eastAsia="Arial" w:hAnsi="Arial"/>
          <w:sz w:val="17"/>
          <w:szCs w:val="17"/>
          <w:i w:val="1"/>
          <w:iCs w:val="1"/>
          <w:color w:val="auto"/>
        </w:rPr>
        <w:t>Schedule A</w:t>
      </w:r>
      <w:r>
        <w:rPr>
          <w:rFonts w:ascii="Arial" w:cs="Arial" w:eastAsia="Arial" w:hAnsi="Arial"/>
          <w:sz w:val="17"/>
          <w:szCs w:val="17"/>
          <w:color w:val="auto"/>
        </w:rPr>
        <w:t>. The Firm Units are to be offered initially to the public (the “</w:t>
      </w:r>
      <w:r>
        <w:rPr>
          <w:rFonts w:ascii="Arial" w:cs="Arial" w:eastAsia="Arial" w:hAnsi="Arial"/>
          <w:sz w:val="17"/>
          <w:szCs w:val="17"/>
          <w:b w:val="1"/>
          <w:bCs w:val="1"/>
          <w:color w:val="auto"/>
        </w:rPr>
        <w:t>Offering</w:t>
      </w:r>
      <w:r>
        <w:rPr>
          <w:rFonts w:ascii="Arial" w:cs="Arial" w:eastAsia="Arial" w:hAnsi="Arial"/>
          <w:sz w:val="17"/>
          <w:szCs w:val="17"/>
          <w:color w:val="auto"/>
        </w:rPr>
        <w:t>”) at the offering price of $10.00 per Firm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42</w:t>
      </w:r>
    </w:p>
    <w:p>
      <w:pPr>
        <w:spacing w:after="0" w:line="200" w:lineRule="exact"/>
        <w:rPr>
          <w:sz w:val="20"/>
          <w:szCs w:val="20"/>
          <w:color w:val="auto"/>
        </w:rPr>
      </w:pPr>
    </w:p>
    <w:p>
      <w:pPr>
        <w:spacing w:after="0" w:line="338"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Delivery and payment for the Firm Units shall be made at 10:00 A.M., New York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following the commencement of trading of the Firm Units, or at such earlier time as shall be agreed upon by the Representative and the Company at the offices of the Representative or at such other place as shall be agreed upon by the Representative and the Company. The closing of the Offering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for the Firm Units shall be made on the Closing Date through the facilities of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by wire transfer in Federal (same day) funds. The Company shall receive an aggregate of $120,750,000 net proceeds from the sale of the Firm Units and the Private Units, of which $120,000,000 shall be deposited on the Closing Date into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established by the Company for the benefit of the Public Stockholders, as described in the Registration Statement (as defined in Section 2.1.1 below) and pursuant to the terms of an Investment Management Trust Agreement (the “</w:t>
      </w:r>
      <w:r>
        <w:rPr>
          <w:rFonts w:ascii="Arial" w:cs="Arial" w:eastAsia="Arial" w:hAnsi="Arial"/>
          <w:sz w:val="16"/>
          <w:szCs w:val="16"/>
          <w:b w:val="1"/>
          <w:bCs w:val="1"/>
          <w:color w:val="auto"/>
        </w:rPr>
        <w:t>Trust Agreement</w:t>
      </w:r>
      <w:r>
        <w:rPr>
          <w:rFonts w:ascii="Arial" w:cs="Arial" w:eastAsia="Arial" w:hAnsi="Arial"/>
          <w:sz w:val="16"/>
          <w:szCs w:val="16"/>
          <w:color w:val="auto"/>
        </w:rPr>
        <w:t>”) between the Company and Continental Stock Transfer &amp; Trust Company (“</w:t>
      </w:r>
      <w:r>
        <w:rPr>
          <w:rFonts w:ascii="Arial" w:cs="Arial" w:eastAsia="Arial" w:hAnsi="Arial"/>
          <w:sz w:val="16"/>
          <w:szCs w:val="16"/>
          <w:b w:val="1"/>
          <w:bCs w:val="1"/>
          <w:color w:val="auto"/>
        </w:rPr>
        <w:t>CST&amp;T</w:t>
      </w:r>
      <w:r>
        <w:rPr>
          <w:rFonts w:ascii="Arial" w:cs="Arial" w:eastAsia="Arial" w:hAnsi="Arial"/>
          <w:sz w:val="16"/>
          <w:szCs w:val="16"/>
          <w:color w:val="auto"/>
        </w:rPr>
        <w:t>”) substantially in the form annexed as an exhibit to the Registration Statement. The remaining proceeds (less actual expense payments or other fees payable pursuant to this Agreement) shall be paid to the order of the Company upon delivery of certificates (in form and substance reasonably satisfactory to the Representative) representing the Firm Units (or through the facilities of the DTC for the account of the Representative). The Firm Units shall be registered in such name or names and in such authorized denominations as the Representative may request in writing at least two (2) Business Days (defined below)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 As used herein, the term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any day on which national banks in New York, New York are not open for business;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 and the term “</w:t>
      </w:r>
      <w:r>
        <w:rPr>
          <w:rFonts w:ascii="Arial" w:cs="Arial" w:eastAsia="Arial" w:hAnsi="Arial"/>
          <w:sz w:val="16"/>
          <w:szCs w:val="16"/>
          <w:b w:val="1"/>
          <w:bCs w:val="1"/>
          <w:color w:val="auto"/>
        </w:rPr>
        <w:t>Public Stockholders</w:t>
      </w:r>
      <w:r>
        <w:rPr>
          <w:rFonts w:ascii="Arial" w:cs="Arial" w:eastAsia="Arial" w:hAnsi="Arial"/>
          <w:sz w:val="16"/>
          <w:szCs w:val="16"/>
          <w:color w:val="auto"/>
        </w:rPr>
        <w:t>” means the holders of Subunits sold in the Offering or acquired in the aftermarket, including any of the Insiders (as defined in Section 1.3.1 below) to the extent they acquire such Subunits in the Offering or in the aftermarket (and solely with respect to such Subunits).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42</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Over-Allotment Option</w:t>
      </w:r>
    </w:p>
    <w:p>
      <w:pPr>
        <w:spacing w:after="0" w:line="22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1.2.1. The Representative shall have the option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to purchase all or less than all of an additional 1,800,000 Units (the “</w:t>
      </w:r>
      <w:r>
        <w:rPr>
          <w:rFonts w:ascii="Arial" w:cs="Arial" w:eastAsia="Arial" w:hAnsi="Arial"/>
          <w:sz w:val="17"/>
          <w:szCs w:val="17"/>
          <w:b w:val="1"/>
          <w:bCs w:val="1"/>
          <w:color w:val="auto"/>
        </w:rPr>
        <w:t>Option Units</w:t>
      </w:r>
      <w:r>
        <w:rPr>
          <w:rFonts w:ascii="Arial" w:cs="Arial" w:eastAsia="Arial" w:hAnsi="Arial"/>
          <w:sz w:val="17"/>
          <w:szCs w:val="17"/>
          <w:color w:val="auto"/>
        </w:rPr>
        <w:t>”) solely for the purposes of covering any over-allotments in connection with the distribution and sale of the Firm Units. Such Option Units shall, at the Representative’s election, be purchased for each account of the several Underwriters in the same proportion as the number of Firm Units set forth opposite such Underwriter’s name on Schedule A hereto (subject to adjustment by the Representative to eliminate fractions). Such Option Units shall be identical in all respects to the Firm Units. The Firm Units and the Option Units are hereinafter collectively referred to as the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No Option Units shall be sold or delivered unless the Firm Units previously have been, or simultaneously are, sold and delivered.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the Option Units, or any portion thereof, may be exercised from time to time and to the extent not previously exercised may be surrendered and terminated at any time upon notice by the Representative to the Company. The purchase price to be paid for each Option Unit (net of discounts and commissions) will be $9.80 per Option Unit.</w:t>
      </w:r>
    </w:p>
    <w:p>
      <w:pPr>
        <w:spacing w:after="0" w:line="17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Exercise of Option</w:t>
      </w:r>
      <w:r>
        <w:rPr>
          <w:rFonts w:ascii="Arial" w:cs="Arial" w:eastAsia="Arial" w:hAnsi="Arial"/>
          <w:sz w:val="17"/>
          <w:szCs w:val="17"/>
          <w:color w:val="auto"/>
        </w:rPr>
        <w:t>. The Over-Allotment Option granted pursuant to Section 1.2.1 hereof may be exercised by the Representative as to all (at any time) or any part (from time to time) of the Option Units within forty-five (45) days after the Effective Date. The Representative will not be under any obligation to purchase any Option Units prior to the exercise of the Over-Allotment Option. The Over-allotment Option granted hereby may be exercised by the giving of oral notice to the Company by the Representative, which must be confirmed in accordance with Section 11.1 herein setting forth the number of Option Units to be purchased and the date and time for delivery of and payment for the Option Units, if other than the Closing Date (the “</w:t>
      </w:r>
      <w:r>
        <w:rPr>
          <w:rFonts w:ascii="Arial" w:cs="Arial" w:eastAsia="Arial" w:hAnsi="Arial"/>
          <w:sz w:val="17"/>
          <w:szCs w:val="17"/>
          <w:b w:val="1"/>
          <w:bCs w:val="1"/>
          <w:color w:val="auto"/>
        </w:rPr>
        <w:t>Option Closing Date</w:t>
      </w:r>
      <w:r>
        <w:rPr>
          <w:rFonts w:ascii="Arial" w:cs="Arial" w:eastAsia="Arial" w:hAnsi="Arial"/>
          <w:sz w:val="17"/>
          <w:szCs w:val="17"/>
          <w:color w:val="auto"/>
        </w:rPr>
        <w:t>”), which shall not be earlier than the Closing Date or be later than ten (10) full Business Days after the date of the notice or such other time as shall be agreed upon by the Company and the Representative, at the offices of the Representative or at such other place as shall be agreed upon by the Company and the Representative. Upon exercise of the Over-Allotment Option, the Company will become obligated to convey to the Representative, and, subject to the terms and conditions set forth herein, the Representative will become obligated to purchase, the number of Option Units specified in such notice.</w:t>
      </w:r>
    </w:p>
    <w:p>
      <w:pPr>
        <w:spacing w:after="0" w:line="18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for the Option Units shall be made on the Option Closing Date at the Representative’s election by wire transfer in Federal (same day) funds or by certified or bank cashier’s check(s) in New York Clearing House funds, payable as follows: $9.80 per Option Unit shall be deposited in the Trust Account pursuant to the Trust Agreement upon delivery of certificates (in form and substance satisfactory to the Representative) representing the Option Units (or through the facilities of DTC) for the account of the Representative). The certificates representing the Option Units to be delivered will be in such denominations and registered in such names as the Representative requests not less than two full business days prior to the Closing Date or the Option Closing Date, as the case may be, and will be made available to the Representative for inspection, checking and packaging at the aforesaid office of the Company’s transfer agent or correspondent not less than one full business day prior to such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42</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Private Placements</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1.3.1. On January 24, 2021, the Company issued to Archimedes Tech SPAC Partners Sponsor LLC (“</w:t>
      </w:r>
      <w:r>
        <w:rPr>
          <w:rFonts w:ascii="Arial" w:cs="Arial" w:eastAsia="Arial" w:hAnsi="Arial"/>
          <w:sz w:val="17"/>
          <w:szCs w:val="17"/>
          <w:b w:val="1"/>
          <w:bCs w:val="1"/>
          <w:color w:val="auto"/>
        </w:rPr>
        <w:t>Sponsor</w:t>
      </w:r>
      <w:r>
        <w:rPr>
          <w:rFonts w:ascii="Arial" w:cs="Arial" w:eastAsia="Arial" w:hAnsi="Arial"/>
          <w:sz w:val="17"/>
          <w:szCs w:val="17"/>
          <w:color w:val="auto"/>
        </w:rPr>
        <w:t>”) an aggregate of 2,875,000 shares of Common Stock (the “</w:t>
      </w:r>
      <w:r>
        <w:rPr>
          <w:rFonts w:ascii="Arial" w:cs="Arial" w:eastAsia="Arial" w:hAnsi="Arial"/>
          <w:sz w:val="17"/>
          <w:szCs w:val="17"/>
          <w:b w:val="1"/>
          <w:bCs w:val="1"/>
          <w:color w:val="auto"/>
        </w:rPr>
        <w:t>Insider Shares</w:t>
      </w:r>
      <w:r>
        <w:rPr>
          <w:rFonts w:ascii="Arial" w:cs="Arial" w:eastAsia="Arial" w:hAnsi="Arial"/>
          <w:sz w:val="17"/>
          <w:szCs w:val="17"/>
          <w:color w:val="auto"/>
        </w:rPr>
        <w:t>”) for an aggregate of $25,000 in a private placement intended to be exempt from registration under Section 4(a)(2) of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On March 10, 2021, the Company effected a dividend of 0.2 shares for each share outstanding (the “</w:t>
      </w:r>
      <w:r>
        <w:rPr>
          <w:rFonts w:ascii="Arial" w:cs="Arial" w:eastAsia="Arial" w:hAnsi="Arial"/>
          <w:sz w:val="17"/>
          <w:szCs w:val="17"/>
          <w:b w:val="1"/>
          <w:bCs w:val="1"/>
          <w:color w:val="auto"/>
        </w:rPr>
        <w:t>Dividend</w:t>
      </w:r>
      <w:r>
        <w:rPr>
          <w:rFonts w:ascii="Arial" w:cs="Arial" w:eastAsia="Arial" w:hAnsi="Arial"/>
          <w:sz w:val="17"/>
          <w:szCs w:val="17"/>
          <w:color w:val="auto"/>
        </w:rPr>
        <w:t>”) resulting in there being an aggregate of 3,450,000 Insider Shares outstanding. No underwriting discounts, commissions or placement fees have been or will be payable in connection with the sale of the Insider Shares. The Insider Shares shall be held in escrow and subject to restrictions on transfer as set forth in the Registration Statement. The holders of the Insider Shares shall have no right to any liquidation distributions with respect to any portion of the Insider Shares in the event the Company fails to consummate any proposed Business Combination within the required time period except with respect to any funds held outside of the Trust Account remaining after payment of all fees and expenses. The holders of the Insider Shares shall not have conversion rights with respect to the Insider Shares nor shall they be entitled to sell such Insider Shares to the Company in any tender offer in connection with a proposed Business Combination. To the extent that the Over-allotment Option is not exercised by the Underwriters in full or in part, up to 450,000 of the Insider Shares shall be forfeited in an amount necessary to maintain the holders’ 20% ownership interest in the shares of Common Stock after giving effect to the Offering and exercise, if any, of the Underwriters’ Over-allotment Option (and excluding the Representative’s Shares any shares included in the Private Units (defined below) and any shares purchased in the Offering by the Company’s Sponsor, officers, directors or their affiliates (“</w:t>
      </w:r>
      <w:r>
        <w:rPr>
          <w:rFonts w:ascii="Arial" w:cs="Arial" w:eastAsia="Arial" w:hAnsi="Arial"/>
          <w:sz w:val="17"/>
          <w:szCs w:val="17"/>
          <w:b w:val="1"/>
          <w:bCs w:val="1"/>
          <w:color w:val="auto"/>
        </w:rPr>
        <w:t>Insiders</w:t>
      </w:r>
      <w:r>
        <w:rPr>
          <w:rFonts w:ascii="Arial" w:cs="Arial" w:eastAsia="Arial" w:hAnsi="Arial"/>
          <w:sz w:val="17"/>
          <w:szCs w:val="17"/>
          <w:color w:val="auto"/>
        </w:rPr>
        <w:t>”)).</w:t>
      </w:r>
    </w:p>
    <w:p>
      <w:pPr>
        <w:spacing w:after="0" w:line="188"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1.3.2. On January 13, 2021, the Company issued to the Representative and its designees, for an aggregate of $35.00, 420,000 shares (after giving effect to the Dividend) of Common Stock (the “</w:t>
      </w:r>
      <w:r>
        <w:rPr>
          <w:rFonts w:ascii="Arial" w:cs="Arial" w:eastAsia="Arial" w:hAnsi="Arial"/>
          <w:sz w:val="16"/>
          <w:szCs w:val="16"/>
          <w:b w:val="1"/>
          <w:bCs w:val="1"/>
          <w:color w:val="auto"/>
        </w:rPr>
        <w:t>Representative’s Shares</w:t>
      </w:r>
      <w:r>
        <w:rPr>
          <w:rFonts w:ascii="Arial" w:cs="Arial" w:eastAsia="Arial" w:hAnsi="Arial"/>
          <w:sz w:val="16"/>
          <w:szCs w:val="16"/>
          <w:color w:val="auto"/>
        </w:rPr>
        <w:t>”) in private placements intended to be exempt from registration under Section 4(a)(2) of the Act. No underwriting discounts, commissions or placement fees have been or will be payable in connection with the sale of the Representative’s Shares. The holders of the Representative’s Shares have agreed not to transfer, assign or sell any Representative’s Shares without the Company’s prior consent until the completion of an initial merger, share exchange, asset acquisition, share purchase, recapitalization, reorganization or other similar business combination, or entering into contractual arrangements, with one or more businesses or entities (“</w:t>
      </w:r>
      <w:r>
        <w:rPr>
          <w:rFonts w:ascii="Arial" w:cs="Arial" w:eastAsia="Arial" w:hAnsi="Arial"/>
          <w:sz w:val="16"/>
          <w:szCs w:val="16"/>
          <w:b w:val="1"/>
          <w:bCs w:val="1"/>
          <w:color w:val="auto"/>
        </w:rPr>
        <w:t>Business Combination</w:t>
      </w:r>
      <w:r>
        <w:rPr>
          <w:rFonts w:ascii="Arial" w:cs="Arial" w:eastAsia="Arial" w:hAnsi="Arial"/>
          <w:sz w:val="16"/>
          <w:szCs w:val="16"/>
          <w:color w:val="auto"/>
        </w:rPr>
        <w:t>”). The Representative’s Shares are identical to the shares of Common Stock included in the Subunits Units except the holders (i) shall not be entitled to exercise any conversion or redemption rights with respect to such Representative’s Shares and shall not be entitled to sell any such shares to the Company in any tender offer in connection with a proposed Business Combination or amendment to the Charter Documents (as defined below) relating to pre-Business Combination activity and (ii) will have no right to any liquidation distributions with respect to any portion of the Representative’s Shares in the event the Company fails to consummate a Business Combination within the required time period. The holders of the Representative’s Shares will not sell, transfer, assign, pledge or hypothecate any of the Representative’s Shares for a period of 180 days pursuant to FINRA Conduct Rule 5110(e)(1) following the effective date of the Registration Statement to anyone other than (i) the Representative or an Underwriter or selected dealer in connection with the Offering, or (ii) a bona fide officer or partner of the Representative or of any such Underwriter or selected dealer. Additionally, pursuant to FINRA Conduct Rule 5110(e), the Representative’s Shares will not be the subject of any hedging, short sale, derivative, put or call transaction that would result in the economic disposition of the securities by any person for a period of 180 days immediately following the effective date of the Registration Statement. The certificates for the Representative’s Shares shall contain legends to reflect the above FINRA and contractual transfer restrictions. The holders of the Representative’s Shares shall have registration rights as provided for in the Registration Rights Agreement (as defined in Section 2.24.5).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1.3.3. Simultaneously with the Closing Date, the Sponsor and the Representative (and/or their designees) will purchase from the Company pursuant to the Subscription Agreements (as defined in Section 2.24.2 below), an aggregate of 390,000 </w:t>
      </w:r>
      <w:r>
        <w:rPr>
          <w:rFonts w:ascii="Arial" w:cs="Arial" w:eastAsia="Arial" w:hAnsi="Arial"/>
          <w:sz w:val="17"/>
          <w:szCs w:val="17"/>
          <w:b w:val="1"/>
          <w:bCs w:val="1"/>
          <w:color w:val="auto"/>
        </w:rPr>
        <w:t>(</w:t>
      </w:r>
      <w:r>
        <w:rPr>
          <w:rFonts w:ascii="Arial" w:cs="Arial" w:eastAsia="Arial" w:hAnsi="Arial"/>
          <w:sz w:val="17"/>
          <w:szCs w:val="17"/>
          <w:color w:val="auto"/>
        </w:rPr>
        <w:t xml:space="preserve">the </w:t>
      </w:r>
      <w:r>
        <w:rPr>
          <w:rFonts w:ascii="Arial" w:cs="Arial" w:eastAsia="Arial" w:hAnsi="Arial"/>
          <w:sz w:val="17"/>
          <w:szCs w:val="17"/>
          <w:b w:val="1"/>
          <w:bCs w:val="1"/>
          <w:color w:val="auto"/>
        </w:rPr>
        <w:t>“Private Units”)</w:t>
      </w:r>
      <w:r>
        <w:rPr>
          <w:rFonts w:ascii="Arial" w:cs="Arial" w:eastAsia="Arial" w:hAnsi="Arial"/>
          <w:sz w:val="17"/>
          <w:szCs w:val="17"/>
          <w:color w:val="auto"/>
        </w:rPr>
        <w:t xml:space="preserve"> at a purchase price of $10.00 per Private Unit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intended to be exempt from registration under the Act, of which the Sponsor will purchase 330,000 Private Units and the Representative and/or its designees will purchase 60,000 Private Units. The terms of the Private Units are as described in the Prospectus (as defined in Section 2.1.1 below). No underwriting discounts, commissions or placement fees have been or will be payable in connection with the Private Placement. The Sponsor and the Representative have also agreed that, in the event the Over-allotment Option is exercised, they and/or their designees will purchase up to 36,000 additional Private Units (of which up to 27,000 Private Units would be purchased by the Sponsor and up to 9,000 Private Units would be purchased by the Representative and/or its designees) and the Company shall cause to be deposited an amount of additional proceeds from the sale of such additional Private Units into the Trust Account such that the amount of funds in the Trust Account shall be $10.00 per Public Share sold in the Offering.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Working Capital; Trust Account Proceeds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Working Capital</w:t>
      </w:r>
      <w:r>
        <w:rPr>
          <w:rFonts w:ascii="Arial" w:cs="Arial" w:eastAsia="Arial" w:hAnsi="Arial"/>
          <w:sz w:val="18"/>
          <w:szCs w:val="18"/>
          <w:color w:val="auto"/>
        </w:rPr>
        <w:t>. Upon consummation of the Offering, it is intended that approximately $750,000 of the proceeds from the sale of the Firm Units and Private Units will be released to the Company to fund the working capital requirements of the Company.</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Trust Account Proceeds</w:t>
      </w:r>
      <w:r>
        <w:rPr>
          <w:rFonts w:ascii="Arial" w:cs="Arial" w:eastAsia="Arial" w:hAnsi="Arial"/>
          <w:sz w:val="18"/>
          <w:szCs w:val="18"/>
          <w:color w:val="auto"/>
        </w:rPr>
        <w:t>. Prior to the liquidation of the Trust Account in the event the Company has not completed a Business Combination as required by its Charter Documents (the “</w:t>
      </w:r>
      <w:r>
        <w:rPr>
          <w:rFonts w:ascii="Arial" w:cs="Arial" w:eastAsia="Arial" w:hAnsi="Arial"/>
          <w:sz w:val="18"/>
          <w:szCs w:val="18"/>
          <w:b w:val="1"/>
          <w:bCs w:val="1"/>
          <w:color w:val="auto"/>
        </w:rPr>
        <w:t>Termination Date</w:t>
      </w:r>
      <w:r>
        <w:rPr>
          <w:rFonts w:ascii="Arial" w:cs="Arial" w:eastAsia="Arial" w:hAnsi="Arial"/>
          <w:sz w:val="18"/>
          <w:szCs w:val="18"/>
          <w:color w:val="auto"/>
        </w:rPr>
        <w:t>”), interest income on the funds held in the Trust Account may be released to the Company from the Trust Account in accordance with the terms of the Trust Agreement to pay any taxes incurred by the Company, all as more fully described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42</w:t>
      </w:r>
    </w:p>
    <w:p>
      <w:pPr>
        <w:spacing w:after="0" w:line="200" w:lineRule="exact"/>
        <w:rPr>
          <w:sz w:val="20"/>
          <w:szCs w:val="20"/>
          <w:color w:val="auto"/>
        </w:rPr>
      </w:pPr>
    </w:p>
    <w:p>
      <w:pPr>
        <w:spacing w:after="0" w:line="335"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Filing of Registration Statement</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333-253108),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registration of the Public Securities under the Act, which registration statement and amendment or amendments have been prepared by the Company in conformity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Except as the context may otherwise require, such registration statement, as amended, on file with the Commission at the time the registration statement became effective (“</w:t>
      </w:r>
      <w:r>
        <w:rPr>
          <w:rFonts w:ascii="Arial" w:cs="Arial" w:eastAsia="Arial" w:hAnsi="Arial"/>
          <w:sz w:val="16"/>
          <w:szCs w:val="16"/>
          <w:b w:val="1"/>
          <w:bCs w:val="1"/>
          <w:color w:val="auto"/>
        </w:rPr>
        <w:t>Effective Date</w:t>
      </w:r>
      <w:r>
        <w:rPr>
          <w:rFonts w:ascii="Arial" w:cs="Arial" w:eastAsia="Arial" w:hAnsi="Arial"/>
          <w:sz w:val="16"/>
          <w:szCs w:val="16"/>
          <w:color w:val="auto"/>
        </w:rPr>
        <w:t>”)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and the form of the final prospectus dated the Effective Date included in the Registration Statement (or, if applicable, the form of final</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containing information permitted to be omitted at the time of effectiveness by Rule 430A of the Regulations, filed by the Company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5:00 p.m. New York City time, on the date of this Agreement. Prior to the Time of Sale, the Company prepared a Preliminary Prospectus, which was included in the Registration Statement filed on March 8, 2021, for distribution by the Underwriter (such Preliminary Prospectus used most recently prior to the Time of Sale, the “</w:t>
      </w:r>
      <w:r>
        <w:rPr>
          <w:rFonts w:ascii="Arial" w:cs="Arial" w:eastAsia="Arial" w:hAnsi="Arial"/>
          <w:sz w:val="16"/>
          <w:szCs w:val="16"/>
          <w:b w:val="1"/>
          <w:bCs w:val="1"/>
          <w:color w:val="auto"/>
        </w:rPr>
        <w:t>Statutory Prospectus</w:t>
      </w:r>
      <w:r>
        <w:rPr>
          <w:rFonts w:ascii="Arial" w:cs="Arial" w:eastAsia="Arial" w:hAnsi="Arial"/>
          <w:sz w:val="16"/>
          <w:szCs w:val="16"/>
          <w:color w:val="auto"/>
        </w:rPr>
        <w:t>”). Unless otherwise specified herein, the term “Registration Statement” shall be deemed to include any Registration Statement filed pursuant to Rule 462(b) under the Act registering additional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Other than a Rule 462(b) Registration Statement, which, if filed, becomes effective upon filing and the Form 8-A referred to below in Section 2.1.2, no other document with respect to the Registration Statement has been filed with the Commission. All of the Public Securities have been or will be registered under the Act pursuant to the Registration Statement. The Registration Statement has been declared effective by the Commission on the date hereof. If, subsequent to the date of this Agreement, the Company or the Representative has determined that at the Time of Sale the Statutory Prospectus included an untrue statement of a material fact or omitted a statement of material fact necessary to make the statements therein, in the light of the circumstances under which they were made, not misleading and have agreed to provide an opportunity to purchasers of the Firm Units to terminate their old purchase contracts and enter into new purchase contracts, then the Statutory Prospectus will be deemed to include any additional information available to purchasers at the time of entry into the first such new purchase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Pursuant to the Exchange Act</w:t>
      </w:r>
      <w:r>
        <w:rPr>
          <w:rFonts w:ascii="Arial" w:cs="Arial" w:eastAsia="Arial" w:hAnsi="Arial"/>
          <w:sz w:val="18"/>
          <w:szCs w:val="18"/>
          <w:color w:val="auto"/>
        </w:rPr>
        <w:t>. The Company has filed with the Commission a Registration Statement on Form 8-A (File Number 001-40193) providing 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Subunits, Common Stock and Warrants. The registration of the Units, Subunits, Common Stock and Warrants under the Exchange Act has been declared effective by the Commission on the date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xml:space="preserve"> Neither the Commission nor, to the Company’s knowledge, any foreign or state regulatory authority has issued any order or threatened to issue any order preventing or suspending the use of any Statutory Prospectus or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Disclosures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10b-5 Representation</w:t>
      </w:r>
      <w:r>
        <w:rPr>
          <w:rFonts w:ascii="Arial" w:cs="Arial" w:eastAsia="Arial" w:hAnsi="Arial"/>
          <w:sz w:val="16"/>
          <w:szCs w:val="16"/>
          <w:color w:val="auto"/>
        </w:rPr>
        <w:t>. At the time of effectiveness of the Registration Statement (or at the effective time of any post-effective amendment to the Registration Statement) and at all times subsequent thereto up to the Closing Date, the Registration Statement, the Statutory Prospectus and the Prospectus contained or will contain all material statements that are required to be stated therein in accordance with the Act and the Regulations, and did or will, in all material respects, conform to the requirements of the Act and the Regulations. On the Effective Date and at the Time of Sale, the Registration Statement did not, and on the Closing Date it will not, contain any untrue statement of a material fact or omit to state a material fact required to be stated therein or necessary in order to make the statements therein not misleading; on the date of any filing pursuant to Rule 424(b) and on the Closing Date, the Prospectus (together with any supplement thereto) will not include any untrue statement of a material fact or omit to state a material fact necessary in order to make the statements therein, in the light of the circumstances under which they were made, not misleading; and at the Time of Sale, the Statutory Prospectus does not include any untrue statement of a material fact or omit to state a material fact necessary in order to make the statements therein, in light of the circumstances under which they were made, not misleading; provided, however, that the representation and warranty made in this Section 2.3.1 does not apply to statements made or statements omitted in reliance upon and in conformity with written information furnished to the Company with respect to the Underwriters by the Underwriters expressly for use in the Registration Statement, the Statutory Prospectus or Prospectus or any amendment thereof or supplement thereto, which information, it is agreed, shall consist solely of the names of the Underwriters and the subsection titled “Determination of Offering Price,” the second sentence of the subsection titled “Underwriting Discount,” and the subsections titled “Price Stabilization, Short Positions” and “Selling Restrictions” included in the section captioned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Disclosure of Agreements</w:t>
      </w:r>
      <w:r>
        <w:rPr>
          <w:rFonts w:ascii="Arial" w:cs="Arial" w:eastAsia="Arial" w:hAnsi="Arial"/>
          <w:sz w:val="16"/>
          <w:szCs w:val="16"/>
          <w:color w:val="auto"/>
        </w:rPr>
        <w:t>. The agreements and documents described in the Registration Statement, the Statutory Prospectus and the Prospectus conform to the descriptions thereof contained therein and there are no agreements or other documents required to be described in the Registration Statement, the Statutory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all material respects accordance with its terms, except (x) as such enforceability may be limited by bankruptcy, insolvency, reorganization or similar laws affecting creditors’ rights generally, (y) as enforceability of any indemnification or contribution provision may be limited under the foreign,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Regulations</w:t>
      </w:r>
      <w:r>
        <w:rPr>
          <w:rFonts w:ascii="Arial" w:cs="Arial" w:eastAsia="Arial" w:hAnsi="Arial"/>
          <w:sz w:val="17"/>
          <w:szCs w:val="17"/>
          <w:color w:val="auto"/>
        </w:rPr>
        <w:t>. The disclosures in the Registration Statement, the Statutory Prospectus and the Prospectus concerning the effects of foreign, federal, state and local regulation on the Company’s business as currently contemplated are correct in all material respects and do not omit to state a material fact necessary to make the statements therein, in light of the circumstances in which they were made, not misleading.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Changes After Dates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respective dates as of which information is given in the Registration Statement, the Statutory Prospectus and the Prospectus, except as otherwise specifically stated therein: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the Statutory Prospectus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u w:val="single" w:color="auto"/>
          <w:color w:val="auto"/>
        </w:rPr>
        <w:t>Recent Securities Transactions, etc.</w:t>
      </w:r>
      <w:r>
        <w:rPr>
          <w:rFonts w:ascii="Arial" w:cs="Arial" w:eastAsia="Arial" w:hAnsi="Arial"/>
          <w:sz w:val="16"/>
          <w:szCs w:val="16"/>
          <w:color w:val="auto"/>
        </w:rPr>
        <w:t xml:space="preserve"> Subsequent to the respective dates as of which information is given in the Registration Statement, the Statutory Prospectus and the Prospectus and except as may otherwise be indicated or contemplated herein or therein, the Company has not:</w:t>
      </w:r>
    </w:p>
    <w:p>
      <w:pPr>
        <w:ind w:firstLine="8"/>
        <w:spacing w:after="0" w:line="260"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any securities or incurred any liability or obligation, direct or contingent, for borrowed money; or (ii) declared or paid any dividend or made any other distribution on or in respect to its shares.</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Independent Accountants</w:t>
      </w:r>
      <w:r>
        <w:rPr>
          <w:rFonts w:ascii="Arial" w:cs="Arial" w:eastAsia="Arial" w:hAnsi="Arial"/>
          <w:sz w:val="18"/>
          <w:szCs w:val="18"/>
          <w:color w:val="auto"/>
        </w:rPr>
        <w:t>. Marcum LLP (“</w:t>
      </w:r>
      <w:r>
        <w:rPr>
          <w:rFonts w:ascii="Arial" w:cs="Arial" w:eastAsia="Arial" w:hAnsi="Arial"/>
          <w:sz w:val="18"/>
          <w:szCs w:val="18"/>
          <w:b w:val="1"/>
          <w:bCs w:val="1"/>
          <w:color w:val="auto"/>
        </w:rPr>
        <w:t>Marcum</w:t>
      </w:r>
      <w:r>
        <w:rPr>
          <w:rFonts w:ascii="Arial" w:cs="Arial" w:eastAsia="Arial" w:hAnsi="Arial"/>
          <w:sz w:val="18"/>
          <w:szCs w:val="18"/>
          <w:color w:val="auto"/>
        </w:rPr>
        <w:t>”), whose report is filed with the Commission as part of the Registration Statement and included in the Registration Statement, the Statutory Prospectus and the Prospectus, are independent registered public accountants as required by the Act, the Regulations and the Public Company Accounting Oversight Board (the “</w:t>
      </w:r>
      <w:r>
        <w:rPr>
          <w:rFonts w:ascii="Arial" w:cs="Arial" w:eastAsia="Arial" w:hAnsi="Arial"/>
          <w:sz w:val="18"/>
          <w:szCs w:val="18"/>
          <w:b w:val="1"/>
          <w:bCs w:val="1"/>
          <w:color w:val="auto"/>
        </w:rPr>
        <w:t>PCAOB</w:t>
      </w:r>
      <w:r>
        <w:rPr>
          <w:rFonts w:ascii="Arial" w:cs="Arial" w:eastAsia="Arial" w:hAnsi="Arial"/>
          <w:sz w:val="18"/>
          <w:szCs w:val="18"/>
          <w:color w:val="auto"/>
        </w:rPr>
        <w:t>”), including the rules and regulations promulgated by such entity. To the Company’s knowledge, Marcum is duly registered and in good standing with the PCAOB. Marcum has not, during the periods covered by the financial statements included in the Registration Statement, the Statutory Prospectus and the Prospectus, provided to the Company any non-audit services, as such term is used in Section 10A(g) of the Exchange Act.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Financial Statements; Statistical Data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including the notes thereto and supporting schedules included in the Registration Statement, the Statutory Prospectus and the Prospectus, fairly present in all material respects the financial position and the results of operations of the Company at the dates and for the periods to which they apply; and such financial statements have been prepared in conformity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consistently applied throughout the periods involved; and the supporting schedules included in the Registration Statement present fairly in all material respects the information required to be stated therein in conformity with the Regulations. No other financial statements or supporting schedules are required to be included or incorporated by reference in the Registration Statement, the Statutory Prospectus or the Prospectus. The Registration Statement, the Statutory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prospects, liquidity, capital expenditures, capital resources, or significant components of revenues or expenses. There are no pro forma or as adjusted financial statements which are required to be included in the Registration Statement, the Statutory Prospectus or the Prospectus in accordance with Regulation S-X of the Regulations which have not been included as so required.</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Statistical Data</w:t>
      </w:r>
      <w:r>
        <w:rPr>
          <w:rFonts w:ascii="Arial" w:cs="Arial" w:eastAsia="Arial" w:hAnsi="Arial"/>
          <w:sz w:val="18"/>
          <w:szCs w:val="18"/>
          <w:color w:val="auto"/>
        </w:rPr>
        <w:t>. The statistical, industry-related and market-related data included in the Registration Statement, the Statutory Prospectus and/or the Prospectus are based on or derived from sources which the Company reasonably and in good faith believes are reliable and accurate, and such data agree with the sources from which they are derived.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Authorized Capital; Options, etc.</w:t>
      </w:r>
      <w:r>
        <w:rPr>
          <w:rFonts w:ascii="Arial" w:cs="Arial" w:eastAsia="Arial" w:hAnsi="Arial"/>
          <w:sz w:val="16"/>
          <w:szCs w:val="16"/>
          <w:color w:val="auto"/>
        </w:rPr>
        <w:t xml:space="preserve"> The Company had at the date or dates indicated in each of the Registration Statement, the Statutory Prospectus and the Prospectus, as the case may be, duly authorized, issued and outstanding capitalization as set forth in the Registration Statement, the Statutory Prospectus and the Prospectus. Based on the assumptions stated in the Registration Statement, the Statutory Prospectus and the Prospectus, the Company will have on the Closing Date the adjusted share capitalization set forth therein. Except as set forth in, or contemplated by, the Registration Statement, the Statutory Prospectus and the Prospectus, on the Effective Date and on the Closing Date, there will be no options, warrants, or other rights to purchase or otherwise acquire any authorized, but unissued shares of Common Stock or any security convertible into shares of Common Stock, or any contracts or commitments to issue or sell shares of Common Stock or any such options, warrants, rights or convertible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Valid Issuance of Securities, etc.</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 All issued and outstanding shares of Common Stock of the Company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outstanding shares of Common Stock conform in all material respects to the descriptions thereof contained in the Registration Statement, the Statutory Prospectus and the Prospectus. All offers, sales and any transfers of the outstanding shares of Common Stock of the Company were at all relevant times either registered under the Act and the applicable state securities or Blue Sky laws (based in part on the representations and warranties of the purchasers of the shares of Common Stock) or exempt from such registration requirements.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u w:val="single" w:color="auto"/>
          <w:color w:val="auto"/>
        </w:rPr>
        <w:t>Securities To Be Sold</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2.8.2.1. The Public Securities have been duly authorized and reserved for issuance and when issued and paid for in accordance with this Agreement, will be validly issued, fully paid and non-assessable; the holders thereof are not and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Public Securities conform in all material respects to the descriptions thereof contained in the Registration Statement, the Statutory Prospectus and the Prospectus,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42</w:t>
      </w:r>
    </w:p>
    <w:p>
      <w:pPr>
        <w:spacing w:after="0" w:line="200" w:lineRule="exact"/>
        <w:rPr>
          <w:sz w:val="20"/>
          <w:szCs w:val="20"/>
          <w:color w:val="auto"/>
        </w:rPr>
      </w:pPr>
    </w:p>
    <w:p>
      <w:pPr>
        <w:spacing w:after="0" w:line="335"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2.8.2.2. The Representative’s Shares have been duly authorized, duly and validly issued, fully paid and non-assessable; the holders thereof are not and will not be subject to personal liability by reason of being such holders; the Representative’s Shares are not and will not be subject to the preemptive rights of any holders of any security of the Company or similar contractual rights granted by the Company; and all corporate action required to be taken for the authorization, issuance and sale of the Representative’s Shares has been duly and validly taken. The Representative’s Shares conform in all material respects to the descriptions thereof contained in the Registration Statement, the Statutory Prospectus and the Prospectus, as the case may be.</w:t>
      </w:r>
    </w:p>
    <w:p>
      <w:pPr>
        <w:spacing w:after="0" w:line="188"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2.8.2.3. The Private Units, the Subunits included within the Private Units (the “</w:t>
      </w:r>
      <w:r>
        <w:rPr>
          <w:rFonts w:ascii="Arial" w:cs="Arial" w:eastAsia="Arial" w:hAnsi="Arial"/>
          <w:sz w:val="17"/>
          <w:szCs w:val="17"/>
          <w:b w:val="1"/>
          <w:bCs w:val="1"/>
          <w:color w:val="auto"/>
        </w:rPr>
        <w:t>Private Subunits</w:t>
      </w:r>
      <w:r>
        <w:rPr>
          <w:rFonts w:ascii="Arial" w:cs="Arial" w:eastAsia="Arial" w:hAnsi="Arial"/>
          <w:sz w:val="17"/>
          <w:szCs w:val="17"/>
          <w:color w:val="auto"/>
        </w:rPr>
        <w:t>”), the shares of Common Stock included within the Private Units (the “</w:t>
      </w:r>
      <w:r>
        <w:rPr>
          <w:rFonts w:ascii="Arial" w:cs="Arial" w:eastAsia="Arial" w:hAnsi="Arial"/>
          <w:sz w:val="17"/>
          <w:szCs w:val="17"/>
          <w:b w:val="1"/>
          <w:bCs w:val="1"/>
          <w:color w:val="auto"/>
        </w:rPr>
        <w:t>Private Shares</w:t>
      </w:r>
      <w:r>
        <w:rPr>
          <w:rFonts w:ascii="Arial" w:cs="Arial" w:eastAsia="Arial" w:hAnsi="Arial"/>
          <w:sz w:val="17"/>
          <w:szCs w:val="17"/>
          <w:color w:val="auto"/>
        </w:rPr>
        <w:t>”) and the Warrants included within the Private Units (the “</w:t>
      </w:r>
      <w:r>
        <w:rPr>
          <w:rFonts w:ascii="Arial" w:cs="Arial" w:eastAsia="Arial" w:hAnsi="Arial"/>
          <w:sz w:val="17"/>
          <w:szCs w:val="17"/>
          <w:b w:val="1"/>
          <w:bCs w:val="1"/>
          <w:color w:val="auto"/>
        </w:rPr>
        <w:t>Private Warrants</w:t>
      </w:r>
      <w:r>
        <w:rPr>
          <w:rFonts w:ascii="Arial" w:cs="Arial" w:eastAsia="Arial" w:hAnsi="Arial"/>
          <w:sz w:val="17"/>
          <w:szCs w:val="17"/>
          <w:color w:val="auto"/>
        </w:rPr>
        <w:t>”) have been duly authorized and reserved for issuance and when issued and paid for in accordance with the Subscription Agreements, will be validly issued, fully paid and non-assessable; the holders thereof are not and will not be subject to personal liability by reason of being such holders; the Private Units, Private Subunits, Private Shares and Private Warrants are not and will not be subject to the preemptive rights of any holders of any security of the Company or similar contractual rights granted by the Company; and all corporate action required to be taken for the authorization, issuance and sale of the Private Units, Private Subunits, Private Shares and Private Warrants has been duly and validly taken. The Private Units, Private Subunits, Private Shares and Private Warrants conform in all material respects to the descriptions thereof contained in the Registration Statement, the Statutory Prospectus and the Prospectus, as the case may be.</w:t>
      </w:r>
    </w:p>
    <w:p>
      <w:pPr>
        <w:spacing w:after="0" w:line="17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2.8.2.4. The Insider Shares have been duly authorized, duly and validly issued, fully paid and non-assessable; the holders thereof are not and will not be subject to personal liability by reason of being such holders; the Insider Shares are not and will not be subject to the preemptive rights of any holders of any security of the Company or similar contractual rights granted by the Company; and all corporate action required to be taken for the authorization, issuance and sale of the Insider Shares has been duly and validly taken. The Insider Shares conform in all material respects to the descriptions thereof contained in the Registration Statement, the Statutory Prospectus and the Prospectus, as the case may be.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2.8.3. </w:t>
      </w:r>
      <w:r>
        <w:rPr>
          <w:rFonts w:ascii="Arial" w:cs="Arial" w:eastAsia="Arial" w:hAnsi="Arial"/>
          <w:sz w:val="18"/>
          <w:szCs w:val="18"/>
          <w:u w:val="single" w:color="auto"/>
          <w:color w:val="auto"/>
        </w:rPr>
        <w:t>No Integration</w:t>
      </w:r>
      <w:r>
        <w:rPr>
          <w:rFonts w:ascii="Arial" w:cs="Arial" w:eastAsia="Arial" w:hAnsi="Arial"/>
          <w:sz w:val="18"/>
          <w:szCs w:val="18"/>
          <w:color w:val="auto"/>
        </w:rPr>
        <w:t>.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This Agreement, the Trust Agreement, the Subscription Agreements, the Services Agreement (as defined in Section 2.24.6 below), the Warrant Agreement, the Escrow Agreement (as defined in Section 2.24.7), the Business Combination Marketing Agreement (as defined in Section 2.26) and the Registration Rights Agreement (collectively,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have been duly and validly authorized by the Company and, when executed and delivered by the Company and the other parties thereto, will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Conflicts, etc.</w:t>
      </w:r>
      <w:r>
        <w:rPr>
          <w:rFonts w:ascii="Arial" w:cs="Arial" w:eastAsia="Arial" w:hAnsi="Arial"/>
          <w:sz w:val="18"/>
          <w:szCs w:val="18"/>
          <w:color w:val="auto"/>
        </w:rPr>
        <w:t xml:space="preserve"> The execution, delivery, and performance by the Company of the Transaction Documents, the consummation by the Company of the transactions herein and therein contemplated and the compliance by the Company with the terms hereof and thereof do not and will not, with or without the giving of notice or the lapse of time or both: (i)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agreement, obligation, condition, covenant or instrument to which the Company is a party or bound or to which its property is subject except pursuant to the Trust Agreement; (ii) result in any violation of the provisions of the Certificate of Incorporation and Bylaws of the Company, as amended (collectively, the “</w:t>
      </w:r>
      <w:r>
        <w:rPr>
          <w:rFonts w:ascii="Arial" w:cs="Arial" w:eastAsia="Arial" w:hAnsi="Arial"/>
          <w:sz w:val="18"/>
          <w:szCs w:val="18"/>
          <w:b w:val="1"/>
          <w:bCs w:val="1"/>
          <w:color w:val="auto"/>
        </w:rPr>
        <w:t>Charter Documents</w:t>
      </w:r>
      <w:r>
        <w:rPr>
          <w:rFonts w:ascii="Arial" w:cs="Arial" w:eastAsia="Arial" w:hAnsi="Arial"/>
          <w:sz w:val="18"/>
          <w:szCs w:val="18"/>
          <w:color w:val="auto"/>
        </w:rPr>
        <w:t>”); or (iii) violate any existing applicable statute, law, rule, regulation, judgment, order or decree of any governmental agency or court, domestic or foreign, having jurisdiction over the Company or any of its properties, business or assets.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or violation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term or provision of its Charter Documents or in violation of any franchise, license, permit, applicable law, rule, regulation, judgment or decree of any governmental agency or court, domestic or foreign, having jurisdiction over the Company or any of its properties or businesses.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Corporate Power; Licenses; Consents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2.13.1.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Statutory Prospectus and the Prospectus. The disclosures in the Registration Statement, the Statutory Prospectus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light of the circumstances under which they were made, not misleading. Since its formation and except as described in the Registration Statement, the Company has conducted no business and has incurred no liabilities other than in connection with its formation and in furtherance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2.13.2. </w:t>
      </w:r>
      <w:r>
        <w:rPr>
          <w:rFonts w:ascii="Arial" w:cs="Arial" w:eastAsia="Arial" w:hAnsi="Arial"/>
          <w:sz w:val="16"/>
          <w:szCs w:val="16"/>
          <w:u w:val="single" w:color="auto"/>
          <w:color w:val="auto"/>
        </w:rPr>
        <w:t>Transactions Contemplated Herein</w:t>
      </w:r>
      <w:r>
        <w:rPr>
          <w:rFonts w:ascii="Arial" w:cs="Arial" w:eastAsia="Arial" w:hAnsi="Arial"/>
          <w:sz w:val="16"/>
          <w:szCs w:val="16"/>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foreign or domestic, is required for the valid issuance, sale and delivery, of the Public Securities and Representative’s Shares and the consummation of the transactions and agreements contemplated by the Transaction Documents and as contemplated by the Registration Statement, the Statutory Prospectus and Prospectus, except with respect to applicable foreign, federal and state securities laws and the rules and regulations promulgated by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(the “</w:t>
      </w:r>
      <w:r>
        <w:rPr>
          <w:rFonts w:ascii="Arial" w:cs="Arial" w:eastAsia="Arial" w:hAnsi="Arial"/>
          <w:sz w:val="18"/>
          <w:szCs w:val="18"/>
          <w:b w:val="1"/>
          <w:bCs w:val="1"/>
          <w:color w:val="auto"/>
        </w:rPr>
        <w:t>Questionnaires</w:t>
      </w:r>
      <w:r>
        <w:rPr>
          <w:rFonts w:ascii="Arial" w:cs="Arial" w:eastAsia="Arial" w:hAnsi="Arial"/>
          <w:sz w:val="18"/>
          <w:szCs w:val="18"/>
          <w:color w:val="auto"/>
        </w:rPr>
        <w:t>”) completed by each of the Company’s officers, directors, 5% beneficial owners and owners of unregistered securities acquired within the past 180 days (the “</w:t>
      </w:r>
      <w:r>
        <w:rPr>
          <w:rFonts w:ascii="Arial" w:cs="Arial" w:eastAsia="Arial" w:hAnsi="Arial"/>
          <w:sz w:val="18"/>
          <w:szCs w:val="18"/>
          <w:b w:val="1"/>
          <w:bCs w:val="1"/>
          <w:color w:val="auto"/>
        </w:rPr>
        <w:t>Respondents</w:t>
      </w:r>
      <w:r>
        <w:rPr>
          <w:rFonts w:ascii="Arial" w:cs="Arial" w:eastAsia="Arial" w:hAnsi="Arial"/>
          <w:sz w:val="18"/>
          <w:szCs w:val="18"/>
          <w:color w:val="auto"/>
        </w:rPr>
        <w:t>”) immediately prior to the initial filing of the Registration Statement and provided to the Representative, as such Questionnaires may have been updated from time to time and confirmed by each of the Respondents, as well as the biographies previously provided to the Representative, is true and correct in all material respects and the Company has not become aware of any information which would cause the information disclosed in the Questionnaires to become inaccurate and incorrect.</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Litigation; Governmental Proceedings</w:t>
      </w:r>
      <w:r>
        <w:rPr>
          <w:rFonts w:ascii="Arial" w:cs="Arial" w:eastAsia="Arial" w:hAnsi="Arial"/>
          <w:sz w:val="17"/>
          <w:szCs w:val="17"/>
          <w:color w:val="auto"/>
        </w:rPr>
        <w:t>. There is no action, suit, proceeding, inquiry, arbitration, investigation, litigation or governmental proceeding pending or, to the Company’s knowledge, threatened against, or involving the Company or, to the Company’s knowledge, any of the Respondents or any of the Insiders, which has not been disclosed in the Registration Statement, the Statutory Prospectus and the Prospectus.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and is validly existing as a corporation and is in good standing under the laws of its jurisdiction of incorporation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condition (financial or otherwise), prospects, earnings, business or properties of the Company, whether or not arising from transactions in the ordinary course of business, except as set forth in or contemplated in the Statutory Prospectus and the Prospectus (exclusive of any supplement thereto) (a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Adverse Effect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The Company does not have any specific Business Combination under consideration and it has not (nor has anyone on its behalf), directly or indirectly, contacted any prospective business (each, a “</w:t>
      </w:r>
      <w:r>
        <w:rPr>
          <w:rFonts w:ascii="Arial" w:cs="Arial" w:eastAsia="Arial" w:hAnsi="Arial"/>
          <w:sz w:val="18"/>
          <w:szCs w:val="18"/>
          <w:b w:val="1"/>
          <w:bCs w:val="1"/>
          <w:color w:val="auto"/>
        </w:rPr>
        <w:t>Target Business</w:t>
      </w:r>
      <w:r>
        <w:rPr>
          <w:rFonts w:ascii="Arial" w:cs="Arial" w:eastAsia="Arial" w:hAnsi="Arial"/>
          <w:sz w:val="18"/>
          <w:szCs w:val="18"/>
          <w:color w:val="auto"/>
        </w:rPr>
        <w:t>”) or had any substantive discussions, formal or otherwise, with respect to such a transaction.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Transactions Affecting Disclosure to FINRA</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2.18.1. To the Company’s knowledge, all information contained in the questionnaires (the “</w:t>
      </w:r>
      <w:r>
        <w:rPr>
          <w:rFonts w:ascii="Arial" w:cs="Arial" w:eastAsia="Arial" w:hAnsi="Arial"/>
          <w:sz w:val="18"/>
          <w:szCs w:val="18"/>
          <w:b w:val="1"/>
          <w:bCs w:val="1"/>
          <w:color w:val="auto"/>
        </w:rPr>
        <w:t>FINRA Questionnaires</w:t>
      </w:r>
      <w:r>
        <w:rPr>
          <w:rFonts w:ascii="Arial" w:cs="Arial" w:eastAsia="Arial" w:hAnsi="Arial"/>
          <w:sz w:val="18"/>
          <w:szCs w:val="18"/>
          <w:color w:val="auto"/>
        </w:rPr>
        <w:t>”) completed by each of the Respondents and provided to the Representative, as such FINRA Questionnaires may have been updated from time to time and confirmed by each of the Respondents, is true and correct in all material respects and the Company has not become aware of any information which would cause the information disclosed in the FINRA Questionnaires to become inaccurate and incorrect.</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2.18.2. Except as described in the Registration Statement, the Statutory Prospectus and the Prospectus, there are no claims, payments, arrangements, agreements or understandings relating to the payment of a finder’s, consulting or origination fee by the Company or any Company Affiliate with respect to the sale of the Public Securities hereunder or any other arrangements, agreements or understandings of the Company or, to the Company’s knowledge, any Insider that may affect the Underwriters’ compensation, as determined by FINRA.</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2.18.3. Except as described herein or in the Registration Statement, the Statutory Prospectus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180-day period prior to the initial confidential submission of the Registration Statement with the Commission.</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2.18.4. To the Company’s knowledge, except as set forth in the FINRA Questionnaires, no officer or director or any direct or indirect beneficial owner of 5% or greater of any class of the Company’s securities, including the Insiders and holders of securities to be purchased in the Private Placement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of FINRA, or a person associated or affiliated with a member of FINRA.</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2.18.5. To the Company’s knowledge, except as set forth in the FINRA Questionnaires, no Company Affiliate is an owner of stock or other securities of any member of FINRA (other than securities purchased on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2.18.6. To the Company’s knowledge, except as set forth in the FINRA Questionnaires, no Company Affiliate has made a subordinated loan to any member of FINRA.</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2.18.7. No proceeds from the sale of the Public Securities or Private Units (excluding underwriting compensation) will be paid to any FINRA member, or any persons associated or affiliated with a member of FINRA, except as specifically authorized herein.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2.18.8. Other than the Representative Shares,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 with the Commission, except as disclosed in the Registration Statement, the Statutory Prospectus and the Prospectus.</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2.18.9. To the Company’s knowledge, except as set forth in the FINRA Questionnaires, no person to whom securities of the Company have been privately issued within the 180-day period prior to the initial confidential submission of the Registration Statement with the Commission has any relationship or affiliation or association with any member of FINRA.</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2.18.10. To the Company’s knowledge, except with respect to the Representative, no FINRA member intending to participate in the Offering has a conflict of interest (as defined by FINRA rules) with the Company.</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2.18.11. Except with respect to the Representative in connection with the Offering, the Company has not entered into any agreement or arrangement (including, without limitation, any consulting agreement or any other type of agreement) during the 180-day period prior to the initial confidential submission of the Registration Statement with the Commission, which arrangement or agreement provides for the receipt of any item of value and/or the transfer or issuance of any warrants, options, or other securities from the Company to a FINRA member, any person associated with a member (as defined by FINRA rules), any potential underwriters in the Offering and/or any related persons.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2.19.1. There are no transfer taxes or other similar fees or charges under U.S. federal law or the laws of any U.S. state or any political subdivision thereof, required to be paid in connection with the execution and delivery of this Agreement or the issuance or sale by the Company of the Public Securities.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2.19.2. The Company has filed all U.S. federal, state and local tax returns that are required to be a filed or has requested extensions thereof, except in any case in which the failure to so file would not have a Material Adverse Effect, and has paid all taxes required to be paid by it and any other assessment, fine or penalty levied against it, to the extent that any of the foregoing in due and payable, except for any such assessment, fine or penalty that is currently being contested in good faith or as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any of the Respondents or any other person acting on behalf of the Company is aware of or has taken any action, directly or indirectly, that: (i) would result in a violation by such persons of the Foreign Corrupt Practices Act of 1977, as amended, and the rules and regulations thereunder (the “</w:t>
      </w:r>
      <w:r>
        <w:rPr>
          <w:rFonts w:ascii="Arial" w:cs="Arial" w:eastAsia="Arial" w:hAnsi="Arial"/>
          <w:sz w:val="16"/>
          <w:szCs w:val="16"/>
          <w:b w:val="1"/>
          <w:bCs w:val="1"/>
          <w:color w:val="auto"/>
        </w:rPr>
        <w:t>FCPA</w:t>
      </w:r>
      <w:r>
        <w:rPr>
          <w:rFonts w:ascii="Arial" w:cs="Arial" w:eastAsia="Arial" w:hAnsi="Arial"/>
          <w:sz w:val="16"/>
          <w:szCs w:val="16"/>
          <w:color w:val="auto"/>
        </w:rPr>
        <w:t>”) or otherwise subject the Company to any damage or penalty in any civil, criminal or governmental litigation or proceeding; (ii) if not done in the past, might reasonably be expected to have had a Material Adverse Effect or (iii) if not continued in the future, might reasonably be expected to materially and adversely affect the assets, business or operations of the Company, including, without limitation,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The Company’s internal accounting controls and procedures are sufficient to cause the Company to comply with the FCPA.</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Currency and Foreign Transactions Reporting Act</w:t>
      </w:r>
      <w:r>
        <w:rPr>
          <w:rFonts w:ascii="Arial" w:cs="Arial" w:eastAsia="Arial" w:hAnsi="Arial"/>
          <w:sz w:val="18"/>
          <w:szCs w:val="18"/>
          <w:color w:val="auto"/>
        </w:rPr>
        <w:t>. The operations of the Company are and have been conducted at all times in material compliance with applicable financial recordkeeping and reporting requirements of the Currency and Foreign Transaction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Bank Secrecy Act; Money Laundering; Patriot Act</w:t>
      </w:r>
      <w:r>
        <w:rPr>
          <w:rFonts w:ascii="Arial" w:cs="Arial" w:eastAsia="Arial" w:hAnsi="Arial"/>
          <w:sz w:val="17"/>
          <w:szCs w:val="17"/>
          <w:color w:val="auto"/>
        </w:rPr>
        <w:t>. Neither the Company, nor to the Company’s knowledge, any Company Affiliate, has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violated: (i) the Bank Secrecy Act, as amended, (ii) the Money Laundering Laws or (iii) the Uniting and Strengthening of America by Providing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Appropriate Tools Required to Intercept and Obstruct Terrorism (USA PATRIOT ACT) Act of 2001, and/or the rules and regulations promulgated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such law, or any successor law.</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Any certificate signed by any duly authorized officer of the Company and delivered to the Representative or to its counsel shall be deemed a representation and warranty by the Company to the Underwriters as to the matters covered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 of 42</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Agreements With Company Affiliates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2.24.1.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 in the form annexed as an exhibit to the Registration Statement (the “</w:t>
      </w:r>
      <w:r>
        <w:rPr>
          <w:rFonts w:ascii="Arial" w:cs="Arial" w:eastAsia="Arial" w:hAnsi="Arial"/>
          <w:sz w:val="16"/>
          <w:szCs w:val="16"/>
          <w:b w:val="1"/>
          <w:bCs w:val="1"/>
          <w:color w:val="auto"/>
        </w:rPr>
        <w:t>Insider Letters</w:t>
      </w:r>
      <w:r>
        <w:rPr>
          <w:rFonts w:ascii="Arial" w:cs="Arial" w:eastAsia="Arial" w:hAnsi="Arial"/>
          <w:sz w:val="16"/>
          <w:szCs w:val="16"/>
          <w:color w:val="auto"/>
        </w:rPr>
        <w:t>”), pursuant to which each of the Respondents agrees to certain matters, including but not limited to, the voting of shares of Common Stock held by them and certain matters described as being agreed to by them under the “Proposed Business” section of the Registration Statement, the Statutory Prospectus and Prospectus.</w:t>
      </w:r>
    </w:p>
    <w:p>
      <w:pPr>
        <w:spacing w:after="0" w:line="16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2.24.2.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The Sponsor and the Representative have executed and delivered subscription agreements, the forms of which are annexed as exhibits to the Registration Statement (the “</w:t>
      </w:r>
      <w:r>
        <w:rPr>
          <w:rFonts w:ascii="Arial" w:cs="Arial" w:eastAsia="Arial" w:hAnsi="Arial"/>
          <w:sz w:val="17"/>
          <w:szCs w:val="17"/>
          <w:b w:val="1"/>
          <w:bCs w:val="1"/>
          <w:color w:val="auto"/>
        </w:rPr>
        <w:t>Subscription Agreements</w:t>
      </w:r>
      <w:r>
        <w:rPr>
          <w:rFonts w:ascii="Arial" w:cs="Arial" w:eastAsia="Arial" w:hAnsi="Arial"/>
          <w:sz w:val="17"/>
          <w:szCs w:val="17"/>
          <w:color w:val="auto"/>
        </w:rPr>
        <w:t>”), pursuant to which the Sponsor and the Representative have agreed, among other things, that they and/or their designees will purchase on the Closing Date the Private Units in the Private Placement. Pursuant to the Subscription Agreements, the purchasers have waived any and all rights and claims they may have to any proceeds, and any interest thereon, held in the Trust Account in respect of the Subunits underlying the Private Units in the event that a Business Combination is not consummated and the Trust Account is liquidated in accordance with the terms of the Trust Agreement.</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u w:val="single" w:color="auto"/>
          <w:color w:val="auto"/>
        </w:rPr>
        <w:t>Non-Competition/Solicitation</w:t>
      </w:r>
      <w:r>
        <w:rPr>
          <w:rFonts w:ascii="Arial" w:cs="Arial" w:eastAsia="Arial" w:hAnsi="Arial"/>
          <w:sz w:val="18"/>
          <w:szCs w:val="18"/>
          <w:color w:val="auto"/>
        </w:rPr>
        <w:t>. To the Company’s knowledge, no Respondent is subject to any non-competition agreement or non-solicitation agreement with any employer or prior employer which could materially affect such Respondent’s ability to be and act in the capacity of a director or officer of the Company, as applicable.</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u w:val="single" w:color="auto"/>
          <w:color w:val="auto"/>
        </w:rPr>
        <w:t>Loans</w:t>
      </w:r>
      <w:r>
        <w:rPr>
          <w:rFonts w:ascii="Arial" w:cs="Arial" w:eastAsia="Arial" w:hAnsi="Arial"/>
          <w:sz w:val="18"/>
          <w:szCs w:val="18"/>
          <w:color w:val="auto"/>
        </w:rPr>
        <w:t>. The Sponsor has agreed to make loans to the Company in the aggregate amount of up to $300,000, as described in the Registration Statement (the “</w:t>
      </w:r>
      <w:r>
        <w:rPr>
          <w:rFonts w:ascii="Arial" w:cs="Arial" w:eastAsia="Arial" w:hAnsi="Arial"/>
          <w:sz w:val="18"/>
          <w:szCs w:val="18"/>
          <w:b w:val="1"/>
          <w:bCs w:val="1"/>
          <w:color w:val="auto"/>
        </w:rPr>
        <w:t>Insider Loan</w:t>
      </w:r>
      <w:r>
        <w:rPr>
          <w:rFonts w:ascii="Arial" w:cs="Arial" w:eastAsia="Arial" w:hAnsi="Arial"/>
          <w:sz w:val="18"/>
          <w:szCs w:val="18"/>
          <w:color w:val="auto"/>
        </w:rPr>
        <w:t>”). The Insider Loan will not bear any interest and will be repayable by the Company on the consummation of the Offering.</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2.24.5.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the Insiders and the Representative have entered into a registration rights agreement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Insiders and the Representative will be entitled to certain registration rights with respect to their securities, as set forth in such Registration Rights Agreement and described more fully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 of 42</w:t>
      </w:r>
    </w:p>
    <w:p>
      <w:pPr>
        <w:spacing w:after="0" w:line="200" w:lineRule="exact"/>
        <w:rPr>
          <w:sz w:val="20"/>
          <w:szCs w:val="20"/>
          <w:color w:val="auto"/>
        </w:rPr>
      </w:pPr>
    </w:p>
    <w:p>
      <w:pPr>
        <w:spacing w:after="0" w:line="33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2.24.6. </w:t>
      </w:r>
      <w:r>
        <w:rPr>
          <w:rFonts w:ascii="Arial" w:cs="Arial" w:eastAsia="Arial" w:hAnsi="Arial"/>
          <w:sz w:val="18"/>
          <w:szCs w:val="18"/>
          <w:u w:val="single" w:color="auto"/>
          <w:color w:val="auto"/>
        </w:rPr>
        <w:t>Administrative Services</w:t>
      </w:r>
      <w:r>
        <w:rPr>
          <w:rFonts w:ascii="Arial" w:cs="Arial" w:eastAsia="Arial" w:hAnsi="Arial"/>
          <w:sz w:val="18"/>
          <w:szCs w:val="18"/>
          <w:color w:val="auto"/>
        </w:rPr>
        <w:t>. The Company has entered into an agreement (“</w:t>
      </w:r>
      <w:r>
        <w:rPr>
          <w:rFonts w:ascii="Arial" w:cs="Arial" w:eastAsia="Arial" w:hAnsi="Arial"/>
          <w:sz w:val="18"/>
          <w:szCs w:val="18"/>
          <w:b w:val="1"/>
          <w:bCs w:val="1"/>
          <w:color w:val="auto"/>
        </w:rPr>
        <w:t>Services Agreement</w:t>
      </w:r>
      <w:r>
        <w:rPr>
          <w:rFonts w:ascii="Arial" w:cs="Arial" w:eastAsia="Arial" w:hAnsi="Arial"/>
          <w:sz w:val="18"/>
          <w:szCs w:val="18"/>
          <w:color w:val="auto"/>
        </w:rPr>
        <w:t>”) with SPAC Partners LLC (“</w:t>
      </w:r>
      <w:r>
        <w:rPr>
          <w:rFonts w:ascii="Arial" w:cs="Arial" w:eastAsia="Arial" w:hAnsi="Arial"/>
          <w:sz w:val="18"/>
          <w:szCs w:val="18"/>
          <w:b w:val="1"/>
          <w:bCs w:val="1"/>
          <w:color w:val="auto"/>
        </w:rPr>
        <w:t>Provider</w:t>
      </w:r>
      <w:r>
        <w:rPr>
          <w:rFonts w:ascii="Arial" w:cs="Arial" w:eastAsia="Arial" w:hAnsi="Arial"/>
          <w:sz w:val="18"/>
          <w:szCs w:val="18"/>
          <w:color w:val="auto"/>
        </w:rPr>
        <w:t>”), an affiliate of the Company’s Chief Executive Officer, substantially in the form annexed as an exhibit to the Registration Statement pursuant to which the Provider will make available to the Company, on the terms and subject to the conditions set forth therein, general and administrative services including office space, utilities and secretarial support for the Company’s use for $10,000 per month payable until the earlier of the consummation by the Company of a Business Combination or the liquidation of the Trust Account.</w:t>
      </w:r>
    </w:p>
    <w:p>
      <w:pPr>
        <w:spacing w:after="0" w:line="18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2.24.7. </w:t>
      </w:r>
      <w:r>
        <w:rPr>
          <w:rFonts w:ascii="Arial" w:cs="Arial" w:eastAsia="Arial" w:hAnsi="Arial"/>
          <w:sz w:val="18"/>
          <w:szCs w:val="18"/>
          <w:u w:val="single" w:color="auto"/>
          <w:color w:val="auto"/>
        </w:rPr>
        <w:t>Escrow Agreement</w:t>
      </w:r>
      <w:r>
        <w:rPr>
          <w:rFonts w:ascii="Arial" w:cs="Arial" w:eastAsia="Arial" w:hAnsi="Arial"/>
          <w:sz w:val="18"/>
          <w:szCs w:val="18"/>
          <w:color w:val="auto"/>
        </w:rPr>
        <w:t>. The Company has caused the holders of the Insider Shares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CST&amp;T substantially in the form filed as an exhibit to the Registration Statement whereby the Insider Shares will be held in escrow by</w:t>
      </w:r>
      <w:r>
        <w:rPr>
          <w:rFonts w:ascii="Arial" w:cs="Arial" w:eastAsia="Arial" w:hAnsi="Arial"/>
          <w:sz w:val="18"/>
          <w:szCs w:val="18"/>
          <w:b w:val="1"/>
          <w:bCs w:val="1"/>
          <w:color w:val="auto"/>
        </w:rPr>
        <w:t xml:space="preserve"> </w:t>
      </w:r>
      <w:r>
        <w:rPr>
          <w:rFonts w:ascii="Arial" w:cs="Arial" w:eastAsia="Arial" w:hAnsi="Arial"/>
          <w:sz w:val="18"/>
          <w:szCs w:val="18"/>
          <w:color w:val="auto"/>
        </w:rPr>
        <w:t>CST&amp;T for a period set forth in the Escrow Agreement (the “</w:t>
      </w:r>
      <w:r>
        <w:rPr>
          <w:rFonts w:ascii="Arial" w:cs="Arial" w:eastAsia="Arial" w:hAnsi="Arial"/>
          <w:sz w:val="18"/>
          <w:szCs w:val="18"/>
          <w:b w:val="1"/>
          <w:bCs w:val="1"/>
          <w:color w:val="auto"/>
        </w:rPr>
        <w:t>Escrow Period</w:t>
      </w:r>
      <w:r>
        <w:rPr>
          <w:rFonts w:ascii="Arial" w:cs="Arial" w:eastAsia="Arial" w:hAnsi="Arial"/>
          <w:sz w:val="18"/>
          <w:szCs w:val="18"/>
          <w:color w:val="auto"/>
        </w:rPr>
        <w:t>”). During the Escrow Period, such parties shall be prohibited from selling or otherwise transferring such Insider Shares, except in certain limited circumstances set forth in the Escrow Agreement. To the Company’s knowledge, the Escrow Agreement is enforceable against the holders of Insider Shares and will not, with or without the giving of notice or the lapse of time or both, result in a breach of, or conflict with, any of the terms and provisions of, or constitute a default under, an agreement or instrument to which the holders of the Insider Shares is a party.</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Investment Management Trust Agreement</w:t>
      </w:r>
      <w:r>
        <w:rPr>
          <w:rFonts w:ascii="Arial" w:cs="Arial" w:eastAsia="Arial" w:hAnsi="Arial"/>
          <w:sz w:val="17"/>
          <w:szCs w:val="17"/>
          <w:color w:val="auto"/>
        </w:rPr>
        <w:t>. The Company has entered into the Trust Agreement with respect to certain proceeds of the Offering and the Private Placement substantially in the form filed as an exhibit to the Registration Statement, pursuant to which the funds held in the Trust Account may be released under limited circumstances. The Trust Agreement shall not be amended, modified or otherwise changed in any way that modifies the rights or obligations of the Company without the prior written consent of the Representative.</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Business Combination Marketing Agreement</w:t>
      </w:r>
      <w:r>
        <w:rPr>
          <w:rFonts w:ascii="Arial" w:cs="Arial" w:eastAsia="Arial" w:hAnsi="Arial"/>
          <w:sz w:val="16"/>
          <w:szCs w:val="16"/>
          <w:color w:val="auto"/>
        </w:rPr>
        <w:t>. The Company and the Representative have entered into a separate business combination marketing agreement substantially in the form filed as an exhibit to the Registration Statement (the “</w:t>
      </w:r>
      <w:r>
        <w:rPr>
          <w:rFonts w:ascii="Arial" w:cs="Arial" w:eastAsia="Arial" w:hAnsi="Arial"/>
          <w:sz w:val="16"/>
          <w:szCs w:val="16"/>
          <w:b w:val="1"/>
          <w:bCs w:val="1"/>
          <w:color w:val="auto"/>
        </w:rPr>
        <w:t>Business Combination Marketing Agreement</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has entered into a warrant agreement with respect to the Warrants, Private Warrants and any other warrants that may be issued by the Company with CST&amp;T substantially in the form filed as an exhibit to the Registration Statement (the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u w:val="single" w:color="auto"/>
          <w:color w:val="auto"/>
        </w:rPr>
        <w:t>Investments</w:t>
      </w:r>
      <w:r>
        <w:rPr>
          <w:rFonts w:ascii="Arial" w:cs="Arial" w:eastAsia="Arial" w:hAnsi="Arial"/>
          <w:sz w:val="16"/>
          <w:szCs w:val="16"/>
          <w:color w:val="auto"/>
        </w:rPr>
        <w:t>. No more than 45% of the “value” (as defined in Section 2(a)(41) of the Investment Company Act of 1940 (“</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color w:val="auto"/>
        </w:rPr>
        <w:t>Company Act</w:t>
      </w:r>
      <w:r>
        <w:rPr>
          <w:rFonts w:ascii="Arial" w:cs="Arial" w:eastAsia="Arial" w:hAnsi="Arial"/>
          <w:sz w:val="16"/>
          <w:szCs w:val="16"/>
          <w:color w:val="auto"/>
        </w:rPr>
        <w:t>”)) of the Company’s total assets (exclusive of cash items and “Government Securities,” as defined in Section 2(a)(16) of the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Act) consist of, and no more than 45% of the Company’s net income after taxes is derived from, securities other than Government Securities.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Public Securities as herein contemplated and the application of the net proceeds therefrom as described in the Prospectus will not be required, to register as an “investment company” under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No relationship, direct or indirect, exists between or among any of the Company or any Company Affiliate, on the one hand, and any director, executive officer, nominee for director, any 5% or greater shareholder or any of their respective immediate family members (collectively, “</w:t>
      </w:r>
      <w:r>
        <w:rPr>
          <w:rFonts w:ascii="Arial" w:cs="Arial" w:eastAsia="Arial" w:hAnsi="Arial"/>
          <w:sz w:val="17"/>
          <w:szCs w:val="17"/>
          <w:b w:val="1"/>
          <w:bCs w:val="1"/>
          <w:color w:val="auto"/>
        </w:rPr>
        <w:t>Related Parties</w:t>
      </w:r>
      <w:r>
        <w:rPr>
          <w:rFonts w:ascii="Arial" w:cs="Arial" w:eastAsia="Arial" w:hAnsi="Arial"/>
          <w:sz w:val="17"/>
          <w:szCs w:val="17"/>
          <w:color w:val="auto"/>
        </w:rPr>
        <w:t>”), on the other hand, which is required by the Act, the Exchange Act or the Regulations to be described in the Registration Statement, the Statutory Prospectus and the Prospectus, which is not so described as required. There are no outstanding loans, advances or guarantees of indebtedness by the Company to or for the benefit of any of the Related Parties, except as disclosed in the Registration Statement, the Statutory Prospectus and the Prospectus. The Company has not extended or maintained credit, arranged for the extension of credit, or renewed an extension of credit, in the form of a personal loan to or for any Related Party.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a journalist or publication to write or publish favorable information about the Company or any such affiliate.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material compliance with the provisions of the Sarbanes-Oxley Act of 2002, as amended (“</w:t>
      </w:r>
      <w:r>
        <w:rPr>
          <w:rFonts w:ascii="Arial" w:cs="Arial" w:eastAsia="Arial" w:hAnsi="Arial"/>
          <w:sz w:val="18"/>
          <w:szCs w:val="18"/>
          <w:b w:val="1"/>
          <w:bCs w:val="1"/>
          <w:color w:val="auto"/>
        </w:rPr>
        <w:t>SOX</w:t>
      </w:r>
      <w:r>
        <w:rPr>
          <w:rFonts w:ascii="Arial" w:cs="Arial" w:eastAsia="Arial" w:hAnsi="Arial"/>
          <w:sz w:val="18"/>
          <w:szCs w:val="18"/>
          <w:color w:val="auto"/>
        </w:rPr>
        <w:t>”), and the rules and regulations promulgated thereunder and related or similar rules and regulations promulgated by any governmental or self-regulatory entity or agency, that are applicable to it as of the date hereof.</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Nasdaq Eligibility</w:t>
      </w:r>
      <w:r>
        <w:rPr>
          <w:rFonts w:ascii="Arial" w:cs="Arial" w:eastAsia="Arial" w:hAnsi="Arial"/>
          <w:sz w:val="18"/>
          <w:szCs w:val="18"/>
          <w:color w:val="auto"/>
        </w:rPr>
        <w:t>. As of the Effective Date, the Public Securities have been approved for listing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subject to official notice of issuance and evidence of satisfactory distribution. There is and has been no failure on the part of the Company or any of the Company’s directors or officers, in their capacities as such, to comply with (as and when applicable), and immediately following the effectiveness of the Registration Statement the Company will be in compliance with, the rules of Nasdaq, as amended.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u w:val="single" w:color="auto"/>
          <w:color w:val="auto"/>
        </w:rPr>
        <w:t>Emerging Growth Status</w:t>
      </w:r>
      <w:r>
        <w:rPr>
          <w:rFonts w:ascii="Arial" w:cs="Arial" w:eastAsia="Arial" w:hAnsi="Arial"/>
          <w:sz w:val="18"/>
          <w:szCs w:val="18"/>
          <w:color w:val="auto"/>
        </w:rPr>
        <w:t>. From the date of the Company’s formation through the date hereof, the Company has been and is an “emerging growth company,” as defined in Section 2(a)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2.36. </w:t>
      </w:r>
      <w:r>
        <w:rPr>
          <w:rFonts w:ascii="Arial" w:cs="Arial" w:eastAsia="Arial" w:hAnsi="Arial"/>
          <w:sz w:val="16"/>
          <w:szCs w:val="16"/>
          <w:u w:val="single" w:color="auto"/>
          <w:color w:val="auto"/>
        </w:rPr>
        <w:t>Free-Writing Prospectus and Testing-the-Waters</w:t>
      </w:r>
      <w:r>
        <w:rPr>
          <w:rFonts w:ascii="Arial" w:cs="Arial" w:eastAsia="Arial" w:hAnsi="Arial"/>
          <w:sz w:val="16"/>
          <w:szCs w:val="16"/>
          <w:color w:val="auto"/>
        </w:rPr>
        <w:t>. The Company has not made any offer relating to the Public Securities that would constitute an issuer free writing prospectus, as defined in Rule 433 under the Act, or that would otherwise constitute a “free writing prospectus” as defined in Rule</w:t>
      </w:r>
    </w:p>
    <w:p>
      <w:pPr>
        <w:jc w:val="both"/>
        <w:ind w:firstLine="8"/>
        <w:spacing w:after="0" w:line="252"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 has not engaged in any Testing-the-Waters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(b) has not authorized anyone to engage in Testing-the-Waters Communications other than its officers and the Representative and individuals engaged by the Representative. The Company has not distributed any written Testing-the-Waters Communications other than those listed on Schedule B hereto. As used herein, “Testing-the-Waters Communication” means any oral or written communication with potential investors undertaken in reliance on Section 5(d)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maintains effective “disclosure controls and procedures” (as defined under Rule 13a-15(e) under the Exchange Act to the extent required by such rule).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herein,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Company’s executive officers and directors, with the assumption that such officers and directors shall have made reasonable and diligent inquiry of the matters presented.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shall not file any such amendment or supplement to which the Representative shall reasonably object in writing.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Compliance</w:t>
      </w:r>
      <w:r>
        <w:rPr>
          <w:rFonts w:ascii="Arial" w:cs="Arial" w:eastAsia="Arial" w:hAnsi="Arial"/>
          <w:sz w:val="17"/>
          <w:szCs w:val="17"/>
          <w:color w:val="auto"/>
        </w:rPr>
        <w:t>.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Statutory Prospectus and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Statutory Prospectus and Prospectus to comply with the Act, the Company will notify the Representative promptly and prepare and file with the Commission, subject to Section 3.1 hereof, an appropriate amendment to the Registration Statement or amendment or supplement to the Statutory Prospectus and Prospectus (at the expense of the Company) so as to correct such statement or omission or effect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 of 42</w:t>
      </w:r>
    </w:p>
    <w:p>
      <w:pPr>
        <w:spacing w:after="0" w:line="200" w:lineRule="exact"/>
        <w:rPr>
          <w:sz w:val="20"/>
          <w:szCs w:val="20"/>
          <w:color w:val="auto"/>
        </w:rPr>
      </w:pPr>
    </w:p>
    <w:p>
      <w:pPr>
        <w:spacing w:after="0" w:line="33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promptly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Exchange Act Registration</w:t>
      </w:r>
      <w:r>
        <w:rPr>
          <w:rFonts w:ascii="Arial" w:cs="Arial" w:eastAsia="Arial" w:hAnsi="Arial"/>
          <w:sz w:val="17"/>
          <w:szCs w:val="17"/>
          <w:color w:val="auto"/>
        </w:rPr>
        <w:t>. For a period of five years from the Effective Date (except in connection with a going private transaction), or until such earlier time upon which the Trust Account is to be liquidated if a Business Combination has not been consummated by the Termination Date: the Company (i) will use its best efforts to maintain the registration of the Subunits (until the Subunits separate upon consummation of a Business Combination), the shares of Common Stock and Warrants under the provisions of the Exchange Act and (ii) will not deregister the Subunits, the shares of Common Stock or Warrants under the Exchange Act without the prior written consent of the Representative.</w:t>
      </w:r>
    </w:p>
    <w:p>
      <w:pPr>
        <w:spacing w:after="0" w:line="17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Free Writing Prospectuses</w:t>
      </w:r>
      <w:r>
        <w:rPr>
          <w:rFonts w:ascii="Arial" w:cs="Arial" w:eastAsia="Arial" w:hAnsi="Arial"/>
          <w:sz w:val="18"/>
          <w:szCs w:val="18"/>
          <w:color w:val="auto"/>
        </w:rPr>
        <w:t>. The Company agrees that it will not make any offer relating to the Public Securities that would constitute an issuer free writing prospectus, as defined in Rule 433 under the Act.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Sarbanes-Oxley Compliance</w:t>
      </w:r>
      <w:r>
        <w:rPr>
          <w:rFonts w:ascii="Arial" w:cs="Arial" w:eastAsia="Arial" w:hAnsi="Arial"/>
          <w:sz w:val="17"/>
          <w:szCs w:val="17"/>
          <w:color w:val="auto"/>
        </w:rPr>
        <w:t>. As soon as it is legally required to do so, the Company shall take all actions necessary to obtain and thereafter maintain material compliance with each applicable provision of SOX and the rules and regulations promulgated thereunder and related or similar rules and regulations promulgated by any other governmental or self-regulatory entity or agency with jurisdiction over the Company.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will promptly notify the Representative if the Company ceases to be an Emerging Growth Company at any time prior to the earlier of five years after the consummation of the Company’s initial Business Combination, or the liquidation of the Trust Account if a Business Combination is not consummated by the Termination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Delivery of Materials to Underwriters</w:t>
      </w:r>
      <w:r>
        <w:rPr>
          <w:rFonts w:ascii="Arial" w:cs="Arial" w:eastAsia="Arial" w:hAnsi="Arial"/>
          <w:sz w:val="17"/>
          <w:szCs w:val="17"/>
          <w:color w:val="auto"/>
        </w:rPr>
        <w:t>. The Company will deliver to each of the several Underwriters, without charge and from time to time during the period when a prospectus is required to be delivered under the Act or the Exchange Act, such number of copies of each Statutory Prospectus, the Prospectus and all amendments and supplements to such documents as such Underwriters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Effectiveness and Events Requiring Notice to the Representative</w:t>
      </w:r>
      <w:r>
        <w:rPr>
          <w:rFonts w:ascii="Arial" w:cs="Arial" w:eastAsia="Arial" w:hAnsi="Arial"/>
          <w:sz w:val="16"/>
          <w:szCs w:val="16"/>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foreign or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3.6 hereof that, in the judgment of the Company or its counsel, makes any statement of a material fact made in the Registration Statement, the Statutory Prospectus or the Prospectus untrue or that requires the making of any changes in the Registration Statement, the Statutory Prospectus and Prospectus in order to make the statements therein, (with respect to the Prospectus and the Statutory Prospectus and in light of the circumstances under which they were made), not misleading. If the Commission or any foreign or state securities commission shall enter a stop order or suspend such qualification at any time, the Company will make every reasonable effort to obtain promptly the lifting of such order.</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years from the Effective Date, or until the liquidation of the Trust Account if a Business Combination is not consummated by the Termination Date, the Company, at its expense, shall cause its regularly engaged independent certified public accountants to review (but not audit) the Company’s financial statements for each of the first three fiscal quarters prior to the announcement of quarterly financial information, the filing of the Company’s Form 10-Q quarterly report.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Affiliated Transactions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u w:val="single" w:color="auto"/>
          <w:color w:val="auto"/>
        </w:rPr>
        <w:t>Business Combinations</w:t>
      </w:r>
      <w:r>
        <w:rPr>
          <w:rFonts w:ascii="Arial" w:cs="Arial" w:eastAsia="Arial" w:hAnsi="Arial"/>
          <w:sz w:val="18"/>
          <w:szCs w:val="18"/>
          <w:color w:val="auto"/>
        </w:rPr>
        <w:t>. The Company will not consummate a Business Combination with an entity that is affiliated with any Insider unless in each case the Company obtains an opinion from an independent investment banking firm or another independent entity that commonly renders valuation opinions that the Business Combination is fair to the Company from a financial point of view and a majority of the Company’s disinterested and independent directors (if there are any) approve such transaction.</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u w:val="single" w:color="auto"/>
          <w:color w:val="auto"/>
        </w:rPr>
        <w:t>Compensation</w:t>
      </w:r>
      <w:r>
        <w:rPr>
          <w:rFonts w:ascii="Arial" w:cs="Arial" w:eastAsia="Arial" w:hAnsi="Arial"/>
          <w:sz w:val="18"/>
          <w:szCs w:val="18"/>
          <w:color w:val="auto"/>
        </w:rPr>
        <w:t>. Except as disclosed in the Registration Statement, the Company shall not pay any Insider or Company Affiliate or any of their affiliates any fees or compensation for services rendered to the Company prior to, or in connection with, either this Offering or the Business Combination.</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Secondary Market Trading and Standard &amp; Poor’s</w:t>
      </w:r>
      <w:r>
        <w:rPr>
          <w:rFonts w:ascii="Arial" w:cs="Arial" w:eastAsia="Arial" w:hAnsi="Arial"/>
          <w:sz w:val="17"/>
          <w:szCs w:val="17"/>
          <w:color w:val="auto"/>
        </w:rPr>
        <w:t>. If the Company does not maintain the listing of the Public Securities on Nasdaq or another national securities exchange, the Company will (i) apply to be included in Standard &amp; Poor’s Daily News and Corporation Records Corporate Descriptions for a period of five years from the consummation of a Business Combination, (ii) take such commercially reasonable steps as may be necessary to obtain a secondary market trading exemption for the Company’s securities in the State of California and (iii) take such other action as may be reasonably requested by the Representative to obtain a secondary market trading exemption in such other states as may be requested by the Representative; provided that no qualification shall be required in any jurisdiction where, as a result thereof, the Company would be subject to service of general process or to taxation as a foreign corporation doing business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Investor Relations Firm</w:t>
      </w:r>
      <w:r>
        <w:rPr>
          <w:rFonts w:ascii="Arial" w:cs="Arial" w:eastAsia="Arial" w:hAnsi="Arial"/>
          <w:sz w:val="18"/>
          <w:szCs w:val="18"/>
          <w:color w:val="auto"/>
        </w:rPr>
        <w:t>. Promptly after the execution of a definitive agreement for a Business Combination, the Company shall retain an investor relations firm with the expertise necessary to assist the Company both before and after the consummation of the Business Combination for a term to be agreed upon by the Company and the Representative.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Reports to the Representative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3.11.1. </w:t>
      </w:r>
      <w:r>
        <w:rPr>
          <w:rFonts w:ascii="Arial" w:cs="Arial" w:eastAsia="Arial" w:hAnsi="Arial"/>
          <w:sz w:val="17"/>
          <w:szCs w:val="17"/>
          <w:u w:val="single" w:color="auto"/>
          <w:color w:val="auto"/>
        </w:rPr>
        <w:t>Periodic Reports, etc.</w:t>
      </w:r>
      <w:r>
        <w:rPr>
          <w:rFonts w:ascii="Arial" w:cs="Arial" w:eastAsia="Arial" w:hAnsi="Arial"/>
          <w:sz w:val="17"/>
          <w:szCs w:val="17"/>
          <w:color w:val="auto"/>
        </w:rPr>
        <w:t xml:space="preserve"> For a period of five years from the Effective Date or until such earlier time upon which the Company is required to be liquidated and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Current Report on Form 8-K and any Schedules 13D, 13G, 14D-1 or 13E-4 received or prepared by the Company; (iv) five copies of each registration statement filed by the Company with the Commission under the Securities Act; and (v) such additional documents and information with respect to the Company and the affairs of any future subsidiaries of the Company as the Representative may from time to time reasonably request; provided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shall be deemed to have been delivered to the Representative pursuant to this section.</w:t>
      </w:r>
    </w:p>
    <w:p>
      <w:pPr>
        <w:spacing w:after="0" w:line="182"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3.11.2. For a period of five years following the Effective Date or until such earlier time upon which the Company is required to be liquidated, the Company shall retain a transfer agent and warrant agent acceptable to the Representative. CST&amp;T is acceptable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hereby agrees to pay on each of the Closing Date and the Option Closing Date, if any, to the extent not paid at Closing Date, or such later date as may be agreed to by the Representative in its sole discretion, all fees and expenses incident to the performance of the obligations of the Company under this Agreement, including, but not limited to: (i) the preparation, printing, filing and mailing (including the payment of postage with respect to such mailing) of the Registration Statement, the Statutory Prospectus, and the final Prospectus and mailing of this Agreement and related documents, including the cost of all copies thereof and any amendments thereof or supplements thereto supplied to the Underwriters in quantities as may be required by the Underwriters; (ii) the printing, engraving, issuance and delivery of the Units, Subunits, Common Stock and Warrants included in the Units, including any transfer or other taxes payable thereon; (iii) Nasdaq filing fees or, if necessary, the qualification of the Public Securities under state or foreign securities or Blue Sky laws; (iv) fees and expenses (including the fees and expenses of counsel for the Underwriters not to exceed $15,000) incurred in registering the Offering with FINRA; (v) fees and disbursements of the transfer and warrant agent; (vi) the preparation and delivery of transaction lucite cubes or similar commemorative items in a style and quantity as reasonably requested by the Representative (not to exceed $3,000); (vii) all costs and expenses of the Company associated with “road show” marketing and “due diligence” trips for the Company’s management to meet with prospective investors, including without limitation, all travel, food and lodging expenses associated with such trips incurred by the Company or such management; and (viii) all other costs and expenses customarily borne by an issuer incident to the performance of its obligations hereunder which are not otherwise specifically provided for in this Section 3.12. The Company also agrees that it will pay for an investigative search firm of the Representative’s choice to conduct an investigation of the principals of the Company as shall be mutually selected by the Representative and the Company (not to exceed $3,500 per individual). If the Offering is consummated, the Representative may deduct from the net proceeds of the Offering payable to the Company on the Closing Date the expenses set forth above (which shall be mutually agreed upon between the Company and the Representative prior to the Closing Date) to be paid by the Company to the Representative and others. If the Offering is not consummated for any reason (other than a breach by the Representative of any of its obligations hereunder), then the Company shall reimburse the Representative in full for its out-of-pocket accountable expenses actually incurred through such date, including, without limitation, reasonable fees and disbursements of counsel to the Representative.</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this Offering received by it in a manner substantially consistent with the application described under the caption “Use of Proceeds” in the Prospectus.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Delivery of Earnings Statements to Security Holders</w:t>
      </w:r>
      <w:r>
        <w:rPr>
          <w:rFonts w:ascii="Arial" w:cs="Arial" w:eastAsia="Arial" w:hAnsi="Arial"/>
          <w:sz w:val="17"/>
          <w:szCs w:val="17"/>
          <w:color w:val="auto"/>
        </w:rPr>
        <w:t>. The Company will make generally available to its security holders as soon as practicable, but not later than the first day of the sixteenth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consecutive months beginning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 of 42</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3.15.1. </w:t>
      </w:r>
      <w:r>
        <w:rPr>
          <w:rFonts w:ascii="Arial" w:cs="Arial" w:eastAsia="Arial" w:hAnsi="Arial"/>
          <w:sz w:val="16"/>
          <w:szCs w:val="16"/>
          <w:u w:val="single" w:color="auto"/>
          <w:color w:val="auto"/>
        </w:rPr>
        <w:t>Assistance with Business Combination</w:t>
      </w:r>
      <w:r>
        <w:rPr>
          <w:rFonts w:ascii="Arial" w:cs="Arial" w:eastAsia="Arial" w:hAnsi="Arial"/>
          <w:sz w:val="16"/>
          <w:szCs w:val="16"/>
          <w:color w:val="auto"/>
        </w:rPr>
        <w:t>. For a period of sixty days following the Effective Date, in the event any person or entity (regardless of any FINRA affiliation or association) is engaged to assist the Company in its search for a Business Combination candidate or to provide any similar Business Combination-related services, the Company will provide the following information (the “</w:t>
      </w:r>
      <w:r>
        <w:rPr>
          <w:rFonts w:ascii="Arial" w:cs="Arial" w:eastAsia="Arial" w:hAnsi="Arial"/>
          <w:sz w:val="16"/>
          <w:szCs w:val="16"/>
          <w:b w:val="1"/>
          <w:bCs w:val="1"/>
          <w:color w:val="auto"/>
        </w:rPr>
        <w:t>Business Combination Information</w:t>
      </w:r>
      <w:r>
        <w:rPr>
          <w:rFonts w:ascii="Arial" w:cs="Arial" w:eastAsia="Arial" w:hAnsi="Arial"/>
          <w:sz w:val="16"/>
          <w:szCs w:val="16"/>
          <w:color w:val="auto"/>
        </w:rPr>
        <w:t>”) to the Representative: (i) complete details of all services and copies of agreements governing such services (which details or agreements may be appropriately redacted to account for privilege or confidentiality concerns); and (ii) justification as to why the person or entity providing the Business Combination-related services should not be considered an “underwriter and related person” with respect to the Company’s initial public offering, as such term is defined in Rule 5110 of FINRA’s Conduct Rules. The Company also agrees that proper disclosure of such arrangement or potential arrangement will be made in the proxy statement which the Company will file for purposes of soliciting stockholder approval for the Business Combination. Upon the Company’s delivery of the Business Combination Information to the Representative, the Company hereby expressly authorizes the Representative to provide such information directly to FINRA as a result of representations the Representative have made to FINRA in connection with the Offering.</w:t>
      </w:r>
    </w:p>
    <w:p>
      <w:pPr>
        <w:spacing w:after="0" w:line="16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3.15.2. </w:t>
      </w:r>
      <w:r>
        <w:rPr>
          <w:rFonts w:ascii="Arial" w:cs="Arial" w:eastAsia="Arial" w:hAnsi="Arial"/>
          <w:sz w:val="18"/>
          <w:szCs w:val="18"/>
          <w:u w:val="single" w:color="auto"/>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the Representative.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officers,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Internal Controls</w:t>
      </w:r>
      <w:r>
        <w:rPr>
          <w:rFonts w:ascii="Arial" w:cs="Arial" w:eastAsia="Arial" w:hAnsi="Arial"/>
          <w:sz w:val="17"/>
          <w:szCs w:val="17"/>
          <w:color w:val="auto"/>
        </w:rPr>
        <w:t>. From and after the Closing Date,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Accountants</w:t>
      </w:r>
      <w:r>
        <w:rPr>
          <w:rFonts w:ascii="Arial" w:cs="Arial" w:eastAsia="Arial" w:hAnsi="Arial"/>
          <w:sz w:val="17"/>
          <w:szCs w:val="17"/>
          <w:color w:val="auto"/>
        </w:rPr>
        <w:t>. For a period of five years from the Effective Date or until such earlier time upon which the Trust Account is required to be liquidated, the Company shall retain Marcum or other independent public accountants reasonably acceptable to the Representative.</w:t>
      </w:r>
    </w:p>
    <w:p>
      <w:pPr>
        <w:spacing w:after="0" w:line="1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Form 8-K’s</w:t>
      </w:r>
      <w:r>
        <w:rPr>
          <w:rFonts w:ascii="Arial" w:cs="Arial" w:eastAsia="Arial" w:hAnsi="Arial"/>
          <w:sz w:val="17"/>
          <w:szCs w:val="17"/>
          <w:color w:val="auto"/>
        </w:rPr>
        <w:t>. The Company has retained Marcum to audit the balance sheet of the Company as of the Closing Date (the “</w:t>
      </w:r>
      <w:r>
        <w:rPr>
          <w:rFonts w:ascii="Arial" w:cs="Arial" w:eastAsia="Arial" w:hAnsi="Arial"/>
          <w:sz w:val="17"/>
          <w:szCs w:val="17"/>
          <w:b w:val="1"/>
          <w:bCs w:val="1"/>
          <w:color w:val="auto"/>
        </w:rPr>
        <w:t>Audited Balance</w:t>
      </w:r>
      <w:r>
        <w:rPr>
          <w:rFonts w:ascii="Arial" w:cs="Arial" w:eastAsia="Arial" w:hAnsi="Arial"/>
          <w:sz w:val="17"/>
          <w:szCs w:val="17"/>
          <w:color w:val="auto"/>
        </w:rPr>
        <w:t xml:space="preserve"> </w:t>
      </w:r>
      <w:r>
        <w:rPr>
          <w:rFonts w:ascii="Arial" w:cs="Arial" w:eastAsia="Arial" w:hAnsi="Arial"/>
          <w:sz w:val="17"/>
          <w:szCs w:val="17"/>
          <w:b w:val="1"/>
          <w:bCs w:val="1"/>
          <w:color w:val="auto"/>
        </w:rPr>
        <w:t>Sheet</w:t>
      </w:r>
      <w:r>
        <w:rPr>
          <w:rFonts w:ascii="Arial" w:cs="Arial" w:eastAsia="Arial" w:hAnsi="Arial"/>
          <w:sz w:val="17"/>
          <w:szCs w:val="17"/>
          <w:color w:val="auto"/>
        </w:rPr>
        <w:t>”) reflecting the receipt by the Company of the proceeds of the Offering and the Private Placement. Within four (4) Business Days of the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Company shall file a Current Report on Form 8-K with the Commission, which Report shall contain the Company’s Audited Balance Sheet. If the Over-Allotment Option has not been exercised on the Effective Date, the Company will also file an amendment to the Form 8-K, or a new Form 8-K, to provide updated financial information of the Company to reflect the exercise and consummation of the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FINRA</w:t>
      </w:r>
      <w:r>
        <w:rPr>
          <w:rFonts w:ascii="Arial" w:cs="Arial" w:eastAsia="Arial" w:hAnsi="Arial"/>
          <w:sz w:val="17"/>
          <w:szCs w:val="17"/>
          <w:color w:val="auto"/>
        </w:rPr>
        <w:t>. Until the Option Closing Date, if any, the Company shall advise the Representative if it is aware that any 5% or greater stockholder of the Company becomes an affiliate or associated person of a FINRA member participating in the distribution of the Public Securities.</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shall cause the proceeds of the Offering to be held in the Trust Account to be invested only as set forth in the Trust Agreement as in effect on the date hereof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the Representative’s prior written consent (not to be unreasonably withheld), for a period of twenty-five (25) days after the Closing Date; provided that in no event shall the Company be prohibited from issuing any press release or engaging in any other publicity required by law.</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Electronic Prospectus</w:t>
      </w:r>
      <w:r>
        <w:rPr>
          <w:rFonts w:ascii="Arial" w:cs="Arial" w:eastAsia="Arial" w:hAnsi="Arial"/>
          <w:sz w:val="16"/>
          <w:szCs w:val="16"/>
          <w:color w:val="auto"/>
        </w:rPr>
        <w:t>. The Company shall cause to be prepared and delivered to the Representative, at its expense, promptly, but in no event later than two (2) Business Days from the effective date of this Agreement, an Electronic Prospectus to be used by the Underwriters in connection with the Offering.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Act, the Company shall transmit or cause to be transmitted promptly, without charge, a paper copy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Future Financings</w:t>
      </w:r>
      <w:r>
        <w:rPr>
          <w:rFonts w:ascii="Arial" w:cs="Arial" w:eastAsia="Arial" w:hAnsi="Arial"/>
          <w:sz w:val="18"/>
          <w:szCs w:val="18"/>
          <w:color w:val="auto"/>
        </w:rPr>
        <w:t>. The Company agrees that neither it, nor any successor or subsidiary of the Company, will consummate any public or private equity or debt financing prior to or in connection with the consummation of a Business Combination, unless all investors in such financing expressly waive, in writing, any rights in or claims against the Trust Account.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Nasdaq Maintenance</w:t>
      </w:r>
      <w:r>
        <w:rPr>
          <w:rFonts w:ascii="Arial" w:cs="Arial" w:eastAsia="Arial" w:hAnsi="Arial"/>
          <w:sz w:val="18"/>
          <w:szCs w:val="18"/>
          <w:color w:val="auto"/>
        </w:rPr>
        <w:t>. Until the consummation of a Business Combination, the Company will use commercially reasonable efforts to maintain the listing by Nasdaq of the Units and the Subunits and Warrants included within the Units.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On the Closing Date, the Company shall cause to be deposited $3,900,000 of proceeds from the Private Placement into the Trust Account. On the Option Closing Date, if any, the Company shall cause to be deposited an amount of additional proceeds from the additional Private Units sold on the Option Closing Date into the Trust Account such that the amount of funds in the Trust Account shall be $10.00 per Public Share sold in the Offering.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pursuant to the Warrants and the Private Warrants (as well as any other warrants that may be issued and covered by the Warrant Agreement) outstanding from time to time.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Testing-the-Waters Communications</w:t>
      </w:r>
      <w:r>
        <w:rPr>
          <w:rFonts w:ascii="Arial" w:cs="Arial" w:eastAsia="Arial" w:hAnsi="Arial"/>
          <w:sz w:val="18"/>
          <w:szCs w:val="18"/>
          <w:color w:val="auto"/>
        </w:rPr>
        <w:t>. If at any time following the distribution of any Written Testing-the-Waters Communication, there occurred or occurs an event or development as a result of which such Written Testing-the-Waters Communication included or would include any untrue statement of a material fact or omitted or would omit to state any material fact necessary to make the statements therein in light of the circumstances existing at that subsequent time, not misleading, the Company will promptly (i) notify the Representative so that use of the Written Testing-the-Waters Communication may cease until it is amended or supplemented; (ii) amend or supplement, at its own expense, such Written Testing-the-Waters Communication to eliminate or correct such untrue statement or omission; and (iii) supply any amendment or supplement to the Representative in such quantities as may be reasonably requested.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Right of First Refusals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3.30.1. The Representative is hereby granted a right of first refusal for a period commencing on the consummation of this Offering and continuing until the consummation of an initial Business Combination (or the liquidation of the Trust Account in the event that the Company fails to consummate an initial Business Combination within the prescribed time period) to act as book running manager, placement agent and/or arranger for all financings where the Company seeks to raise equity, equity-linked, debt or mezzanine financings relating to or in connection with a Business Combination and to receive at least 35% of the aggregate gross spread or fees from any and all such financings (such gross spread or fees in any and all such financings to be mutually determined in good faith by the Company and the Representative and based on the prevailing market for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3.30.2. The Representative is hereby granted, for a period commencing on the consummation of this Offering and continuing until one year from the closing of the Business Combination, the right to act as lead underwriter for the next similar technology industry focused SPAC, or more broadly any U.S. registered public offering of securities for the purpose of raising capital and placing 90% or more of the proceeds in a trust or escrow account to be used to acquire one or more operating businesses that have not been identified at the time of the public offering, undertaken by any officer of the Company that either (i) includes any one or more of Messrs. Ball, Callinicos, Julia or Pai, or which (ii) has “Archimedes” in its corporate name. The terms of such offering shall be mutually determined in good faith by the applicable officer of the Company and the Representative and will be based on the prevailing market for similar offerings.</w:t>
      </w:r>
    </w:p>
    <w:p>
      <w:pPr>
        <w:spacing w:after="0" w:line="195"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to purchase and pay for the Public Securities, as provided herein, shall be subject to the continuing accuracy of the representations and warranties of the Company as of the date hereof and as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4.1.1.1. </w:t>
      </w:r>
      <w:r>
        <w:rPr>
          <w:rFonts w:ascii="Arial" w:cs="Arial" w:eastAsia="Arial" w:hAnsi="Arial"/>
          <w:sz w:val="18"/>
          <w:szCs w:val="18"/>
          <w:u w:val="single" w:color="auto"/>
          <w:color w:val="auto"/>
        </w:rPr>
        <w:t>Effectiveness of Registration Statement</w:t>
      </w:r>
      <w:r>
        <w:rPr>
          <w:rFonts w:ascii="Arial" w:cs="Arial" w:eastAsia="Arial" w:hAnsi="Arial"/>
          <w:sz w:val="18"/>
          <w:szCs w:val="18"/>
          <w:color w:val="auto"/>
        </w:rPr>
        <w:t>. The Registration Statement shall have become effective not later than 5:00 p.m., New York time, on the date of this Agreement or such later date and time as shall be consented to in writing by the Representative, and, at the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w:t>
      </w:r>
    </w:p>
    <w:p>
      <w:pPr>
        <w:spacing w:after="0" w:line="188" w:lineRule="exact"/>
        <w:rPr>
          <w:sz w:val="20"/>
          <w:szCs w:val="20"/>
          <w:color w:val="auto"/>
        </w:rPr>
      </w:pPr>
    </w:p>
    <w:p>
      <w:pPr>
        <w:jc w:val="both"/>
        <w:ind w:right="20" w:firstLine="1944"/>
        <w:spacing w:after="0" w:line="277" w:lineRule="auto"/>
        <w:rPr>
          <w:sz w:val="20"/>
          <w:szCs w:val="20"/>
          <w:color w:val="auto"/>
        </w:rPr>
      </w:pPr>
      <w:r>
        <w:rPr>
          <w:rFonts w:ascii="Arial" w:cs="Arial" w:eastAsia="Arial" w:hAnsi="Arial"/>
          <w:sz w:val="18"/>
          <w:szCs w:val="18"/>
          <w:color w:val="auto"/>
        </w:rPr>
        <w:t xml:space="preserve">4.1.1.2. </w:t>
      </w:r>
      <w:r>
        <w:rPr>
          <w:rFonts w:ascii="Arial" w:cs="Arial" w:eastAsia="Arial" w:hAnsi="Arial"/>
          <w:sz w:val="18"/>
          <w:szCs w:val="18"/>
          <w:u w:val="single" w:color="auto"/>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 of 42</w:t>
      </w:r>
    </w:p>
    <w:p>
      <w:pPr>
        <w:spacing w:after="0" w:line="200" w:lineRule="exact"/>
        <w:rPr>
          <w:sz w:val="20"/>
          <w:szCs w:val="20"/>
          <w:color w:val="auto"/>
        </w:rPr>
      </w:pPr>
    </w:p>
    <w:p>
      <w:pPr>
        <w:spacing w:after="0" w:line="33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4.1.1.3. </w:t>
      </w:r>
      <w:r>
        <w:rPr>
          <w:rFonts w:ascii="Arial" w:cs="Arial" w:eastAsia="Arial" w:hAnsi="Arial"/>
          <w:sz w:val="18"/>
          <w:szCs w:val="18"/>
          <w:u w:val="single" w:color="auto"/>
          <w:color w:val="auto"/>
        </w:rPr>
        <w:t>No Commission Stop Order</w:t>
      </w:r>
      <w:r>
        <w:rPr>
          <w:rFonts w:ascii="Arial" w:cs="Arial" w:eastAsia="Arial" w:hAnsi="Arial"/>
          <w:sz w:val="18"/>
          <w:szCs w:val="18"/>
          <w:color w:val="auto"/>
        </w:rPr>
        <w:t>. At the Closing Date, the Commission has not issued any order or threatened to issue any order preventing or suspending the use of any Preliminary Prospectus, the Prospectus or any part thereof, and has not instituted or, to the Company’s knowledge, threatened to institute any proceedings with respect to such an order.</w:t>
      </w:r>
    </w:p>
    <w:p>
      <w:pPr>
        <w:spacing w:after="0" w:line="184"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 xml:space="preserve">4.1.1.4. </w:t>
      </w:r>
      <w:r>
        <w:rPr>
          <w:rFonts w:ascii="Arial" w:cs="Arial" w:eastAsia="Arial" w:hAnsi="Arial"/>
          <w:sz w:val="18"/>
          <w:szCs w:val="18"/>
          <w:u w:val="single" w:color="auto"/>
          <w:color w:val="auto"/>
        </w:rPr>
        <w:t>Nasdaq Listing</w:t>
      </w:r>
      <w:r>
        <w:rPr>
          <w:rFonts w:ascii="Arial" w:cs="Arial" w:eastAsia="Arial" w:hAnsi="Arial"/>
          <w:sz w:val="18"/>
          <w:szCs w:val="18"/>
          <w:color w:val="auto"/>
        </w:rPr>
        <w:t>. The Public Securities shall have been approved for listing on Nasdaq, subject to official notice of issuance and evidence of satisfactory distribution.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Company Counsel Matters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7"/>
          <w:szCs w:val="17"/>
          <w:color w:val="auto"/>
        </w:rPr>
        <w:t xml:space="preserve">4.1.2.1. </w:t>
      </w:r>
      <w:r>
        <w:rPr>
          <w:rFonts w:ascii="Arial" w:cs="Arial" w:eastAsia="Arial" w:hAnsi="Arial"/>
          <w:sz w:val="17"/>
          <w:szCs w:val="17"/>
          <w:u w:val="single" w:color="auto"/>
          <w:color w:val="auto"/>
        </w:rPr>
        <w:t>Opinions of Company Counsel</w:t>
      </w:r>
      <w:r>
        <w:rPr>
          <w:rFonts w:ascii="Arial" w:cs="Arial" w:eastAsia="Arial" w:hAnsi="Arial"/>
          <w:sz w:val="17"/>
          <w:szCs w:val="17"/>
          <w:color w:val="auto"/>
        </w:rPr>
        <w:t>. On each of the Closing Date or the Option Closing Date, if any, the Representative shall have received the favorable opinion (along with negative assurance letter) of Loeb &amp; Loeb LLP, counsel to the Company, addressed to the Representative as representative for the several Underwriters and in form mutually agreed to by the Company and the Representative.</w:t>
      </w:r>
    </w:p>
    <w:p>
      <w:pPr>
        <w:spacing w:after="0" w:line="165"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4.1.2.2. </w:t>
      </w:r>
      <w:r>
        <w:rPr>
          <w:rFonts w:ascii="Arial" w:cs="Arial" w:eastAsia="Arial" w:hAnsi="Arial"/>
          <w:sz w:val="17"/>
          <w:szCs w:val="17"/>
          <w:u w:val="single" w:color="auto"/>
          <w:color w:val="auto"/>
        </w:rPr>
        <w:t>Reliance</w:t>
      </w:r>
      <w:r>
        <w:rPr>
          <w:rFonts w:ascii="Arial" w:cs="Arial" w:eastAsia="Arial" w:hAnsi="Arial"/>
          <w:sz w:val="17"/>
          <w:szCs w:val="17"/>
          <w:color w:val="auto"/>
        </w:rPr>
        <w:t>.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 having custody of documents respecting the corporate existence or good standing of the Company, provided that copies of any such statements or certificates shall be delivered to the Underwriters’ counsel if requested. The opinions of counsels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Cold Comfort Letter</w:t>
      </w:r>
      <w:r>
        <w:rPr>
          <w:rFonts w:ascii="Arial" w:cs="Arial" w:eastAsia="Arial" w:hAnsi="Arial"/>
          <w:sz w:val="17"/>
          <w:szCs w:val="17"/>
          <w:color w:val="auto"/>
        </w:rPr>
        <w:t>. At the time this Agreement is executed, and at the Closing Date and Option Closing Date, if any, the Representative shall have received a letter, addressed to the Representative as representative for the several Underwriters and in form and substance satisfactory in all respects (including the non-material nature of the changes or decreases, if any, referred to in clause (iii) below) to the Representative from Marcum dated, respectively, as of the date of this Agreement and as of the Closing Date and Option Closing Date, if any:</w:t>
      </w:r>
    </w:p>
    <w:p>
      <w:pPr>
        <w:spacing w:after="0" w:line="171" w:lineRule="exact"/>
        <w:rPr>
          <w:sz w:val="20"/>
          <w:szCs w:val="20"/>
          <w:color w:val="auto"/>
        </w:rPr>
      </w:pPr>
    </w:p>
    <w:p>
      <w:pPr>
        <w:jc w:val="both"/>
        <w:ind w:firstLine="1304"/>
        <w:spacing w:after="0" w:line="263" w:lineRule="auto"/>
        <w:tabs>
          <w:tab w:leader="none" w:pos="15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Confirming that they are independent accountants with respect to the Company within the meaning of the Act and the applicable Regulations and that they have not, during the periods covered by the financial statements included in the Registration Statement and the Prospectus, provided to the Company any non-audit services, as such term is used in Section 10A(g)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30 of 42</w:t>
      </w:r>
    </w:p>
    <w:p>
      <w:pPr>
        <w:spacing w:after="0" w:line="200" w:lineRule="exact"/>
        <w:rPr>
          <w:sz w:val="20"/>
          <w:szCs w:val="20"/>
          <w:color w:val="auto"/>
        </w:rPr>
      </w:pPr>
    </w:p>
    <w:p>
      <w:pPr>
        <w:spacing w:after="0" w:line="335" w:lineRule="exact"/>
        <w:rPr>
          <w:sz w:val="20"/>
          <w:szCs w:val="20"/>
          <w:color w:val="auto"/>
        </w:rPr>
      </w:pPr>
    </w:p>
    <w:p>
      <w:pPr>
        <w:ind w:firstLine="1304"/>
        <w:spacing w:after="0" w:line="308" w:lineRule="auto"/>
        <w:tabs>
          <w:tab w:leader="none" w:pos="15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Stating that in their opinion the financial statements of the Company included in the Registration Statement and the Prospectus comply as to form in all material respects with the applicable accounting requirements of the Act and the published Regulations thereunder;</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16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Stating that, on the basis of a limited review which included a reading of the latest available unaudited interim financial statements of the Company (with an indication of the date of the latest available unaudited interim financial statements),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the unaudited financial statements of the Company included in the Registration Statement and the Prospectus do not comply as to form in all material respects with the applicable accounting requirements of the Act and the Regulations or are not fairly presented in conformity with GAAP applied on a basis substantially consistent with that of the audited financial statements of the Company included in the Registration Statement, the Statutory Prospectus and the Prospectus; or (b) at a date immediately prior to the Effective Date or Closing Date, as the case may be, there was any change in the share capital or long-term debt of the Company, or any decrease in the stockholders’ equity of the Company as compared with amounts shown in the January 4, 2021 balance sheet included in the Registration Statement, other than as set forth in or contemplated by the Registration Statement, or, if there was any decrease, setting forth the amount of such decrease, and (c) during the period from January 4, 2021 to a specified date immediately prior to the Effective Date or Closing Date, as the case may be, there was any changes in revenues, net earnings (losses), or net earnings (losses) per Ordinary Share, in each case as compared with the Statement of Operations for the period ended January 4, 2021 included in the Registration Statement, or, if there was any such change, setting forth the amount of such change;</w:t>
      </w:r>
    </w:p>
    <w:p>
      <w:pPr>
        <w:spacing w:after="0" w:line="170" w:lineRule="exact"/>
        <w:rPr>
          <w:rFonts w:ascii="Arial" w:cs="Arial" w:eastAsia="Arial" w:hAnsi="Arial"/>
          <w:sz w:val="16"/>
          <w:szCs w:val="16"/>
          <w:color w:val="auto"/>
        </w:rPr>
      </w:pPr>
    </w:p>
    <w:p>
      <w:pPr>
        <w:jc w:val="both"/>
        <w:ind w:firstLine="1304"/>
        <w:spacing w:after="0" w:line="255" w:lineRule="auto"/>
        <w:tabs>
          <w:tab w:leader="none" w:pos="16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Stating that they have compared specific dollar amounts, numbers of shares, percentages of revenues and earnings, statements and other financial information pertaining to the Company set forth in the Registration Statement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generally accepted auditing standards) set forth in the letter and found them to be in agreement; and</w:t>
      </w:r>
    </w:p>
    <w:p>
      <w:pPr>
        <w:spacing w:after="0" w:line="192" w:lineRule="exact"/>
        <w:rPr>
          <w:rFonts w:ascii="Arial" w:cs="Arial" w:eastAsia="Arial" w:hAnsi="Arial"/>
          <w:sz w:val="18"/>
          <w:szCs w:val="18"/>
          <w:color w:val="auto"/>
        </w:rPr>
      </w:pPr>
    </w:p>
    <w:p>
      <w:pPr>
        <w:ind w:left="1560" w:hanging="256"/>
        <w:spacing w:after="0"/>
        <w:tabs>
          <w:tab w:leader="none" w:pos="1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Statements as to such other matters incident to the transaction contemplated hereby as the Representative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31 of 42</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 xml:space="preserve">4.1.4.1.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As of each of the Closing Date and the Option Closing Date, if any, the Representative shall have received a certificate of the Company signed by the Chairman of the Board or President (in their capacities as such), respectively, to the effect that the Company has performed all covenants and complied with all conditions required by this Agreement to be performed or complied with by the Company prior to and as of the Closing Date and that the conditions set forth in Section 4.1.5 hereof have been satisfied as of such date and that, as of Closing Date, the representations and warranties of the Company set forth in Section 2 hereof are true and correct. In addition, the Representative will have received such other and further certificates of officers of the Company as the Representative may reasonably request.</w:t>
      </w:r>
    </w:p>
    <w:p>
      <w:pPr>
        <w:spacing w:after="0" w:line="178"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4.1.4.2.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 As of each of the Closing Date and the Option Closing Date, if any, the Representative shall have received a certificate of the Company signed by the Secretary of the Company, respectively, certifying: (i) that the Charter Documents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Nasdaq; and (v) as to the incumbency of the officers of the Company. The documents referred to in such certificate shall be attached to such certificate.</w:t>
      </w:r>
    </w:p>
    <w:p>
      <w:pPr>
        <w:spacing w:after="0" w:line="19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No Material Changes</w:t>
      </w:r>
      <w:r>
        <w:rPr>
          <w:rFonts w:ascii="Arial" w:cs="Arial" w:eastAsia="Arial" w:hAnsi="Arial"/>
          <w:sz w:val="17"/>
          <w:szCs w:val="17"/>
          <w:color w:val="auto"/>
        </w:rPr>
        <w:t>. Prior to each of the Closing Date and the Option Closing Date, if any: (i) there shall have been no material adverse change or development involving a material adverse change in the condition or prospects or the business activities, financial or otherwise, of the Company from the latest dates as of which such condition is set forth in the Registration Statement, the Statutory Prospectus and Prospectus; (ii) no action suit or proceeding, at law or in equity, shall have been pending or threatened against the Company or any Company Affiliate before or by any court or foreign,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Statutory Prospectus and Prospectus; (iii) no stop order shall have been issued under the Act against the Company and no proceedings therefor shall have been initiated or threatened by the Commission; and (iv) the Registration Statement, the Statutory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none of the Registration Statement, the Statutory Prospectus or the Prospectus, or any amendment or supplement thereto shall contain any untrue statement of a material fact or omits to state any material fact required to be stated therein or necessary to make the statements therein (in the case of the Statutory Prospectus and Prospectus,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 of 42</w:t>
      </w:r>
    </w:p>
    <w:p>
      <w:pPr>
        <w:spacing w:after="0" w:line="200" w:lineRule="exact"/>
        <w:rPr>
          <w:sz w:val="20"/>
          <w:szCs w:val="20"/>
          <w:color w:val="auto"/>
        </w:rPr>
      </w:pPr>
    </w:p>
    <w:p>
      <w:pPr>
        <w:spacing w:after="0" w:line="33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Delivery of Agreements</w:t>
      </w:r>
      <w:r>
        <w:rPr>
          <w:rFonts w:ascii="Arial" w:cs="Arial" w:eastAsia="Arial" w:hAnsi="Arial"/>
          <w:sz w:val="18"/>
          <w:szCs w:val="18"/>
          <w:color w:val="auto"/>
        </w:rPr>
        <w:t>. On the Effective Date, the Company shall have delivered to the Representative executed copies of the Transaction Documents.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Private Units</w:t>
      </w:r>
      <w:r>
        <w:rPr>
          <w:rFonts w:ascii="Arial" w:cs="Arial" w:eastAsia="Arial" w:hAnsi="Arial"/>
          <w:sz w:val="18"/>
          <w:szCs w:val="18"/>
          <w:color w:val="auto"/>
        </w:rPr>
        <w:t>. On the Closing Date and the Option Closing Date, as applicable, the Private Units have been purchased as provided for in the Subscription Agreements and the purchase price for such securities shall be deposited into the Trust Account.</w:t>
      </w:r>
    </w:p>
    <w:p>
      <w:pPr>
        <w:spacing w:after="0" w:line="170"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Indemnification of Underwriters and QIU</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Public Securities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partners and employees and each person, if any, who controls any such Underwriter or Selected Dealer (“</w:t>
      </w:r>
      <w:r>
        <w:rPr>
          <w:rFonts w:ascii="Arial" w:cs="Arial" w:eastAsia="Arial" w:hAnsi="Arial"/>
          <w:sz w:val="16"/>
          <w:szCs w:val="16"/>
          <w:b w:val="1"/>
          <w:bCs w:val="1"/>
          <w:color w:val="auto"/>
        </w:rPr>
        <w:t>Controlling</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within the meaning of Section 15 of the Act or Section 20(a) of the Exchange Act, and its counsel, against any and all loss, liability, claim,</w:t>
      </w:r>
      <w:r>
        <w:rPr>
          <w:rFonts w:ascii="Arial" w:cs="Arial" w:eastAsia="Arial" w:hAnsi="Arial"/>
          <w:sz w:val="16"/>
          <w:szCs w:val="16"/>
          <w:b w:val="1"/>
          <w:bCs w:val="1"/>
          <w:color w:val="auto"/>
        </w:rPr>
        <w:t xml:space="preserve"> </w:t>
      </w:r>
      <w:r>
        <w:rPr>
          <w:rFonts w:ascii="Arial" w:cs="Arial" w:eastAsia="Arial" w:hAnsi="Arial"/>
          <w:sz w:val="16"/>
          <w:szCs w:val="16"/>
          <w:color w:val="auto"/>
        </w:rPr>
        <w:t>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foreign,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(ii) in any post-effective amendment or amendments or any new registration statement and prospectus relating to any of the Public Securities; or (iii) any application or other document or written communication (in this Section 5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executed by the Company or based upon written information furnished by the Company in any jurisdiction in order to qualify the Public Securities under the securities laws thereof or filed with the Commission, any foreign or state securities commission or agency, or Nasdaq (in each case other than statements contained in the section captioned “Selling Restrictions”);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the Prospectus or any amendment or supplement thereof, or in any application, as the case may be, which furnished written information, it is expressly agreed, consists solely of the information described in the last proviso of Section 2.3.1.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Public Securities to such person as required by the Act and the Regulations, and if the untrue statement or omission has been corrected in the Prospectus, unless such failure to deliver the Prospectus was a result of non-compliance by the Company with its obligations under Section 3.4 hereof. The Company agrees promptly to notify the Representative of the commencement of any litigation or proceedings against the Company or any of its officers, directors or controlling persons in connection with the issue and sale of the Public Securities or in connection with the Preliminary Prospectus, the Registration Statement or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33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QIU</w:t>
      </w:r>
      <w:r>
        <w:rPr>
          <w:rFonts w:ascii="Arial" w:cs="Arial" w:eastAsia="Arial" w:hAnsi="Arial"/>
          <w:sz w:val="18"/>
          <w:szCs w:val="18"/>
          <w:color w:val="auto"/>
        </w:rPr>
        <w:t>. Without limitation of and in addition to its obligations under Section 5.1.1, the Company agrees to indemnify and hold harmless the QIU, its directors, officers, employees and agents and each person who controls the QIU within the meaning of either the Act or the Exchange Act against any and all losses, claims, damages or liabilities, joint or several, to which they or any of them may become subject, insofar as such losses, claims, damages or liabilities (or action in respect thereof) arise out of or are based upon the QIU acting as a “qualified independent underwriter” (within the meaning of FINRA Rule 5121) in connection with the offering contemplated by this Agreement,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results from the gross negligence or willful misconduct of the QIU.</w:t>
      </w:r>
    </w:p>
    <w:p>
      <w:pPr>
        <w:spacing w:after="0" w:line="19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Procedure</w:t>
      </w:r>
      <w:r>
        <w:rPr>
          <w:rFonts w:ascii="Arial" w:cs="Arial" w:eastAsia="Arial" w:hAnsi="Arial"/>
          <w:sz w:val="17"/>
          <w:szCs w:val="17"/>
          <w:color w:val="auto"/>
        </w:rPr>
        <w:t>. If any action is brought against an Underwriter, the QIU or controlling person in respect of which indemnity may be sought against the Company pursuant to Sections 5.1.1 and 5.1.2, such party shall promptly notify the Company in writing of the institution of such action and the Company shall assume the defense of such action, including the employment and fees of counsel (subject to the reasonable approval of such Underwriter, QIU or controlling person, as applicable) and payment of actual expenses. Such Underwriter, QIU or controlling person shall have the right to employ its or their own counsel in any such case, but the fees and expenses of such counsel shall be at the expense of such Underwriter, QIU or such controlling person unless: (i) the employment of such counsel at the expense of the Company shall have been authorized in writing by the Company in connection with the defense of such action; (ii) the Company shall not have employed counsel to have charge of the defense of such action; or (iii) counsel to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the Underwriter, QIU and/or controlling person shall be borne by the Company. Notwithstanding anything to the contrary contained herein, if the Underwriter, QIU or controlling person shall assume the defense of such action as provided above, the Company shall have the right to approve the terms of any settlement of such action which approval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34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Each Underwriter, severally and not jointly, agrees to indemnify and hold harmless the Company, its directors, officers, and employees and agents who control the Company within the meaning of Section 15 of the Act or Section 20 of the Exchange Act, and its counsel, against any and all loss, liability, claim, damage and expense described in the foregoing indemnity from the Company to the several Underwriters, as incurred, but only with respect to untrue statements or omissions, or alleged untrue statements or omissions made in the Registration Statement, any Preliminary Prospectus, the Prospectus or any amendment or supplement thereto, or in any application, in reliance upon, and in strict conformity with, written information furnished to the Company with respect to such Underwriter by or on behalf of the Underwriter expressly for use in such Registration Statement, Preliminary Prospectus, the Prospectus or any amendment or supplement thereto or in any such application, which furnished written information, it is expressly agreed, consists solely of the information described in the last proviso of Section 2.3.1. In case any action shall be brought against the Company or any other person so indemnified based on any Preliminary Prospectus, the Registration Statement,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5.3.1. </w:t>
      </w:r>
      <w:r>
        <w:rPr>
          <w:rFonts w:ascii="Arial" w:cs="Arial" w:eastAsia="Arial" w:hAnsi="Arial"/>
          <w:sz w:val="17"/>
          <w:szCs w:val="17"/>
          <w:u w:val="single" w:color="auto"/>
          <w:color w:val="auto"/>
        </w:rPr>
        <w:t>Contribution Rights</w:t>
      </w:r>
      <w:r>
        <w:rPr>
          <w:rFonts w:ascii="Arial" w:cs="Arial" w:eastAsia="Arial" w:hAnsi="Arial"/>
          <w:sz w:val="17"/>
          <w:szCs w:val="17"/>
          <w:color w:val="auto"/>
        </w:rPr>
        <w:t>. In order to provide for just and equitable contribution under the Act in any case in which (i) any person entitled to indemnification under this Section 5 makes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5 provides for indemnification in such case, or (ii) contribution under the Act, the Exchange Act or otherwise may be required on the part of any such person in circumstances for which indemnification is provided under this Section 5 but is unavailable,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Act) shall be entitled to contribution from any person who was not guilty of such fraudulent misrepresentation. Notwithstanding the provisions of this Section 5.3.1,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35 of 42</w:t>
      </w:r>
    </w:p>
    <w:p>
      <w:pPr>
        <w:spacing w:after="0" w:line="200" w:lineRule="exact"/>
        <w:rPr>
          <w:sz w:val="20"/>
          <w:szCs w:val="20"/>
          <w:color w:val="auto"/>
        </w:rPr>
      </w:pPr>
    </w:p>
    <w:p>
      <w:pPr>
        <w:spacing w:after="0" w:line="33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Contribution Procedure</w:t>
      </w:r>
      <w:r>
        <w:rPr>
          <w:rFonts w:ascii="Arial" w:cs="Arial" w:eastAsia="Arial" w:hAnsi="Arial"/>
          <w:sz w:val="16"/>
          <w:szCs w:val="16"/>
          <w:color w:val="auto"/>
        </w:rPr>
        <w:t>. Within fifteen days after receipt by any party to this Agreement (or its representatives) of notice of the commencement of any action, suit or proceeding, such party will, if a claim for contribution in respect thereof is to be made against another party (“</w:t>
      </w:r>
      <w:r>
        <w:rPr>
          <w:rFonts w:ascii="Arial" w:cs="Arial" w:eastAsia="Arial" w:hAnsi="Arial"/>
          <w:sz w:val="16"/>
          <w:szCs w:val="16"/>
          <w:b w:val="1"/>
          <w:bCs w:val="1"/>
          <w:color w:val="auto"/>
        </w:rPr>
        <w:t>contributing party</w:t>
      </w:r>
      <w:r>
        <w:rPr>
          <w:rFonts w:ascii="Arial" w:cs="Arial" w:eastAsia="Arial" w:hAnsi="Arial"/>
          <w:sz w:val="16"/>
          <w:szCs w:val="16"/>
          <w:color w:val="auto"/>
        </w:rPr>
        <w:t>”),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representatives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Section 5.3 are several and not joint.</w:t>
      </w:r>
    </w:p>
    <w:p>
      <w:pPr>
        <w:spacing w:after="0" w:line="168"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w:t>
      </w:r>
      <w:r>
        <w:rPr>
          <w:rFonts w:ascii="Arial" w:cs="Arial" w:eastAsia="Arial" w:hAnsi="Arial"/>
          <w:sz w:val="18"/>
          <w:szCs w:val="18"/>
          <w:color w:val="auto"/>
        </w:rPr>
        <w:t>. If any Underwriter or Underwriters shall default in its or their obligations to purchase the Firm Units and if the number of the Firm Units with respect to which such default relates does not exceed in the aggregate 10% of the number of Firm Units that all Underwriters have agreed to purchase hereunder, then such Firm Units to which the default relates shall be purchased by the non-defaulting Underwriters in proportion to their respective commitments hereunder.</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w:t>
      </w:r>
      <w:r>
        <w:rPr>
          <w:rFonts w:ascii="Arial" w:cs="Arial" w:eastAsia="Arial" w:hAnsi="Arial"/>
          <w:sz w:val="17"/>
          <w:szCs w:val="17"/>
          <w:color w:val="auto"/>
        </w:rPr>
        <w:t xml:space="preserve">. In the event that the default addressed in Section 6.1 above relates to more than 10% of the Firm Units, the Representative may, in its discretion, arrange for it or for another party or parties to purchase such Firm Units to which such default relates on the terms contained herein. If within one (1) Business Day after such default relating to more than 10% of the Firm Units the Representative does not arrange for the purchase of such Firm Units, then the Company shall be entitled to a further period of one (1) Business Day within which to procure another party or parties satisfactory to the Representative to purchase said Firm Units on such terms. In the event that neither the Representative nor the Company arrange for the purchase of the Firm Units to which a default relates as provided in this Section 6, this Agreement may be terminated by the Representative or the Company without liability on the part of the Company (except as provided in Sections 3.12 and 5 hereof) or the several Underwriters (except as provided in Section 5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relieve a defaulting Underwriter of its liability, if any, to the other several Underwriters and to the Company for damages occasioned by its default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36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Postponement of Closing Date</w:t>
      </w:r>
      <w:r>
        <w:rPr>
          <w:rFonts w:ascii="Arial" w:cs="Arial" w:eastAsia="Arial" w:hAnsi="Arial"/>
          <w:sz w:val="17"/>
          <w:szCs w:val="17"/>
          <w:color w:val="auto"/>
        </w:rPr>
        <w:t>. In the event that the Firm Units to which the default relates are to be purchased by the non-defaulting Underwriters, or are to be purchased by another party or parties as aforesaid, the Representative or the Company shall have the right to postpone the Closing Date for a reasonable period, but not in any event exceeding five (5) Business Days, in order to effect whatever changes may thereby be made necessary in the Registration Statement and/or the Prospectus, as the case may be, or in any other documents and arrangements, and the Company agrees to file promptly any amendment to, or to supplement, the Registration Statement and/or the Prospectus, as the case may be, that in the reasonable opinion of counsel for the Underwriters may thereby be made necessary. The term “</w:t>
      </w:r>
      <w:r>
        <w:rPr>
          <w:rFonts w:ascii="Arial" w:cs="Arial" w:eastAsia="Arial" w:hAnsi="Arial"/>
          <w:sz w:val="17"/>
          <w:szCs w:val="17"/>
          <w:b w:val="1"/>
          <w:bCs w:val="1"/>
          <w:color w:val="auto"/>
        </w:rPr>
        <w:t>Underwriter</w:t>
      </w:r>
      <w:r>
        <w:rPr>
          <w:rFonts w:ascii="Arial" w:cs="Arial" w:eastAsia="Arial" w:hAnsi="Arial"/>
          <w:sz w:val="17"/>
          <w:szCs w:val="17"/>
          <w:color w:val="auto"/>
        </w:rPr>
        <w:t>” as used in this Agreement shall include any party substituted under this Section 6 with like effect as if it had originally been a party to this Agreement with respect to such securities.</w:t>
      </w:r>
    </w:p>
    <w:p>
      <w:pPr>
        <w:spacing w:after="0" w:line="177"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Additional Shares or Options</w:t>
      </w:r>
      <w:r>
        <w:rPr>
          <w:rFonts w:ascii="Arial" w:cs="Arial" w:eastAsia="Arial" w:hAnsi="Arial"/>
          <w:sz w:val="17"/>
          <w:szCs w:val="17"/>
          <w:color w:val="auto"/>
        </w:rPr>
        <w:t>. Except as described in the Registration Statement, the Company hereby agrees that until the Company consummates a Business Combination, it shall not issue any Subunits, shares of Common Stock or any options or other securities convertible into shares of Common Stock or any preferred shares which participate in any manner in the Trust Account or which vote on a Business Combination.</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prior to commencing its due diligence investigation of any Target Business or obtaining the services of any vendor, it will use its best efforts to have such Target Business or vendor acknowledge in writing, whether through a letter of intent, memorandum of understanding, agreement in principle or other similar document (and subsequently acknowledges the same in any definitive document replacing any of the foregoing), that (a) it has read the Prospectus, and understands that the Company has established the Trust Account, initially in an amount of $120,000,000 for the benefit of the Public Stockholders and that, except for the interest earned on the amounts held in the Trust Account, the Company may disburse monies from the Trust Account only: (i) to the Public Stockholders in the event of the conversion of their Subunits upon consummation of a Business Combination or amendment to the Company’s Amended and Restated Certificate of Incorporation relating to pre-Business Combination activity, (ii) to the Public Stockholders in connection with the Company’s liquidation in the event the Company is unable to consummate a Business Combination within the required time period or (iii) to the Company concurrently with, or after it consummates a Business Combination, and (b) for and in consideration of the Company (1) agreeing to evaluate such Target Business for purposes of consummating a Business Combination with it or (2) agreeing to engage the services of the vendor, as the case may be, such Target Business or vendor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6"/>
          <w:szCs w:val="16"/>
          <w:i w:val="1"/>
          <w:iCs w:val="1"/>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B</w:t>
      </w:r>
      <w:r>
        <w:rPr>
          <w:rFonts w:ascii="Arial" w:cs="Arial" w:eastAsia="Arial" w:hAnsi="Arial"/>
          <w:sz w:val="16"/>
          <w:szCs w:val="16"/>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37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Insider Letters</w:t>
      </w:r>
      <w:r>
        <w:rPr>
          <w:rFonts w:ascii="Arial" w:cs="Arial" w:eastAsia="Arial" w:hAnsi="Arial"/>
          <w:sz w:val="18"/>
          <w:szCs w:val="18"/>
          <w:color w:val="auto"/>
        </w:rPr>
        <w:t>. The Company shall not take any action or omit to take any action which would cause a breach of any of the Insider Letters executed between each Company Affiliate and the Representative and will not allow any amendments to, or waivers of, such Insider Letters without the prior written consent of the Representative.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Tender Offer, Proxy and Other Information</w:t>
      </w:r>
      <w:r>
        <w:rPr>
          <w:rFonts w:ascii="Arial" w:cs="Arial" w:eastAsia="Arial" w:hAnsi="Arial"/>
          <w:sz w:val="18"/>
          <w:szCs w:val="18"/>
          <w:color w:val="auto"/>
        </w:rPr>
        <w:t>. The Company shall provide the Representative with copies of all proxy or tender offer documentation and other information and all related material sent to Public Stockholders in connection with a Business Combination.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Presentation of Potential Target Businesses</w:t>
      </w:r>
      <w:r>
        <w:rPr>
          <w:rFonts w:ascii="Arial" w:cs="Arial" w:eastAsia="Arial" w:hAnsi="Arial"/>
          <w:sz w:val="16"/>
          <w:szCs w:val="16"/>
          <w:color w:val="auto"/>
        </w:rPr>
        <w:t>. The Company shall cause each of the Respondents to agree that, in order to minimize potential conflicts of interest which may arise from multiple affiliations, the Respondents will present to the Company for its consideration, prior to presentation to any other person or company, any suitable opportunity to acquire an operating business, until the earlier of the consummation by the Company of a Business Combination or the liquidation of the Trust Account, subject to any pre-existing fiduciary obligations the Respondents might have.</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Target Fair Market Value</w:t>
      </w:r>
      <w:r>
        <w:rPr>
          <w:rFonts w:ascii="Arial" w:cs="Arial" w:eastAsia="Arial" w:hAnsi="Arial"/>
          <w:sz w:val="18"/>
          <w:szCs w:val="18"/>
          <w:color w:val="auto"/>
        </w:rPr>
        <w:t>. The Company agrees that the Target Business that it acquires must have a fair market value equal to at least 80% of the balance in the Trust Account (excluding any taxes payable) at the time of signing the definitive agreement for the Business Combination with such Target Business. The fair market value of such business must be determined by the Board of Directors of the Company based upon standards generally accepted by the financial community, such as actual and potential sales, earnings, cash flow and book value. If the Board of Directors of the Company is not able to independently determine that the target business meets such fair market value requirement, the Company will obtain an opinion from an unaffiliated, independent investment banking firm, or another independent entity that commonly renders valuation opinions. The Company is not required to obtain such an opinion as to the fair market value if the Company’s Board of Directors independently determines that the Target Business does have sufficient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38 of 42</w:t>
      </w:r>
    </w:p>
    <w:p>
      <w:pPr>
        <w:spacing w:after="0" w:line="200" w:lineRule="exact"/>
        <w:rPr>
          <w:sz w:val="20"/>
          <w:szCs w:val="20"/>
          <w:color w:val="auto"/>
        </w:rPr>
      </w:pPr>
    </w:p>
    <w:p>
      <w:pPr>
        <w:spacing w:after="0" w:line="335" w:lineRule="exact"/>
        <w:rPr>
          <w:sz w:val="20"/>
          <w:szCs w:val="20"/>
          <w:color w:val="auto"/>
        </w:rPr>
      </w:pPr>
    </w:p>
    <w:p>
      <w:pPr>
        <w:jc w:val="both"/>
        <w:ind w:firstLine="656"/>
        <w:spacing w:after="0" w:line="272" w:lineRule="auto"/>
        <w:tabs>
          <w:tab w:leader="none" w:pos="82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Representations and Agreements to Survive Delivery</w:t>
      </w:r>
      <w:r>
        <w:rPr>
          <w:rFonts w:ascii="Arial" w:cs="Arial" w:eastAsia="Arial" w:hAnsi="Arial"/>
          <w:sz w:val="17"/>
          <w:szCs w:val="17"/>
          <w:color w:val="auto"/>
        </w:rPr>
        <w:t>. Except as the context otherwise requires, all representations, warranties and agreements contained in this Agreement shall be deemed to be representations, warranties and agreements at the Closing Date or Option Closing Date, as applicable, and such representations, warranties and agreements of the Underwriters and Company, including the indemnity agreements contained in Section 5 hereof, shall remain operative and in full force and effect regardless of any investigation made by or on behalf of any Underwriter, the Company or any controlling person, and shall survive termination of this Agreement or the issuance and delivery of the Public Securities to the several Underwriters until the earlier of the expiration of any applicable statute of limitations and the seventh (7th) anniversary of the Closing Date, at which time the representations, warranties and agreements shall terminate and be of no further force and effect.</w:t>
      </w:r>
    </w:p>
    <w:p>
      <w:pPr>
        <w:spacing w:after="0" w:line="177" w:lineRule="exact"/>
        <w:rPr>
          <w:rFonts w:ascii="Arial" w:cs="Arial" w:eastAsia="Arial" w:hAnsi="Arial"/>
          <w:sz w:val="17"/>
          <w:szCs w:val="17"/>
          <w:color w:val="auto"/>
        </w:rPr>
      </w:pPr>
    </w:p>
    <w:p>
      <w:pPr>
        <w:jc w:val="both"/>
        <w:ind w:firstLine="656"/>
        <w:spacing w:after="0" w:line="286" w:lineRule="auto"/>
        <w:tabs>
          <w:tab w:leader="none" w:pos="82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Qualified Independent Underwriter</w:t>
      </w:r>
      <w:r>
        <w:rPr>
          <w:rFonts w:ascii="Arial" w:cs="Arial" w:eastAsia="Arial" w:hAnsi="Arial"/>
          <w:sz w:val="17"/>
          <w:szCs w:val="17"/>
          <w:color w:val="auto"/>
        </w:rPr>
        <w:t>. The QIU represents that it is qualified to act as a “qualified independent underwriter” within the meaning of Rule 5121 of the Conduct Rules of FINRA. The Company hereby confirms that, at its request, the QIU has acted as a “qualified independent underwriter” within the meaning of Rule 5121 of the Conduct Rules of FINRA in connection with the offering of the Public Securities.</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Termination</w:t>
      </w:r>
      <w:r>
        <w:rPr>
          <w:rFonts w:ascii="Arial" w:cs="Arial" w:eastAsia="Arial" w:hAnsi="Arial"/>
          <w:sz w:val="17"/>
          <w:szCs w:val="17"/>
          <w:color w:val="auto"/>
        </w:rPr>
        <w:t>. The Representative shall have the right to terminate this Agreement at any time prior to any Closing Date: (i) if any domestic or international event or act or occurrence has materially disrupted or, in the Representative’s sole opinion, will in the immediate future materially disrupt, general securities markets in the United States; or (ii) if trading on Nasdaq, the NYSE MKT LLC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increase in existing major hostilities, or (iv) if a banking moratorium has been declared by a New York State or federal authority, or (v) if a moratorium on foreign exchange trading has been declared which materially adversely impacts the United States securities market, or (vi) if the Company shall have sustained a material loss by fire, flood, accident, hurricane, earthquake, theft, sabotage or other calamity or malicious act which, whether or not such loss shall have been insured, will, in the Representative’s sole opinion, make it inadvisable to proceed with the delivery of the Units, (vii) if any of the Company’s representations, warranties or covenants hereunder are breached, or (viii) if the Representative shall have become aware after the date hereof of a Material Adverse Effect on the Company, or such adverse material change in general market conditions, including, without limitation, as a result of terrorist activities or any other calamity or crisis either within or outside the United States after the date hereof, or any increase in any of the foregoing, as in the Representative’s sole judgment would make it impracticable to proceed with the offering, sale and/or delivery of the Units or to enforce contracts made by the Underwriters for the sale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Expenses</w:t>
      </w:r>
      <w:r>
        <w:rPr>
          <w:rFonts w:ascii="Arial" w:cs="Arial" w:eastAsia="Arial" w:hAnsi="Arial"/>
          <w:sz w:val="18"/>
          <w:szCs w:val="18"/>
          <w:color w:val="auto"/>
        </w:rPr>
        <w:t>. In the event that this Agreement shall not be carried out for any reason whatsoever, within the time specified herein or any extensions thereof pursuant to the terms herein, the obligations of the Company to pay the out of pocket expenses related to the transactions contemplated herein shall be governed by Section 3.12 hereof.</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Section 5 shall not be in any way effected by, such election or termination or failure to carry out the terms of this Agreement or any part hereof.</w:t>
      </w:r>
    </w:p>
    <w:p>
      <w:pPr>
        <w:spacing w:after="0" w:line="184"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by certified mail (with return receipt), delivered by hand or reputable overnight courier, delivered by facsimile transmission (with printed confirmation of receipt) and confirmed, or by electronic transmission via PDF and shall be deemed given when so mailed, delivered, or faxed or transmitted (or if mailed, five days after such mailing):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366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661-4936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Steven Levine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slevine@ebcap.com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Graubard Miller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818-8881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Alan Miller,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dmiller@graubard.com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40 of 42</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(___) 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10145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solely to the benefit of and shall be binding upon the Representative, the Underwriters, the Company and the controlling persons, directors and officers referred to in Section 5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 xml:space="preserve"> This Agreement shall be governed by and construed and enforced in accordance with the laws of the State of New York, without giving effect to the conflict of laws principles thereof. Each of the Company and the Representative hereby agrees that any action, proceeding, or claim against it arising out of or relating in any way to this Agreement shall be brought and enforced in the courts of the State of New York, New York County under the accelerated adjudication procedures of the Commercial Division, or in the United States District Court for the Southern District of New York, as applicable, and irrevocably submits to such jurisdiction, which jurisdiction shall be exclusive. Each of the Company and the Representative hereby waives any objection to such exclusive jurisdiction and that such courts represent an inconvenient forum. Any such process or summons to be served upon the Company or the Representative, respectively, may be served by transmitting a copy thereof by registered or certified mail, return receipt requested, postage prepaid, addressed to it at the address set forth in Section 10.1 hereof. Such mailing shall be deemed personal service and shall be legal and binding upon the Company or the Representative, respectively, in any action, proceeding, or claim. Each of the Company and the Representative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41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Waiver, etc.</w:t>
      </w:r>
      <w:r>
        <w:rPr>
          <w:rFonts w:ascii="Arial" w:cs="Arial" w:eastAsia="Arial" w:hAnsi="Arial"/>
          <w:sz w:val="18"/>
          <w:szCs w:val="18"/>
          <w:color w:val="auto"/>
        </w:rPr>
        <w:t xml:space="preserve">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Company hereby acknowledges that the Underwriters and QIU are acting solely as underwriters in connection with the offering of the Public Securities. The Company further acknowledges that the Underwriters and QIU are acting pursuant to a contractual relationship created solely by this Agreement entered into on an arm’s length basis and in no event do the parties intend that the Underwriters or QIU act or be responsible as a fiduciary to the Company, its management, stockholders, creditors or any other person in connection with any activity that the Underwriters may undertake or have undertaken in furtherance of the offering of the Public Securities, either before or after the date hereof. The Underwriters and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and QIU agree that they are each responsible for making their own independent judgments with respect to any such transactions, and that any opinions or views expressed by the Underwriters or QIU to the Company regarding such transactions, including but not limited to any opinions or views with respect to the price or market for the Public Securities, do not constitute advice or recommendations to the Company. The Company hereby waives and releases, to the fullest extent permitted by law, any claims that the Company may have against the Underwriters and QIU with respect to any breach or alleged breach of any fiduciary or similar duty to the Company in connection with the transactions contemplated by this Agreement or any matters leading up to such transactions.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42 of 42</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the date first written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EARLYBIRDCAPITAL, INC.</w:t>
      </w:r>
      <w:r>
        <w:rPr>
          <w:rFonts w:ascii="Arial" w:cs="Arial" w:eastAsia="Arial" w:hAnsi="Arial"/>
          <w:sz w:val="18"/>
          <w:szCs w:val="18"/>
          <w:color w:val="auto"/>
        </w:rPr>
        <w:t>, as Representative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Mike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Mike Powell</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Senior 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I-BANKERS SECURITIES, INC., </w:t>
      </w:r>
      <w:r>
        <w:rPr>
          <w:rFonts w:ascii="Arial" w:cs="Arial" w:eastAsia="Arial" w:hAnsi="Arial"/>
          <w:sz w:val="18"/>
          <w:szCs w:val="18"/>
          <w:color w:val="auto"/>
        </w:rPr>
        <w:t>as Qualified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Independent Underwriter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McCrory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James McCrory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Underwriting Agreement, dated March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42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SCHEDULE A</w:t>
            </w:r>
          </w:p>
        </w:tc>
      </w:tr>
      <w:tr>
        <w:trPr>
          <w:trHeight w:val="432"/>
        </w:trPr>
        <w:tc>
          <w:tcPr>
            <w:tcW w:w="2820" w:type="dxa"/>
            <w:vAlign w:val="bottom"/>
          </w:tcPr>
          <w:p>
            <w:pPr>
              <w:spacing w:after="0"/>
              <w:rPr>
                <w:sz w:val="24"/>
                <w:szCs w:val="24"/>
                <w:color w:val="auto"/>
              </w:rPr>
            </w:pPr>
          </w:p>
        </w:tc>
        <w:tc>
          <w:tcPr>
            <w:tcW w:w="842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8"/>
              </w:rPr>
              <w:t>ARCHIMEDES TECH SPAC PARTNERS CO.</w:t>
            </w:r>
          </w:p>
        </w:tc>
      </w:tr>
      <w:tr>
        <w:trPr>
          <w:trHeight w:val="432"/>
        </w:trPr>
        <w:tc>
          <w:tcPr>
            <w:tcW w:w="2820" w:type="dxa"/>
            <w:vAlign w:val="bottom"/>
          </w:tcPr>
          <w:p>
            <w:pPr>
              <w:spacing w:after="0"/>
              <w:rPr>
                <w:sz w:val="24"/>
                <w:szCs w:val="24"/>
                <w:color w:val="auto"/>
              </w:rPr>
            </w:pPr>
          </w:p>
        </w:tc>
        <w:tc>
          <w:tcPr>
            <w:tcW w:w="8420" w:type="dxa"/>
            <w:vAlign w:val="bottom"/>
            <w:gridSpan w:val="4"/>
          </w:tcPr>
          <w:p>
            <w:pPr>
              <w:jc w:val="center"/>
              <w:ind w:right="2800"/>
              <w:spacing w:after="0"/>
              <w:rPr>
                <w:sz w:val="20"/>
                <w:szCs w:val="20"/>
                <w:color w:val="auto"/>
              </w:rPr>
            </w:pPr>
            <w:r>
              <w:rPr>
                <w:rFonts w:ascii="Arial" w:cs="Arial" w:eastAsia="Arial" w:hAnsi="Arial"/>
                <w:sz w:val="18"/>
                <w:szCs w:val="18"/>
                <w:b w:val="1"/>
                <w:bCs w:val="1"/>
                <w:color w:val="auto"/>
                <w:w w:val="89"/>
              </w:rPr>
              <w:t>12,000,000 Units</w:t>
            </w:r>
          </w:p>
        </w:tc>
      </w:tr>
      <w:tr>
        <w:trPr>
          <w:trHeight w:val="414"/>
        </w:trPr>
        <w:tc>
          <w:tcPr>
            <w:tcW w:w="28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Firm Units</w:t>
            </w:r>
          </w:p>
        </w:tc>
      </w:tr>
      <w:tr>
        <w:trPr>
          <w:trHeight w:val="216"/>
        </w:trPr>
        <w:tc>
          <w:tcPr>
            <w:tcW w:w="2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to be</w:t>
            </w:r>
          </w:p>
        </w:tc>
      </w:tr>
      <w:tr>
        <w:trPr>
          <w:trHeight w:val="241"/>
        </w:trPr>
        <w:tc>
          <w:tcPr>
            <w:tcW w:w="282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7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2820" w:type="dxa"/>
            <w:vAlign w:val="bottom"/>
          </w:tcPr>
          <w:p>
            <w:pPr>
              <w:spacing w:after="0"/>
              <w:rPr>
                <w:sz w:val="20"/>
                <w:szCs w:val="20"/>
                <w:color w:val="auto"/>
              </w:rPr>
            </w:pPr>
            <w:r>
              <w:rPr>
                <w:rFonts w:ascii="Arial" w:cs="Arial" w:eastAsia="Arial" w:hAnsi="Arial"/>
                <w:sz w:val="18"/>
                <w:szCs w:val="18"/>
                <w:color w:val="auto"/>
              </w:rPr>
              <w:t>I-Bankers Securities, Inc.</w:t>
            </w:r>
          </w:p>
        </w:tc>
        <w:tc>
          <w:tcPr>
            <w:tcW w:w="8420" w:type="dxa"/>
            <w:vAlign w:val="bottom"/>
            <w:gridSpan w:val="4"/>
          </w:tcPr>
          <w:p>
            <w:pPr>
              <w:jc w:val="right"/>
              <w:ind w:right="100"/>
              <w:spacing w:after="0"/>
              <w:rPr>
                <w:sz w:val="20"/>
                <w:szCs w:val="20"/>
                <w:color w:val="auto"/>
              </w:rPr>
            </w:pPr>
            <w:r>
              <w:rPr>
                <w:rFonts w:ascii="Arial" w:cs="Arial" w:eastAsia="Arial" w:hAnsi="Arial"/>
                <w:sz w:val="18"/>
                <w:szCs w:val="18"/>
                <w:color w:val="auto"/>
              </w:rPr>
              <w:t>1,200,000</w:t>
            </w:r>
          </w:p>
        </w:tc>
      </w:tr>
      <w:tr>
        <w:trPr>
          <w:trHeight w:val="229"/>
        </w:trPr>
        <w:tc>
          <w:tcPr>
            <w:tcW w:w="2820" w:type="dxa"/>
            <w:vAlign w:val="bottom"/>
            <w:tcBorders>
              <w:top w:val="single" w:sz="8" w:color="CCEEFF"/>
            </w:tcBorders>
            <w:shd w:val="clear" w:color="auto" w:fill="CCEEFF"/>
          </w:tcPr>
          <w:p>
            <w:pPr>
              <w:spacing w:after="0"/>
              <w:rPr>
                <w:sz w:val="19"/>
                <w:szCs w:val="19"/>
                <w:color w:val="auto"/>
              </w:rPr>
            </w:pPr>
          </w:p>
        </w:tc>
        <w:tc>
          <w:tcPr>
            <w:tcW w:w="7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4"/>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420" w:type="dxa"/>
            <w:vAlign w:val="bottom"/>
            <w:gridSpan w:val="4"/>
          </w:tcPr>
          <w:p>
            <w:pPr>
              <w:jc w:val="right"/>
              <w:ind w:right="100"/>
              <w:spacing w:after="0"/>
              <w:rPr>
                <w:sz w:val="20"/>
                <w:szCs w:val="20"/>
                <w:color w:val="auto"/>
              </w:rPr>
            </w:pPr>
            <w:r>
              <w:rPr>
                <w:rFonts w:ascii="Arial" w:cs="Arial" w:eastAsia="Arial" w:hAnsi="Arial"/>
                <w:sz w:val="18"/>
                <w:szCs w:val="18"/>
                <w:color w:val="auto"/>
              </w:rPr>
              <w:t>12,000,000</w:t>
            </w:r>
          </w:p>
        </w:tc>
      </w:tr>
      <w:tr>
        <w:trPr>
          <w:trHeight w:val="529"/>
        </w:trPr>
        <w:tc>
          <w:tcPr>
            <w:tcW w:w="28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gridSpan w:val="4"/>
          </w:tcPr>
          <w:p>
            <w:pPr>
              <w:jc w:val="center"/>
              <w:ind w:right="2820"/>
              <w:spacing w:after="0"/>
              <w:rPr>
                <w:sz w:val="20"/>
                <w:szCs w:val="20"/>
                <w:color w:val="auto"/>
              </w:rPr>
            </w:pPr>
            <w:r>
              <w:rPr>
                <w:rFonts w:ascii="Arial" w:cs="Arial" w:eastAsia="Arial" w:hAnsi="Arial"/>
                <w:sz w:val="18"/>
                <w:szCs w:val="18"/>
                <w:color w:val="auto"/>
                <w:w w:val="92"/>
              </w:rPr>
              <w:t>Sch. A-1</w:t>
            </w:r>
          </w:p>
        </w:tc>
      </w:tr>
    </w:tbl>
    <w:p>
      <w:pPr>
        <w:sectPr>
          <w:pgSz w:w="11900" w:h="16838" w:orient="portrait"/>
          <w:cols w:equalWidth="0" w:num="1">
            <w:col w:w="11240"/>
          </w:cols>
          <w:pgMar w:left="320" w:top="796"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7"/>
          <w:szCs w:val="17"/>
          <w:b w:val="1"/>
          <w:bCs w:val="1"/>
          <w:color w:val="auto"/>
        </w:rPr>
        <w:t>SCHEDULE B</w:t>
      </w:r>
    </w:p>
    <w:p>
      <w:pPr>
        <w:sectPr>
          <w:pgSz w:w="11900" w:h="16838" w:orient="portrait"/>
          <w:cols w:equalWidth="0" w:num="1">
            <w:col w:w="9019"/>
          </w:cols>
          <w:pgMar w:left="1440" w:top="796"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Target Business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Final Prospectus of Archimedes Tech SPAC Partners Co. (the “</w:t>
      </w:r>
      <w:r>
        <w:rPr>
          <w:rFonts w:ascii="Arial" w:cs="Arial" w:eastAsia="Arial" w:hAnsi="Arial"/>
          <w:sz w:val="16"/>
          <w:szCs w:val="16"/>
          <w:b w:val="1"/>
          <w:bCs w:val="1"/>
          <w:color w:val="auto"/>
        </w:rPr>
        <w:t>Company</w:t>
      </w:r>
      <w:r>
        <w:rPr>
          <w:rFonts w:ascii="Arial" w:cs="Arial" w:eastAsia="Arial" w:hAnsi="Arial"/>
          <w:sz w:val="16"/>
          <w:szCs w:val="16"/>
          <w:color w:val="auto"/>
        </w:rPr>
        <w:t>”), dated March 10, 2021 (the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and not otherwise defined herein shall have the meanings assigned to them in the Prospectus.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read the Prospectus and understand that the Company has established the Trust Account, initially in an amount of at least $120,000,000, for the benefit of the Public Stockholders and that, except for the interest earned on the amounts held in the Trust Account, the Company may disburse monies from the Trust Account only: (i) to the Public Stockholders in the event of the conversion of their shares upon consummation of a Business Combination or amendment to the Company’s Amended and Restated Certificate of Incorporation relating to pre-Business Combination activity, (ii) to the Public Stockholders in connection with the Company’s liquidation in the event the Company is unable to consummate a Business Combination within the required time period or (iii) to the Company concurrently with, or after it consummates a Business Combination.</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with it, the undersigned hereby agrees that it does not have any right, title, interest or claim of any kind in or to any monies in the Trust Account (each, a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264795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 Name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Signature of Target Business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Vendor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Final Prospectus of Archimedes Tech SPAC Partners Co. (the “</w:t>
      </w:r>
      <w:r>
        <w:rPr>
          <w:rFonts w:ascii="Arial" w:cs="Arial" w:eastAsia="Arial" w:hAnsi="Arial"/>
          <w:sz w:val="16"/>
          <w:szCs w:val="16"/>
          <w:b w:val="1"/>
          <w:bCs w:val="1"/>
          <w:color w:val="auto"/>
        </w:rPr>
        <w:t>Company</w:t>
      </w:r>
      <w:r>
        <w:rPr>
          <w:rFonts w:ascii="Arial" w:cs="Arial" w:eastAsia="Arial" w:hAnsi="Arial"/>
          <w:sz w:val="16"/>
          <w:szCs w:val="16"/>
          <w:color w:val="auto"/>
        </w:rPr>
        <w:t>”), dated March 10, 2021 (the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and not otherwise defined herein shall have the meanings assigned to them in the Prospectus.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read the Prospectus and understand that the Company has established the Trust Account, initially in an amount of at least $120,000,000, for the benefit of the Public Stockholders and that, except for the interest earned on the amounts held in the Trust Account, the Company may disburse monies from the Trust Account only: (i) to the Public Stockholders in the event of the conversion of their shares upon consummation of a Business Combination or amendment to the Company’s Amended and Restated Certificate of Incorporation relating to pre-Business Combination activity, (ii) to the Public Stockholders in connection with the Company’s liquidation in the event the Company is unable to consummate a Business Combination within the required time period or (iii) to the Company concurrently with, or after it consummates a Business Combination.</w:t>
      </w:r>
    </w:p>
    <w:p>
      <w:pPr>
        <w:spacing w:after="0" w:line="16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For and in consideration of the Company agreeing to use the services of the undersigned, the undersigned hereby agrees that it does not have any right, title, interest or claim of any kind in or to any monies in the Trust Account (each, a “</w:t>
      </w:r>
      <w:r>
        <w:rPr>
          <w:rFonts w:ascii="Arial" w:cs="Arial" w:eastAsia="Arial" w:hAnsi="Arial"/>
          <w:sz w:val="16"/>
          <w:szCs w:val="16"/>
          <w:b w:val="1"/>
          <w:bCs w:val="1"/>
          <w:color w:val="auto"/>
        </w:rPr>
        <w:t>Claim</w:t>
      </w:r>
      <w:r>
        <w:rPr>
          <w:rFonts w:ascii="Arial" w:cs="Arial" w:eastAsia="Arial" w:hAnsi="Arial"/>
          <w:sz w:val="16"/>
          <w:szCs w:val="16"/>
          <w:color w:val="auto"/>
        </w:rPr>
        <w:t>”) and hereby waives any Claim it may have in the future as a result of, or arising out of, any services provided to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240665</wp:posOffset>
            </wp:positionV>
            <wp:extent cx="28460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 Name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Signature of Vendor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Delaware General Corporation Law</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Archimedes Tech SPAC Partners Co., a corporation existing under the laws of the State of Delaware (the “Corporation”), by its Chief Executive Officer, hereby certifies as follows:</w:t>
      </w:r>
    </w:p>
    <w:p>
      <w:pPr>
        <w:spacing w:after="0" w:line="170"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of the Corporation is “Archimedes Tech SPAC Partners Co.”</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Corporation’s Certificate of Incorporation was filed in the office of the Secretary of State of the State of Delaware on September 15, 2020.</w:t>
      </w:r>
    </w:p>
    <w:p>
      <w:pPr>
        <w:spacing w:after="0" w:line="248" w:lineRule="exact"/>
        <w:rPr>
          <w:rFonts w:ascii="Arial" w:cs="Arial" w:eastAsia="Arial" w:hAnsi="Arial"/>
          <w:sz w:val="16"/>
          <w:szCs w:val="16"/>
          <w:color w:val="auto"/>
        </w:rPr>
      </w:pPr>
    </w:p>
    <w:p>
      <w:pPr>
        <w:ind w:firstLine="656"/>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restates, integrates and amends the provisions of the Original Certificate of Incorporation of the Corporation.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joint written consent of the directors and stockholders of the Corporation in accordance with the applicable provisions of Sections 141(f), 228, 242 and 245 of the General Corporation Law of the State of Delaware (“DGCL”).</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FIRST: The name of the corporation is Archimedes Tech SPAC Partners Co. (hereinafter sometimes referred to as the “Corporation”).</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SECOND: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THIRD: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a Business Combination (as defined below).</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FOURTH: The total number of shares of all classes of capital stock which the Corporation shall have authority to issue is 101,000,000 of which 100,000,000 shares shall be Common Stock of the par value of $0.0001 per share and 1,000,000 shares shall be Preferred Stock of the par value of $0.0001 per share.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DGCL.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648"/>
        <w:spacing w:after="0" w:line="263" w:lineRule="auto"/>
        <w:rPr>
          <w:sz w:val="20"/>
          <w:szCs w:val="20"/>
          <w:color w:val="auto"/>
        </w:rPr>
      </w:pPr>
      <w:r>
        <w:rPr>
          <w:rFonts w:ascii="Arial" w:cs="Arial" w:eastAsia="Arial" w:hAnsi="Arial"/>
          <w:sz w:val="18"/>
          <w:szCs w:val="18"/>
          <w:color w:val="auto"/>
        </w:rPr>
        <w:t>B. Common Stock. Except as otherwise required by law or as otherwise provided in any Preferred Stock Designation, the holders of the Common Stock shall exclusively possess all voting power and each share of Common Stock shall have one vote. The holders of shares of Common Stock shall not have cumulative voting rights.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FIFTH: Intentionally Omitted.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SIXTH: The introduction and the following provisions (A) through (J) of this Article Sixth shall apply during the period commencing upon the filing of this Amended and Restated Certificate of Incorporation and terminating upon the consummation of any Business Combination (defined below) and no amendment to this Article Sixth shall be effective during the Target Business Acquisition Period (defined below) unless approved by the affirmative vote of the holders of at least a majority of the then outstanding shares of Common Stock. Notwithstanding the foregoing, if the Corporation seeks to amend any of the foregoing provisions other than in connection with a Business Combination, the Corporation will provide holders of IPO Subunits (defined below) with the opportunity to convert their IPO Subunits in connection with any such vote as described in paragraph C below. The “Target Business Acquisition Period” shall mean the period from the effectiveness of the registration statement on Form S-1 (“Registration Statement”) filed with the Securities and Exchange Commission (“Commission”) in connection with the Corporation’s initial public offering (“IPO”) up to and including the first to occur of (a) a Business Combination or (b) the Termination Date (defined below).</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“Business Combination” shall mean any merger, share exchange, asset acquisition, stock purchase, recapitalization, reorganization or other similar business combination involving the Corporation and one or more businesses or entities (“Target Business” or “Target Businesses”). So long as the Corporation’s securities are listed on a national securities exchange, the Target Business or Target Businesses acquired in the Business Combination must together have a fair market value of at least 80% of the assets held in the Trust Account (defined below), excluding taxes payable on the income earned on the Trust Account, at the time of the signing of the definitive agreement governing the terms of the initial Business Combination. If the Corporation acquires less than 100% of the equity interests or assets of a Target Business, the portion of such Target Business that the Corporation acquires is what will be valued for purposes of the 80% fair market value test.</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Prior to the consummation of any Business Combination, the Corporation shall either (i) submit such Business Combination to its stockholders for approval (“Proxy Solicitation”) pursuant to the proxy rules promulgated under the Securities Exchange Act of 1934, as amended (“Exchange Act”) or</w:t>
      </w:r>
    </w:p>
    <w:p>
      <w:pPr>
        <w:jc w:val="both"/>
        <w:ind w:firstLine="8"/>
        <w:spacing w:after="0" w:line="255" w:lineRule="auto"/>
        <w:tabs>
          <w:tab w:leader="none" w:pos="2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all holders of its Common Stock included in the IPO Subunits with the opportunity to sell their subunits to the Corporation, effective upon consummation of such Business Combination, for cash through a tender offer (“Tender Offer”) pursuant to the tender offer rules promulgated under the Exchange Act.</w:t>
      </w:r>
    </w:p>
    <w:p>
      <w:pPr>
        <w:spacing w:after="0" w:line="189" w:lineRule="exact"/>
        <w:rPr>
          <w:rFonts w:ascii="Arial" w:cs="Arial" w:eastAsia="Arial" w:hAnsi="Arial"/>
          <w:sz w:val="18"/>
          <w:szCs w:val="18"/>
          <w:color w:val="auto"/>
        </w:rPr>
      </w:pPr>
    </w:p>
    <w:p>
      <w:pPr>
        <w:jc w:val="both"/>
        <w:ind w:firstLine="656"/>
        <w:spacing w:after="0" w:line="263" w:lineRule="auto"/>
        <w:tabs>
          <w:tab w:leader="none" w:pos="8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the Corporation engages in a Proxy Solicitation in connection with any proposed Business Combination, the Corporation will consummate such Business Combination only if a majority of the then outstanding shares of Common Stock present and entitled to vote at the meeting to approve the Business Combination are voted for the approval of such Business Combination.</w:t>
      </w:r>
    </w:p>
    <w:p>
      <w:pPr>
        <w:spacing w:after="0" w:line="183" w:lineRule="exact"/>
        <w:rPr>
          <w:rFonts w:ascii="Arial" w:cs="Arial" w:eastAsia="Arial" w:hAnsi="Arial"/>
          <w:sz w:val="18"/>
          <w:szCs w:val="18"/>
          <w:color w:val="auto"/>
        </w:rPr>
      </w:pPr>
    </w:p>
    <w:p>
      <w:pPr>
        <w:jc w:val="both"/>
        <w:ind w:firstLine="656"/>
        <w:spacing w:after="0" w:line="287" w:lineRule="auto"/>
        <w:tabs>
          <w:tab w:leader="none" w:pos="861"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the event that a Business Combination is approved in accordance with the above paragraph (B) and is consummated by the Corporation, any holder of shares of Common Stock included in the subunits sold in the IPO (the “IPO Subunits”) may demand that the Corporation convert the holder’s IPO Subunits into cash. If so demanded, the Corporation shall, promptly after consummation of the Business Combination, convert such shares into cash at a per share price equal to the quotient determined by dividing (i) the amount then held in the Trust Account (defined below) net of taxes payable, calculated as of two business days prior to the consummation of the Business Combination, by (ii) the total number of IPO Subunits then outstanding (such price being referred to as the “Conversion Price”). “Trust Account” shall mean the trust account established by the Corporation pursuant to a trust agreement (“Trust Agreement”) at the consummation of its IPO and into which a certain amount of the net proceeds of the IPO and simultaneous private placement is deposited, all as described in the Registration Statement. The Corporation may require any holder of IPO Subunits who demands that the Corporation convert such IPO Subunits into cash to either tender such holder’s certificates to the Corporation’s transfer agent at any time prior to the vote taken at the stockholder meeting relating to such Business Combination or to deliver their shares to the transfer agent electronically using The Depository Trust Company’s DWAC (Deposit/Withdrawal At Custodian) System at any time prior to the vote taken at the stockholder meeting relating to such Business Combination, with the exact timing of the delivery of the IPO Subunits to be set forth in the proxy materials relating to such Business Combination.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3" w:name="page54"/>
    <w:bookmarkEnd w:id="53"/>
    <w:p>
      <w:pPr>
        <w:jc w:val="both"/>
        <w:ind w:firstLine="648"/>
        <w:spacing w:after="0" w:line="255" w:lineRule="auto"/>
        <w:rPr>
          <w:sz w:val="20"/>
          <w:szCs w:val="20"/>
          <w:color w:val="auto"/>
        </w:rPr>
      </w:pPr>
      <w:r>
        <w:rPr>
          <w:rFonts w:ascii="Arial" w:cs="Arial" w:eastAsia="Arial" w:hAnsi="Arial"/>
          <w:sz w:val="18"/>
          <w:szCs w:val="18"/>
          <w:color w:val="auto"/>
        </w:rPr>
        <w:t>D. If the Corporation engages in a Tender Offer, the Corporation shall file tender offer documents with the Commission which will contain substantially the same financial and other information about the Business Combination as is required under the proxy rules promulgated under the Exchange Act and that would have been included in any proxy statement filed with the Commission in connection with a Proxy Solicitation, even if such information is not required under the tender offer rules promulgated under the Exchange Act. The per-share price at which the Corporation will repurchase the IPO Subunits in any such Tender Offer shall be equal to the Conversion Price. The Corporation shall not purchase any shares of Common Stock other than IPO Subunits in any such Tender Offer.</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 The Corporation will only consummate a Business Combination if it has net tangible assets of at least $5,000,001 either immediately prior to or upon consummation of such Business Combination.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 In the event that the Corporation does not consummate a Business Combination by 18 months after the consummation of the IPO (or, if the Office of the Delaware Division of Corporations shall not be open for business (including filing of corporate documents) on such date the next date upon which the Office of the Delaware Division of Corporations shall be open) (or such later date pursuant to the extension set forth under this paragraph, the “Termination Date”), the Corporation shall (i) cease all operations except for the purposes of winding up, (ii) as promptly as reasonably possible but not more than ten (10) business days thereafter, redeem 100% of the IPO Subunits for cash for a redemption price per share equal to the amount then held in the Trust Account, less any interest for any income or other taxes payable, divided by the total number of IPO Subunits then outstanding (which redemption will completely extinguish such holders’ rights as stockholders, including the right to receive further liquidation distributions, if any), subject to applicable law, and (iii) as promptly as reasonably possible following such redemption, subject to approval of the Corporation’s then stockholders and subject to the requirements of the DGCL, including the adoption of a resolution by the Board pursuant to Section 275(a) of the DGCL finding the dissolution of the Corporation advisable and the provision of such notices as are required by said Section 275(a) of the DGCL, dissolve and liquidate, subject (in the case of clauses (ii) and (iii) above) to the Corporation’s obligations under the DGCL to provide for claims of creditors and other requirements of applicable law. The gross proceeds from the issuance of such promissory note(s) shall be held in the Trust Account and used to fund the conversion of the IPO Subunits in accordance with this Article Sixth. If the Corporation completes its initial Business Combination, it will repay the amounts loaned under the promissory note out of the proceeds of the Trust Account released to it. If the Corporation does not complete a Business Combination by the Termination Date, the loans will not be repaid.</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 A holder of IPO Subunits shall be entitled to receive distributions from the Trust Fund only in the event (i) such holder demands conversion of his shares in accordance with paragraph C above in connection with any Proxy Solicitation, (ii) such holder sells the holder’s shares to the Corporation in accordance with paragraph D above in connection with any Tender Offer, (iii) that the Corporation has not consummated a Business Combination by the Termination Date or (iv) the Corporation seeks to amend the provisions of this Article Sixth prior to the consummation of a Business Combination. In no other circumstances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 Unless and until the Corporation has consummated its initial Business Combination as permitted under this Article Sixth, the Corporation may not consummate any other business combination transaction, whether by merger, capital stock exchange, asset acquisition, stock purchase, reorganization or other similar business combination, transaction or otherwise. The Corporation shall not consummate a Business Combination with an entity that is affiliated with any of the Corporation’s officers, directors or sponsors unless the Corporation has obtained an opinion from an independent investment banking firm or another independent entity that commonly renders valuation opinions that such a Business Combination is fair to the Corporation (or its stockholders) from a financial point of view and a majority of the Corporation’s disinterested independent directors approve such Business Combination.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jc w:val="both"/>
        <w:ind w:firstLine="648"/>
        <w:spacing w:after="0" w:line="308" w:lineRule="auto"/>
        <w:rPr>
          <w:sz w:val="20"/>
          <w:szCs w:val="20"/>
          <w:color w:val="auto"/>
        </w:rPr>
      </w:pPr>
      <w:r>
        <w:rPr>
          <w:rFonts w:ascii="Arial" w:cs="Arial" w:eastAsia="Arial" w:hAnsi="Arial"/>
          <w:sz w:val="17"/>
          <w:szCs w:val="17"/>
          <w:color w:val="auto"/>
        </w:rPr>
        <w:t>I. Prior to the consummation of a Business Combination, the Board of Directors may not issue any securities which participate in or are otherwise entitled in any manner to any of the proceeds in the Trust Account or which vote as a class with the Common Stock on any matter.</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J. The Board of Directors shall be divided into three classes: Class A, Class B and Class C. The number of directors in each class shall be fixed exclusively by the Board of Directors and shall be as nearly equal as possible. At the first election of directors by the incorporator, the directors elected by the incorporator shall serve as Class C directors for a term expiring at the Corporation’s third Annual Meeting of Stockholders. The Class C directors shall then appoint additional Class A, Class B and Class C directors, as necessary. The directors in Class A shall be elected for a term expiring at the first Annual Meeting of Stockholders, the directors in Class B shall be elected for a term expiring at the second Annual Meeting of Stockholders and the directors in Class C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only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In furtherance and not in limitation of the powers conferred by the laws of the State of Delaware, the Board of Directors is expressly authorized to make, alter and repeal the by-laws of the Corporation, subject to the power of the stockholders of the Corporation to alter or repeal any by-law whether adopted by them or otherwise.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jc w:val="both"/>
        <w:ind w:firstLine="648"/>
        <w:spacing w:after="0" w:line="272" w:lineRule="auto"/>
        <w:rPr>
          <w:sz w:val="20"/>
          <w:szCs w:val="20"/>
          <w:color w:val="auto"/>
        </w:rPr>
      </w:pPr>
      <w:r>
        <w:rPr>
          <w:rFonts w:ascii="Arial" w:cs="Arial" w:eastAsia="Arial" w:hAnsi="Arial"/>
          <w:sz w:val="17"/>
          <w:szCs w:val="17"/>
          <w:color w:val="auto"/>
        </w:rPr>
        <w:t>EIGHTH: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TENTH: A. Forum. Subject to the last sentence in this Section 10.A,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of Incorporation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Section 10.A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jc w:val="both"/>
        <w:ind w:firstLine="648"/>
        <w:spacing w:after="0" w:line="275" w:lineRule="auto"/>
        <w:rPr>
          <w:sz w:val="20"/>
          <w:szCs w:val="20"/>
          <w:color w:val="auto"/>
        </w:rPr>
      </w:pPr>
      <w:r>
        <w:rPr>
          <w:rFonts w:ascii="Arial" w:cs="Arial" w:eastAsia="Arial" w:hAnsi="Arial"/>
          <w:sz w:val="17"/>
          <w:szCs w:val="17"/>
          <w:color w:val="auto"/>
        </w:rPr>
        <w:t>B. Consent to Jurisdiction. If any action the subject matter of which is within the scope of Section 10.A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Section 10.A immediately above (an “FSC Enforcement Action”) and (ii) having service of process made upon such stockholder in any such FSC Enforcement Action by service upon such stockholder’s counsel in the Foreign Action as agent for such stockholder.</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 Severability. If any provision or provisions of this Amended and Restated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Amended and Restated Certificate of Incorporation (including, without limitation, each portion of any sentence of this Section 10.C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Section 10.C.</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ELEVENTH: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Amended and Restated Certificate of Incorporation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Amended and Restated Certificate of Incorporation to be signed by Stephen 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Cannon, its Chief Executive Officer, as of the ___ day of ____, 2021.</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Stephen N. Cannon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is made as of March 10, 2021 between Archimedes Tech SPAC Partners Co., a Delaware corporation, with offices at 2093 Philadelphia Pike #1968, Claymont, DE 19703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a New York corporation, with offices at 1 State Street, New York, New York 10004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WHEREAS, the Company is engaged in a public offering (“</w:t>
      </w:r>
      <w:r>
        <w:rPr>
          <w:rFonts w:ascii="Arial" w:cs="Arial" w:eastAsia="Arial" w:hAnsi="Arial"/>
          <w:sz w:val="16"/>
          <w:szCs w:val="16"/>
          <w:u w:val="single" w:color="auto"/>
          <w:color w:val="auto"/>
        </w:rPr>
        <w:t>Public Offering</w:t>
      </w:r>
      <w:r>
        <w:rPr>
          <w:rFonts w:ascii="Arial" w:cs="Arial" w:eastAsia="Arial" w:hAnsi="Arial"/>
          <w:sz w:val="16"/>
          <w:szCs w:val="16"/>
          <w:color w:val="auto"/>
        </w:rPr>
        <w:t xml:space="preserve">”) of up to 13,800,000 units (if the underwriters’ over-allotment option is exercised in full), each unit (the “Public </w:t>
      </w:r>
      <w:r>
        <w:rPr>
          <w:rFonts w:ascii="Arial" w:cs="Arial" w:eastAsia="Arial" w:hAnsi="Arial"/>
          <w:sz w:val="16"/>
          <w:szCs w:val="16"/>
          <w:u w:val="single" w:color="auto"/>
          <w:color w:val="auto"/>
        </w:rPr>
        <w:t>Units</w:t>
      </w:r>
      <w:r>
        <w:rPr>
          <w:rFonts w:ascii="Arial" w:cs="Arial" w:eastAsia="Arial" w:hAnsi="Arial"/>
          <w:sz w:val="16"/>
          <w:szCs w:val="16"/>
          <w:color w:val="auto"/>
        </w:rPr>
        <w:t>”) comprised of (i) one subunit (the “Public Subunits”), consisting of one share of common stock of the Company,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one-quarter of one warrant (the “Public Warrants”), and (ii) one-quarter of one Public Warrant, where each whole Public Warrant entitles the holder to purchase one share of Common Stock at a price of $11.50 per share, subject to adjustment as described herein, and, in connection therewith, will issue and deliver up to 3,450,000 Public Warrants to the public investors in connection with the Public Offering whereas another 3,450,000 Public Warrants that are contained within the Public Subunits will be issued and delivered upon the consummation of the Business Combination to the extent that the Public Subunits had not been redeemed as part of the Business Combination;</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certain Registration Statements on Form S-1, Nos. 333-253108 and 333-254114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for the registration, under the Securities Act of 1933, as amended (“</w:t>
      </w:r>
      <w:r>
        <w:rPr>
          <w:rFonts w:ascii="Arial" w:cs="Arial" w:eastAsia="Arial" w:hAnsi="Arial"/>
          <w:sz w:val="18"/>
          <w:szCs w:val="18"/>
          <w:u w:val="single" w:color="auto"/>
          <w:color w:val="auto"/>
        </w:rPr>
        <w:t>Act</w:t>
      </w:r>
      <w:r>
        <w:rPr>
          <w:rFonts w:ascii="Arial" w:cs="Arial" w:eastAsia="Arial" w:hAnsi="Arial"/>
          <w:sz w:val="18"/>
          <w:szCs w:val="18"/>
          <w:color w:val="auto"/>
        </w:rPr>
        <w:t>”) of, among other securities, the Public Warrants;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WHEREAS, the Company has received binding commitments from Archimedes Tech SPAC Sponsors LLC (the “</w:t>
      </w:r>
      <w:r>
        <w:rPr>
          <w:rFonts w:ascii="Arial" w:cs="Arial" w:eastAsia="Arial" w:hAnsi="Arial"/>
          <w:sz w:val="16"/>
          <w:szCs w:val="16"/>
          <w:u w:val="single" w:color="auto"/>
          <w:color w:val="auto"/>
        </w:rPr>
        <w:t>Sponsor</w:t>
      </w:r>
      <w:r>
        <w:rPr>
          <w:rFonts w:ascii="Arial" w:cs="Arial" w:eastAsia="Arial" w:hAnsi="Arial"/>
          <w:sz w:val="16"/>
          <w:szCs w:val="16"/>
          <w:color w:val="auto"/>
        </w:rPr>
        <w:t>”) and EarlyBirdCapital, Inc. (“</w:t>
      </w:r>
      <w:r>
        <w:rPr>
          <w:rFonts w:ascii="Arial" w:cs="Arial" w:eastAsia="Arial" w:hAnsi="Arial"/>
          <w:sz w:val="16"/>
          <w:szCs w:val="16"/>
          <w:u w:val="single" w:color="auto"/>
          <w:color w:val="auto"/>
        </w:rPr>
        <w:t>EarlyBirdCapita</w:t>
      </w:r>
      <w:r>
        <w:rPr>
          <w:rFonts w:ascii="Arial" w:cs="Arial" w:eastAsia="Arial" w:hAnsi="Arial"/>
          <w:sz w:val="16"/>
          <w:szCs w:val="16"/>
          <w:color w:val="auto"/>
        </w:rPr>
        <w:t>l”) for them or their designees to purchase up to an aggregate of 426,000 units (the “Private Units”) upon consummation of the Public Offering (if the over-allotment option is exercised in full), each Private Unit consisting of (i) one subunit (the “Private Subunits”), consisting of one share of Common Stock and one-quarter of one warrant (the “Private Warrants”), and (ii) one-quarter of one Private Warrant, where each whole Private Warrant entitles the holder to purchase one share of Common Stock at a price of $11.50 per share, subject to adjustment as described herein;</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Company may issue up to an additional 150,000 units (the “</w:t>
      </w:r>
      <w:r>
        <w:rPr>
          <w:rFonts w:ascii="Arial" w:cs="Arial" w:eastAsia="Arial" w:hAnsi="Arial"/>
          <w:sz w:val="18"/>
          <w:szCs w:val="18"/>
          <w:u w:val="single" w:color="auto"/>
          <w:color w:val="auto"/>
        </w:rPr>
        <w:t>Working Capital Units</w:t>
      </w:r>
      <w:r>
        <w:rPr>
          <w:rFonts w:ascii="Arial" w:cs="Arial" w:eastAsia="Arial" w:hAnsi="Arial"/>
          <w:sz w:val="18"/>
          <w:szCs w:val="18"/>
          <w:color w:val="auto"/>
        </w:rPr>
        <w:t>”) at a price of $10.00 per Working Capital Unit in satisfaction of certain working capital loans made by the Sponsor, the Company’s officers, directors, and initial stockholders and their affiliates, each consisting of (i) one subunit, consisting of one share of Common Stock and one-quarter of one warrant (the “Working Capital Warrants”), and (ii) one-quarter of one Working Capital Warrant, where each whole Working Capital Warrant entitles the holder to purchase one share of Common Stock at a price of $11.50 per share, subject to adjustment as described herein;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following consummation of the Public Offering, the Company may issue additional warrants (“</w:t>
      </w:r>
      <w:r>
        <w:rPr>
          <w:rFonts w:ascii="Arial" w:cs="Arial" w:eastAsia="Arial" w:hAnsi="Arial"/>
          <w:sz w:val="18"/>
          <w:szCs w:val="18"/>
          <w:u w:val="single" w:color="auto"/>
          <w:color w:val="auto"/>
        </w:rPr>
        <w:t>Post-IPO Warrants</w:t>
      </w:r>
      <w:r>
        <w:rPr>
          <w:rFonts w:ascii="Arial" w:cs="Arial" w:eastAsia="Arial" w:hAnsi="Arial"/>
          <w:sz w:val="18"/>
          <w:szCs w:val="18"/>
          <w:color w:val="auto"/>
        </w:rPr>
        <w:t>” and together with the Public Warrants, Private Warrants, and Working Capital Warrants, the “</w:t>
      </w:r>
      <w:r>
        <w:rPr>
          <w:rFonts w:ascii="Arial" w:cs="Arial" w:eastAsia="Arial" w:hAnsi="Arial"/>
          <w:sz w:val="18"/>
          <w:szCs w:val="18"/>
          <w:u w:val="single" w:color="auto"/>
          <w:color w:val="auto"/>
        </w:rPr>
        <w:t>Warrants</w:t>
      </w:r>
      <w:r>
        <w:rPr>
          <w:rFonts w:ascii="Arial" w:cs="Arial" w:eastAsia="Arial" w:hAnsi="Arial"/>
          <w:sz w:val="18"/>
          <w:szCs w:val="18"/>
          <w:color w:val="auto"/>
        </w:rPr>
        <w:t>”) in connection with, or following the consummation by the Company of, a Business Combination (defined below);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Form of Warrant</w:t>
      </w:r>
      <w:r>
        <w:rPr>
          <w:rFonts w:ascii="Arial" w:cs="Arial" w:eastAsia="Arial" w:hAnsi="Arial"/>
          <w:sz w:val="17"/>
          <w:szCs w:val="17"/>
          <w:color w:val="auto"/>
        </w:rPr>
        <w:t>. Each Warrant shall be issued in registered form only, shall be in substantially the form of Exhibit A hereto, the provisions of which are incorporated herein and shall be signed by, or bear the facsimile signature of, the Chairman of the Board of Directors, Chief Executive Officer or other principal officer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Uncertificated Warrants</w:t>
      </w:r>
      <w:r>
        <w:rPr>
          <w:rFonts w:ascii="Arial" w:cs="Arial" w:eastAsia="Arial" w:hAnsi="Arial"/>
          <w:sz w:val="18"/>
          <w:szCs w:val="18"/>
          <w:color w:val="auto"/>
        </w:rPr>
        <w:t>. Notwithstanding anything herein to the contrary, any Warrant, or portion thereof, may be issued as part of, and be represented by, a Unit, and any Warrant may be issued in uncertificated or book-entry form through the Warrant Agent and/or the facilities of The Depository Trust Company (the “</w:t>
      </w:r>
      <w:r>
        <w:rPr>
          <w:rFonts w:ascii="Arial" w:cs="Arial" w:eastAsia="Arial" w:hAnsi="Arial"/>
          <w:sz w:val="18"/>
          <w:szCs w:val="18"/>
          <w:u w:val="single" w:color="auto"/>
          <w:color w:val="auto"/>
        </w:rPr>
        <w:t>Depositary</w:t>
      </w:r>
      <w:r>
        <w:rPr>
          <w:rFonts w:ascii="Arial" w:cs="Arial" w:eastAsia="Arial" w:hAnsi="Arial"/>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w:t>
      </w:r>
      <w:r>
        <w:rPr>
          <w:rFonts w:ascii="Arial" w:cs="Arial" w:eastAsia="Arial" w:hAnsi="Arial"/>
          <w:sz w:val="16"/>
          <w:szCs w:val="16"/>
          <w:u w:val="single" w:color="auto"/>
          <w:color w:val="auto"/>
        </w:rPr>
        <w:t>Warrant Register</w:t>
      </w:r>
      <w:r>
        <w:rPr>
          <w:rFonts w:ascii="Arial" w:cs="Arial" w:eastAsia="Arial" w:hAnsi="Arial"/>
          <w:sz w:val="16"/>
          <w:szCs w:val="16"/>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Arial" w:cs="Arial" w:eastAsia="Arial" w:hAnsi="Arial"/>
          <w:sz w:val="18"/>
          <w:szCs w:val="18"/>
          <w:u w:val="single" w:color="auto"/>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Public Subunits and Public Warrants comprising the Public Units will not be separately transferable until the</w:t>
      </w:r>
    </w:p>
    <w:p>
      <w:pPr>
        <w:spacing w:after="0" w:line="4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the prospectus or, if such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is not on a day, other than Saturday, Sunday or federal holiday, on which banks in New York City are generally open for normal business (a “</w:t>
      </w:r>
      <w:r>
        <w:rPr>
          <w:rFonts w:ascii="Arial" w:cs="Arial" w:eastAsia="Arial" w:hAnsi="Arial"/>
          <w:sz w:val="16"/>
          <w:szCs w:val="16"/>
          <w:u w:val="single" w:color="auto"/>
          <w:color w:val="auto"/>
        </w:rPr>
        <w:t>Business Day</w:t>
      </w:r>
      <w:r>
        <w:rPr>
          <w:rFonts w:ascii="Arial" w:cs="Arial" w:eastAsia="Arial" w:hAnsi="Arial"/>
          <w:sz w:val="16"/>
          <w:szCs w:val="16"/>
          <w:color w:val="auto"/>
        </w:rPr>
        <w:t>”), then on the immediately succeeding Business Day following such date, or earlier with the consent of EarlyBirdCapital (the “Representative”), but in no event will the Representative allow separate trading of the securities comprising the Units until (i) the Company has filed a Current Report on Form 8-K which includes an audited balance sheet reflecting the receipt by the Company of the gross proceeds of the Public Offering including the proceeds received by the Company from the exercise of the underwriters’ over-allotment option in the Public Offering, if the over-allotment option is exercised prior to the filing of the Form 8-K, and (ii) the Company has issued a press release and has filed a Current Report on Form 8-K announcing when such separate trading shall begin (the “</w:t>
      </w:r>
      <w:r>
        <w:rPr>
          <w:rFonts w:ascii="Arial" w:cs="Arial" w:eastAsia="Arial" w:hAnsi="Arial"/>
          <w:sz w:val="16"/>
          <w:szCs w:val="16"/>
          <w:u w:val="single" w:color="auto"/>
          <w:color w:val="auto"/>
        </w:rPr>
        <w:t>Detachment Date</w:t>
      </w:r>
      <w:r>
        <w:rPr>
          <w:rFonts w:ascii="Arial" w:cs="Arial" w:eastAsia="Arial" w:hAnsi="Arial"/>
          <w:sz w:val="16"/>
          <w:szCs w:val="16"/>
          <w:color w:val="auto"/>
        </w:rPr>
        <w:t>”). The shares of Common Stock and Public Warrants comprising the Public Subunits that have not been redeemed by the holders at the time of the Company’s initial Business Combination shall automatically separate upon the consummation of the Company’s initial Business Combination (the “Separation Date”).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0" w:name="page61"/>
    <w:bookmarkEnd w:id="60"/>
    <w:p>
      <w:pPr>
        <w:jc w:val="both"/>
        <w:ind w:firstLine="648"/>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Attributes of Private Warrants and Working Capital Warrants</w:t>
      </w:r>
      <w:r>
        <w:rPr>
          <w:rFonts w:ascii="Arial" w:cs="Arial" w:eastAsia="Arial" w:hAnsi="Arial"/>
          <w:sz w:val="16"/>
          <w:szCs w:val="16"/>
          <w:color w:val="auto"/>
        </w:rPr>
        <w:t>. The Private Warrants and Working Capital Warrants will be issued in the same form as the Public Warrants but they (i) will not be redeemable by the Company and (ii) may be exercised for cash or on a cashless basis at the holder’s option, in either case as long as they are held by the initial purchasers or their permitted transferees (as prescribed in Section 5.6 hereof). Once such Warrant is transferred to a holder other than an affiliate or permitted transferee, it shall be treated as a Public Warrant hereunder for all purposes.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Post-IPO Warrants</w:t>
      </w:r>
      <w:r>
        <w:rPr>
          <w:rFonts w:ascii="Arial" w:cs="Arial" w:eastAsia="Arial" w:hAnsi="Arial"/>
          <w:sz w:val="18"/>
          <w:szCs w:val="18"/>
          <w:color w:val="auto"/>
        </w:rPr>
        <w:t>. The Post-IPO Warrants, when and if issued, shall have the same terms and be in the same form as the Public Warrants except as may be agreed upon by the Company.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Fractional Warrants</w:t>
      </w:r>
      <w:r>
        <w:rPr>
          <w:rFonts w:ascii="Arial" w:cs="Arial" w:eastAsia="Arial" w:hAnsi="Arial"/>
          <w:sz w:val="17"/>
          <w:szCs w:val="17"/>
          <w:color w:val="auto"/>
        </w:rPr>
        <w:t>. The Company shall not issue fractional Warrants other than as part of the Units, each of which is comprised of one Subunit and one-quarter of one whole Warrant or as part of the Subunits, each of which is comprised of one share of Common Stock and one-quarter of one whole Warrant. If, upon the detachment of Warrants from the Units, Subunits or otherwise, a holder of Warrants would be entitled to receive a fractional Warrant, the Company shall round down to the nearest whole number the number of Warrants to be issued to such holder.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Each whole Warrant shall, when countersigned by the Warrant Agent (except with respect to uncertificated Warrants), entitle the registered holder thereof, subject to the provisions of such Warrant and of this Agreement, to purchase from the Company the number of shares of Common Stock stated therein, at the price of $11.50 per share, subject to the adjustments provided in Section 4 hereof and in the last sentence of this Section 3.1. The term “Warrant Price” as used in this Agreement refers to the price per share at which the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30 days after the consummation by the Company of a merger, share exchange, asset acquisition, stock purchase, recapitalization, reorganization or other similar business combination with one or more businesses or entities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w:t>
      </w:r>
      <w:r>
        <w:rPr>
          <w:rFonts w:ascii="Arial" w:cs="Arial" w:eastAsia="Arial" w:hAnsi="Arial"/>
          <w:sz w:val="16"/>
          <w:szCs w:val="16"/>
          <w:color w:val="auto"/>
        </w:rPr>
        <w:t>”) (as described more fully in the Registration Statement), and terminating at 5:00 p.m., New York City time on the earlier to occur of (i) five years from the consummation of a Business Combination, (ii) the Redemption Date as provided in Section 6.2 of this Agreement and (iii) the liquidation of the Company (“</w:t>
      </w:r>
      <w:r>
        <w:rPr>
          <w:rFonts w:ascii="Arial" w:cs="Arial" w:eastAsia="Arial" w:hAnsi="Arial"/>
          <w:sz w:val="16"/>
          <w:szCs w:val="16"/>
          <w:u w:val="single" w:color="auto"/>
          <w:color w:val="auto"/>
        </w:rPr>
        <w:t>Expiration Date</w:t>
      </w:r>
      <w:r>
        <w:rPr>
          <w:rFonts w:ascii="Arial" w:cs="Arial" w:eastAsia="Arial" w:hAnsi="Arial"/>
          <w:sz w:val="16"/>
          <w:szCs w:val="16"/>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Payment</w:t>
      </w:r>
      <w:r>
        <w:rPr>
          <w:rFonts w:ascii="Arial" w:cs="Arial" w:eastAsia="Arial" w:hAnsi="Arial"/>
          <w:sz w:val="18"/>
          <w:szCs w:val="18"/>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share of Common Stock as to which the Warrant is exercised and any and all applicable taxes due in connection with the exercise of the Warrant, as follows:</w:t>
      </w:r>
    </w:p>
    <w:p>
      <w:pPr>
        <w:spacing w:after="0" w:line="188" w:lineRule="exact"/>
        <w:rPr>
          <w:sz w:val="20"/>
          <w:szCs w:val="20"/>
          <w:color w:val="auto"/>
        </w:rPr>
      </w:pPr>
    </w:p>
    <w:p>
      <w:pPr>
        <w:ind w:left="1540" w:hanging="236"/>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good certified check or good bank draft payable to the order of the Warrant Agent or wire transfer; or</w:t>
      </w:r>
    </w:p>
    <w:p>
      <w:pPr>
        <w:spacing w:after="0" w:line="225" w:lineRule="exact"/>
        <w:rPr>
          <w:rFonts w:ascii="Arial" w:cs="Arial" w:eastAsia="Arial" w:hAnsi="Arial"/>
          <w:sz w:val="18"/>
          <w:szCs w:val="18"/>
          <w:color w:val="auto"/>
        </w:rPr>
      </w:pPr>
    </w:p>
    <w:p>
      <w:pPr>
        <w:jc w:val="both"/>
        <w:ind w:firstLine="1304"/>
        <w:spacing w:after="0" w:line="273" w:lineRule="auto"/>
        <w:tabs>
          <w:tab w:leader="none" w:pos="1573"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the event of redemption pursuant to Section 6 hereof in which the Company’s management has elected to force all holders of Warrants to exercise such Warrants on a “cashless basis,” by surrendering the Warrants for that number of shares of Common Stock equal to the quotient obtained by dividing (x) the product of the number of shares of Common Stock underlying the Warrants, multiplied by the difference between the Warrant Price and the “Fair Market Value” (defined below) by (y) the Fair Market Value. Solely for purposes of this Section 3.3.1(b), the “Fair Market Value” shall mean the average last reported sale price of the Common Stock for the five (5) trading days ending on the third trading day prior to the date on which the notice of redemption is sent to holders of the Warrants pursuant to Section 6 hereof; or</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1546" w:val="left"/>
        </w:tabs>
        <w:numPr>
          <w:ilvl w:val="1"/>
          <w:numId w:val="21"/>
        </w:numPr>
        <w:rPr>
          <w:rFonts w:ascii="Arial" w:cs="Arial" w:eastAsia="Arial" w:hAnsi="Arial"/>
          <w:sz w:val="17"/>
          <w:szCs w:val="17"/>
          <w:color w:val="auto"/>
        </w:rPr>
      </w:pPr>
      <w:r>
        <w:rPr>
          <w:rFonts w:ascii="Arial" w:cs="Arial" w:eastAsia="Arial" w:hAnsi="Arial"/>
          <w:sz w:val="17"/>
          <w:szCs w:val="17"/>
          <w:color w:val="auto"/>
        </w:rPr>
        <w:t>with respect to any Private Warrants or Working Capital Warrants, so long as such Warrants are held by the initial purchasers or their permitted transferees, by surrendering such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3.3.1(c), the “Fair Market Value” shall mean the average reported last sale price of the Common Stock for the five (5) trading days ending on the third trading day prior to the date of exercise; or</w:t>
      </w:r>
    </w:p>
    <w:p>
      <w:pPr>
        <w:spacing w:after="0" w:line="177" w:lineRule="exact"/>
        <w:rPr>
          <w:rFonts w:ascii="Arial" w:cs="Arial" w:eastAsia="Arial" w:hAnsi="Arial"/>
          <w:sz w:val="17"/>
          <w:szCs w:val="17"/>
          <w:color w:val="auto"/>
        </w:rPr>
      </w:pPr>
    </w:p>
    <w:p>
      <w:pPr>
        <w:jc w:val="both"/>
        <w:ind w:firstLine="1304"/>
        <w:spacing w:after="0" w:line="291" w:lineRule="auto"/>
        <w:tabs>
          <w:tab w:leader="none" w:pos="157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the event the registration statement required by Section 7.4 hereof is not effective and current within ninety (90) days after the closing of a Business Combination, by surrendering such Warrants for that number of shares of Common Stock equal to the quotient obtained by dividing</w:t>
      </w:r>
    </w:p>
    <w:p>
      <w:pPr>
        <w:jc w:val="both"/>
        <w:ind w:firstLine="8"/>
        <w:spacing w:after="0" w:line="273" w:lineRule="auto"/>
        <w:tabs>
          <w:tab w:leader="none" w:pos="2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3.3.1(d), the “Fair Market Value” shall mean the average reported last sale price of the Common Stock for the five (5) trading days ending on the trading day prior to the date of exercise.</w:t>
      </w:r>
    </w:p>
    <w:p>
      <w:pPr>
        <w:spacing w:after="0" w:line="17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w:t>
      </w:r>
      <w:r>
        <w:rPr>
          <w:rFonts w:ascii="Arial" w:cs="Arial" w:eastAsia="Arial" w:hAnsi="Arial"/>
          <w:sz w:val="16"/>
          <w:szCs w:val="16"/>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of Common Stock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in which case the purchaser of a Unit containing such Public Warrants shall have paid the full purchase price for the Unit solely for the shares of Common Stock underlying such Unit. Warrants may not be exercised by, or securities issued to, any registered holder in any state in which such exercise would be unlawful.</w:t>
      </w:r>
    </w:p>
    <w:p>
      <w:pPr>
        <w:spacing w:after="0" w:line="17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p>
      <w:pPr>
        <w:jc w:val="both"/>
        <w:ind w:firstLine="1296"/>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 entry position or certificate for shares of Common Stock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9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Arial" w:cs="Arial" w:eastAsia="Arial" w:hAnsi="Arial"/>
          <w:sz w:val="16"/>
          <w:szCs w:val="16"/>
          <w:u w:val="single" w:color="auto"/>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78"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Dividends; Split Ups</w:t>
      </w:r>
      <w:r>
        <w:rPr>
          <w:rFonts w:ascii="Arial" w:cs="Arial" w:eastAsia="Arial" w:hAnsi="Arial"/>
          <w:sz w:val="18"/>
          <w:szCs w:val="18"/>
          <w:color w:val="auto"/>
        </w:rPr>
        <w:t>. If after the date hereof, and subject to the provisions of Section 4.6 below, the number of outstanding shares of Common Stock is increased by a stock dividend payable in shares of Common Stock, or by a split up of shares of Common Stock, or other similar event, then, on the effective date of such stock dividend, split up or similar event, the number of shares of Common Stock issuable on exercise of each Warrant shall be increased in proportion to such increase in outstanding shares of Common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3" w:name="page64"/>
    <w:bookmarkEnd w:id="63"/>
    <w:p>
      <w:pPr>
        <w:jc w:val="both"/>
        <w:ind w:firstLine="648"/>
        <w:spacing w:after="0" w:line="28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are outstanding and unexpired, shall pay a dividend or make a distribution in cash, securities or other assets to the holders of the shares of Common Stock or other shares of the Company’s capital stock into which the Warrants are convertible (an “</w:t>
      </w:r>
      <w:r>
        <w:rPr>
          <w:rFonts w:ascii="Arial" w:cs="Arial" w:eastAsia="Arial" w:hAnsi="Arial"/>
          <w:sz w:val="16"/>
          <w:szCs w:val="16"/>
          <w:u w:val="single" w:color="auto"/>
          <w:color w:val="auto"/>
        </w:rPr>
        <w:t>Extraordinary Dividend</w:t>
      </w:r>
      <w:r>
        <w:rPr>
          <w:rFonts w:ascii="Arial" w:cs="Arial" w:eastAsia="Arial" w:hAnsi="Arial"/>
          <w:sz w:val="16"/>
          <w:szCs w:val="16"/>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but only with respect to the amount of the aggregate cash dividends or cash distributions equal to or less than $0.50, (c) any payment to satisfy the conversion rights of the holders of the Public Subunits in connection with a proposed initial Business Combination or certain amendments to the Company’s Amended and Restated Certificate of Incorporation (as described in the Registration Statement) or</w:t>
      </w:r>
    </w:p>
    <w:p>
      <w:pPr>
        <w:spacing w:after="0" w:line="1" w:lineRule="exact"/>
        <w:rPr>
          <w:sz w:val="20"/>
          <w:szCs w:val="20"/>
          <w:color w:val="auto"/>
        </w:rPr>
      </w:pPr>
    </w:p>
    <w:p>
      <w:pPr>
        <w:jc w:val="both"/>
        <w:ind w:firstLine="8"/>
        <w:spacing w:after="0" w:line="286" w:lineRule="auto"/>
        <w:tabs>
          <w:tab w:leader="none" w:pos="2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payment in connection with the Company’s liquidation and the distribution of its assets upon its failure to consummate a Business Combination. Solely for purposes of illustration, if the Company, at a time while the Warrants are outstanding and unexpired, pays a cash dividend of $0.35 and previously paid an aggregate of $0.40 of cash dividends and cash distributions on the Common Stock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of the Company’s initial Business Combination,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In case of any reclassification or reorganization of the outstanding shares of Common Stock (other than a change covered by Section 4.1, 4.2 or 4.3 hereof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Common Stock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jc w:val="both"/>
        <w:ind w:firstLine="648"/>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Issuance in connection with a Business Combination</w:t>
      </w:r>
      <w:r>
        <w:rPr>
          <w:rFonts w:ascii="Arial" w:cs="Arial" w:eastAsia="Arial" w:hAnsi="Arial"/>
          <w:sz w:val="17"/>
          <w:szCs w:val="17"/>
          <w:color w:val="auto"/>
        </w:rPr>
        <w:t>. If, in connection with a Business Combination, the Company (a) issues additional shares of Common Stock or equity-linked securities at an issue price or effective issue price of less than $9.20 per share (with such issue price or effective issue price as determined by the Company’s Board of Directors, in good faith, and in the case of any such issuance to the Sponsor, the initial stockholders, or their affiliates, without taking into account any founders’ shares held by them prior to such issuance), (b) the aggregate gross proceeds from such issuances represent more than 60% of the total equity proceeds, and interest thereon, available for the funding of the Business Combination on the date of the consummation of such Business Combination (net of redemptions), and (c) the Fair Market Value (as defined below) is below $9.20 per share, the exercise price of the warrants will be adjusted (to the nearest cent) to be equal to 115% of the greater of (i) the Fair Market Value or (ii) the price at which the Company issues the Common Stock or equity-linked securities. Solely for purposes of this Section 4.6, the “</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the volume weighted average reported trading price of the Common Stock for the twenty (20) trading days starting on the trading day prior to the date of the consummation of the Business Combination.</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4.5, or 4.6,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Notwithstanding any provision contained in this Agreement to the contrary, the Company shall not issue fractional shares of Common Stock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of Common Stock to be issued to such holder.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Other Events</w:t>
      </w:r>
      <w:r>
        <w:rPr>
          <w:rFonts w:ascii="Arial" w:cs="Arial" w:eastAsia="Arial" w:hAnsi="Arial"/>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9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Private Warrants and Working Capital Warrants</w:t>
      </w:r>
      <w:r>
        <w:rPr>
          <w:rFonts w:ascii="Arial" w:cs="Arial" w:eastAsia="Arial" w:hAnsi="Arial"/>
          <w:sz w:val="16"/>
          <w:szCs w:val="16"/>
          <w:color w:val="auto"/>
        </w:rPr>
        <w:t>. The Warrant Agent shall not register any transfer of Private Warrants and Working Capital Warrants until after the consummation by the Company of an initial Business Combination, except for transfers (i) among the initial stockholders or to the initial stockholders’ or the Company’s officers, directors, consultants or their affiliates, (ii) to a holder’s stockholders or members upon the holder’s liquidation, in each case if the holder is an entity, (iii) by bona fide gift to a member of the holder’s immediate family or to a trust, the beneficiary of which is the holder or a member of the holder’s immediate family, in each case for estate planning purposes, (iv) by virtue of the laws of descent and distribution upon death, (v) pursuant to a qualified domestic relations order, (vi) to the Company for no value for cancellation in connection with the consummation of a Business Combination, (vii) in connection with the consummation of a Business Combination by private sales at prices no greater than the price at which the Warrants were originally purchased, (viii) in the event of the Company’s liquidation prior to its consummation of an initial Business Combination or</w:t>
      </w:r>
    </w:p>
    <w:p>
      <w:pPr>
        <w:spacing w:after="0" w:line="1" w:lineRule="exact"/>
        <w:rPr>
          <w:sz w:val="20"/>
          <w:szCs w:val="20"/>
          <w:color w:val="auto"/>
        </w:rPr>
      </w:pPr>
    </w:p>
    <w:p>
      <w:pPr>
        <w:jc w:val="both"/>
        <w:ind w:firstLine="8"/>
        <w:spacing w:after="0" w:line="292" w:lineRule="auto"/>
        <w:tabs>
          <w:tab w:leader="none" w:pos="3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event that, subsequent to the consummation of an initial Business Combination, the Company completes a liquidation, merger, share exchange or other similar transaction which results in all of the Company’s stockholders having the right to exchange their Common Stock for cash, securities or other property, in each case (except for clauses (vi), (viii) or (ix) or with the Company’s prior written consent) on the condition that prior to such registration for transfer, the Warrant Agent shall be presented with written documentation pursuant to which each transferee or the trustee or legal guardian for such transferee agrees to be bound by the transfer restrictions contained in this section and any other applicable agreement the transferor is bound by.</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Transfers prior to Detachment</w:t>
      </w:r>
      <w:r>
        <w:rPr>
          <w:rFonts w:ascii="Arial" w:cs="Arial" w:eastAsia="Arial" w:hAnsi="Arial"/>
          <w:sz w:val="18"/>
          <w:szCs w:val="18"/>
          <w:color w:val="auto"/>
        </w:rPr>
        <w:t>. Prior to the Detachment Date or the Separation Date, as the case may be, the Public Warrants may be transferred or exchanged only together with the Unit or Subunit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Section 5.7 shall have no effect on any transfer of Warrants on or after the Detachment Date or the Separation Date, as the case may be.</w:t>
      </w:r>
    </w:p>
    <w:p>
      <w:pPr>
        <w:spacing w:after="0" w:line="188"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Subject to Section 6.4 hereof, not less than all of the outstanding Warrants may be redeemed, at the option of the Company, at any time during the Exercise Period, at the office of the Warrant Agent, upon the notice referred to in Section 6.2, at the price of $0.01 per Warrant (“</w:t>
      </w:r>
      <w:r>
        <w:rPr>
          <w:rFonts w:ascii="Arial" w:cs="Arial" w:eastAsia="Arial" w:hAnsi="Arial"/>
          <w:sz w:val="17"/>
          <w:szCs w:val="17"/>
          <w:u w:val="single" w:color="auto"/>
          <w:color w:val="auto"/>
        </w:rPr>
        <w:t>Redemption Price</w:t>
      </w:r>
      <w:r>
        <w:rPr>
          <w:rFonts w:ascii="Arial" w:cs="Arial" w:eastAsia="Arial" w:hAnsi="Arial"/>
          <w:sz w:val="17"/>
          <w:szCs w:val="17"/>
          <w:color w:val="auto"/>
        </w:rPr>
        <w:t>”), provided that the last sales price of the Common Stock equals or 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or the Company has elected to require the exercise of the Warrants on a “cashless basis” pursuant to subsection 3.3.1(b); provided, however, that if and when the Public Warrants become redeemable by the Company, the Company may not exercise such redemption right if the issuance of shares of Common Stock upon exercise of the Public Warrants is not exempt from registration or qualification under applicable state blue sky laws or the Company is unable to effect such registration or qualification.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6" w:name="page67"/>
    <w:bookmarkEnd w:id="66"/>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that are subject to redemption, the Company shall fix a date for the redemption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Public Warrants may be exercised, for cash (or on a “cashless basis” in accordance with Section 3 of this Agreement) at any time after notice of redemption shall have been given by the Company pursuant to Section 6.2 hereof and prior to the Redemption Date. In the event the Company determines to require all holders of Public Warrants to exercise their Warrants on a “cashless basis” pursuant to Section 3.3.1(b), the notice of redemption will contain the information necessary to calculate the number of shares of Common Stock to be received upon exercise of the Warrants, including the “Fair Market Value” in such case. On and after the Redemption Date, the record holder of the Warrants shall have no further rights except to receive, upon surrender of the Warrants, the Redemption Price.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Exclusion of Certain Warrants</w:t>
      </w:r>
      <w:r>
        <w:rPr>
          <w:rFonts w:ascii="Arial" w:cs="Arial" w:eastAsia="Arial" w:hAnsi="Arial"/>
          <w:sz w:val="18"/>
          <w:szCs w:val="18"/>
          <w:color w:val="auto"/>
        </w:rPr>
        <w:t>. The Company agrees that the redemption rights provided in this Section 6 shall not apply to (i) the Private Warrants and the Working Capital Warrants if at the time of the redemption such Warrants continue to be held by the initial purchasers or their permitted transferees or (ii) Post-IPO Warrants if such warrants provide that they are non-redeemable by the Company. However, with respect to the Private Warrants and Working Capital Warrants, once such Warrants are transferred (other than to permitted transferees under Section 5.6), the Company may redeem the Warrants in the same manner as the Public Warrants.</w:t>
      </w:r>
    </w:p>
    <w:p>
      <w:pPr>
        <w:spacing w:after="0" w:line="188"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Shares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that as soon as practicable after the closing of its initial Business Combination,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 If any such registration statement has not been declared effective by the 90th day following the closing of the Business Combination, holders of the Warrants shall have the right, during the period beginning on the 91st day after the closing of the Business Combination and ending upon such registration statement being declared effective by the Securities and Exchange Commission, and during any other period when the Company shall fail to have maintained an effective registration statement covering the shares of Common Stock issuable upon exercise of the Warrants, to exercise such Warrants on a “cashless basis” as determined in accordance with Section 3.3.1(d). The Company shall provide the Warrant Agent with an opinion of counsel for the Company (which shall be an outside law firm with securities law experience) stating that (i) the exercise of the Warrants on a cashless basis in accordance with this Section 7.4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Section 7.4. The provisions of this Section 7.4 may not be modified, amended, or deleted without the prior written consent of EarlyBirdCapital.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7" w:name="page68"/>
    <w:bookmarkEnd w:id="67"/>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Directors of the Company and delivered to the Warrant Agent. The Warrant Agent may rely upon such statement for any action taken or suffered in good faith by it pursuant to the provisions of this Agreement.</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Warrants.</w:t>
      </w:r>
    </w:p>
    <w:p>
      <w:pPr>
        <w:spacing w:after="0" w:line="18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2093 Philadelphia Pike #1968, Claymont, DE 19703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Long Long</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Compliance Department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Graubard Miller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Alan Miller,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Giovanni Caruso,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EarlyBirdCapital, Inc.</w:t>
      </w:r>
    </w:p>
    <w:p>
      <w:pPr>
        <w:ind w:left="1300"/>
        <w:spacing w:after="0" w:line="202" w:lineRule="auto"/>
        <w:rPr>
          <w:sz w:val="20"/>
          <w:szCs w:val="20"/>
          <w:color w:val="auto"/>
        </w:rPr>
      </w:pPr>
      <w:r>
        <w:rPr>
          <w:rFonts w:ascii="Arial" w:cs="Arial" w:eastAsia="Arial" w:hAnsi="Arial"/>
          <w:sz w:val="18"/>
          <w:szCs w:val="18"/>
          <w:color w:val="auto"/>
        </w:rPr>
        <w:t>366 Madison Avenue,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Steven Levine</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 Exclusive Forum</w:t>
      </w:r>
      <w:r>
        <w:rPr>
          <w:rFonts w:ascii="Arial" w:cs="Arial" w:eastAsia="Arial" w:hAnsi="Arial"/>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Enforcement Action by service upon such warrant holder’s counsel in the Foreign Action as agent for such warrant holder.</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Persons Having Rights under this Agreement</w:t>
      </w:r>
      <w:r>
        <w:rPr>
          <w:rFonts w:ascii="Arial" w:cs="Arial" w:eastAsia="Arial" w:hAnsi="Arial"/>
          <w:sz w:val="17"/>
          <w:szCs w:val="17"/>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Sections 7.4, 9.4 and 9.8 hereof, EarlyBirdCapital, any right, remedy, or claim under or by reason of this Warrant Agreement or of any covenant, condition, stipulation, promise, or agreement hereof. EarlyBirdCapital shall be deemed to be a third-party beneficiary of this Agreement with respect to Sections 7.4, 9.4 and 9.8 hereof. All covenants, conditions, stipulations, promises, and agreements contained in this Warrant Agreement shall be for the sole and exclusive benefit of the parties hereto (and EarlyBirdCapital with respect to the Sections 7.4, 9.4 and 9.8 hereof) and their successors and assigns and of the registered holders of the Warrants.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0" w:name="page71"/>
    <w:bookmarkEnd w:id="70"/>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(i) a majority of the then outstanding Public Warrants if such modification or amendment is being undertaken prior to, or in connection with, the consummation of a Business Combination, (ii) a majority of the then outstanding Warrants if such modification or amendment is being undertaken after the consummation of a Business Combination, or (iii) solely with respect to any amendment to the terms of the Private Warrants, Working Capital Warrants or Post-IPO Warrants or any provision of this Agreement with respect to the Private Warrants, Working Capital Warrants, or Post-IPO Warrants, a majority of the number of the then outstanding Private Warrants, Working Capital Warrants, or Post-IPO Warrants, as applicable. Notwithstanding the foregoing, the Company may lower the Warrant Price or extend the duration of the Exercise Period pursuant to Sections 3.1 and 3.2, respectively, without the consent of the registered holders. The provisions of this Section 9.8 may not be modified, amended or deleted without the prior written consent of EarlyBirdCapital.</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Warrant Agent acknowledges and agrees that it shall not make any claims or proceed against the trust account established by the Company in connection with the Public Offering (as more fully described in the Registration Statement) (“</w:t>
      </w:r>
      <w:r>
        <w:rPr>
          <w:rFonts w:ascii="Arial" w:cs="Arial" w:eastAsia="Arial" w:hAnsi="Arial"/>
          <w:sz w:val="18"/>
          <w:szCs w:val="18"/>
          <w:u w:val="single" w:color="auto"/>
          <w:color w:val="auto"/>
        </w:rPr>
        <w:t>Trust Account</w:t>
      </w:r>
      <w:r>
        <w:rPr>
          <w:rFonts w:ascii="Arial" w:cs="Arial" w:eastAsia="Arial" w:hAnsi="Arial"/>
          <w:sz w:val="18"/>
          <w:szCs w:val="18"/>
          <w:color w:val="auto"/>
        </w:rPr>
        <w:t>”), including by way of set-off, and shall not be entitled to any funds in the Trust Account under any circumstance. In the event that the Warrant Agent has a claim against the Company under this Agreement, the Warrant Agent will pursue such claim solely against the Company and not against the property held in the Trust Account.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6"/>
          <w:szCs w:val="16"/>
          <w:color w:val="auto"/>
        </w:rPr>
        <w:t>IN WITNESS WHEREOF, this Agreement has been duly executed by the parties hereto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Kiszka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James Kiszka</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Senior Account Manage</w:t>
      </w:r>
    </w:p>
    <w:p>
      <w:pPr>
        <w:spacing w:after="0" w:line="200" w:lineRule="exact"/>
        <w:rPr>
          <w:sz w:val="20"/>
          <w:szCs w:val="20"/>
          <w:color w:val="auto"/>
        </w:rPr>
      </w:pPr>
    </w:p>
    <w:p>
      <w:pPr>
        <w:spacing w:after="0" w:line="2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to Warrant Agreement]</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366 Madison Ave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Archimedes Tech SPAC Partners Co.,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EarlyBirdCapital, Inc.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subunit (the “</w:t>
      </w:r>
      <w:r>
        <w:rPr>
          <w:rFonts w:ascii="Arial" w:cs="Arial" w:eastAsia="Arial" w:hAnsi="Arial"/>
          <w:sz w:val="17"/>
          <w:szCs w:val="17"/>
          <w:b w:val="1"/>
          <w:bCs w:val="1"/>
          <w:i w:val="1"/>
          <w:iCs w:val="1"/>
          <w:color w:val="auto"/>
        </w:rPr>
        <w:t>Subunits</w:t>
      </w:r>
      <w:r>
        <w:rPr>
          <w:rFonts w:ascii="Arial" w:cs="Arial" w:eastAsia="Arial" w:hAnsi="Arial"/>
          <w:sz w:val="17"/>
          <w:szCs w:val="17"/>
          <w:color w:val="auto"/>
        </w:rPr>
        <w:t>”) and one-quarter of a warrant. Each Subunit consists of one share of the Company’s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one-quarter of a warrant, with each whole warrant exercisable for one share of Common Stock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13 hereof.</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the undersigned, and for other good and valuable consideration, the receipt and sufficiency of which are hereby acknowledged, the undersigned hereby agrees with the Company as follows:</w:t>
      </w:r>
    </w:p>
    <w:p>
      <w:pPr>
        <w:spacing w:after="0" w:line="184" w:lineRule="exact"/>
        <w:rPr>
          <w:sz w:val="20"/>
          <w:szCs w:val="20"/>
          <w:color w:val="auto"/>
        </w:rPr>
      </w:pPr>
    </w:p>
    <w:p>
      <w:pPr>
        <w:ind w:firstLine="656"/>
        <w:spacing w:after="0" w:line="277" w:lineRule="auto"/>
        <w:tabs>
          <w:tab w:leader="none" w:pos="8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Company solicits approval of its stockholders of a Business Combination, the undersigned will vote all shares of Common Stock beneficially owned by him, her, or it, whether acquired before, in, or after the IPO, in favor of such Business Combination.</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In the event that the Company fails to consummate a Business Combination within the time period set forth in the Company’s Amended and Restated Certificate of Incorporation, as the same may be amended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the undersigned will, as promptly as possible, cause the Company to pay in cash to the holders of IPO Shares a per-share price equal to the aggregate amount then on deposit in the Trust Account, including interest earned on the Trust Account net of interest released to the Company as permitted pursuant to the Trust Agreement, divided by the number of then outstanding IPO Shares.</w:t>
      </w:r>
    </w:p>
    <w:p>
      <w:pPr>
        <w:spacing w:after="0" w:line="188" w:lineRule="exact"/>
        <w:rPr>
          <w:sz w:val="20"/>
          <w:szCs w:val="20"/>
          <w:color w:val="auto"/>
        </w:rPr>
      </w:pPr>
    </w:p>
    <w:p>
      <w:pPr>
        <w:jc w:val="both"/>
        <w:ind w:firstLine="656"/>
        <w:spacing w:after="0" w:line="257" w:lineRule="auto"/>
        <w:tabs>
          <w:tab w:leader="none" w:pos="9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hereby waives any and all right, title, interest or claim of any kind in or to any distribution of the Trust Account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with respect to the shares of Founders’ Common Stock owned by the undersigned and hereby waives any Claim the undersigned may have in the future as a result of, or arising out of, any contracts or agreements with the Company and will not seek recourse against the Trust Account for any reason whatsoever. The undersigned acknowledges and agrees that there will be no distribution from the Trust Account with respect to any Warrants, all rights of which will terminate on the Company’s liquidation.</w:t>
      </w:r>
    </w:p>
    <w:p>
      <w:pPr>
        <w:spacing w:after="0" w:line="187" w:lineRule="exact"/>
        <w:rPr>
          <w:rFonts w:ascii="Arial" w:cs="Arial" w:eastAsia="Arial" w:hAnsi="Arial"/>
          <w:sz w:val="18"/>
          <w:szCs w:val="18"/>
          <w:color w:val="auto"/>
        </w:rPr>
      </w:pPr>
    </w:p>
    <w:p>
      <w:pPr>
        <w:jc w:val="both"/>
        <w:ind w:firstLine="656"/>
        <w:spacing w:after="0" w:line="254" w:lineRule="auto"/>
        <w:tabs>
          <w:tab w:leader="none" w:pos="9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of the liquidation of the Trust Account, Archimedes Tech SPAC Sponsors LLC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agrees to indemnify and hold harmless the Company for any debts and obligations to target businesses or vendors or other entities that are owed money by the Company for services rendered or contracted for or products sold to the Company, but only to the extent necessary to ensure that such debt or obligation does not reduce the amount of funds in the Trust Account below $10.00 per subunit; provided that such indemnity shall not apply (i) if such vendor or prospective target business executed an agreement waiving any right, title, interest or claim of any kind they may have in or to any monies held in the Trust Account, or (ii) as to any claims under the Company’s obligation to indemnify the Underwriters against certain liabilities, including liabilities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56"/>
        <w:spacing w:after="0" w:line="279" w:lineRule="auto"/>
        <w:tabs>
          <w:tab w:leader="none" w:pos="8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undersigned acknowledges and agrees that prior to entering into a Business Combination with a target business that is affiliated with any Insiders of the Company or their affiliates, such transaction must be approved by a majority of the Company’s disinterested independent directors and the Company must obtain an opinion from an independent investment banking firm, or another independent entity that commonly renders valuation opinions, that such Business Combination is fair to the Company’s unaffiliated stockholders from a financial point of view.</w:t>
      </w:r>
    </w:p>
    <w:p>
      <w:pPr>
        <w:spacing w:after="0" w:line="171" w:lineRule="exact"/>
        <w:rPr>
          <w:rFonts w:ascii="Arial" w:cs="Arial" w:eastAsia="Arial" w:hAnsi="Arial"/>
          <w:sz w:val="17"/>
          <w:szCs w:val="17"/>
          <w:color w:val="auto"/>
        </w:rPr>
      </w:pPr>
    </w:p>
    <w:p>
      <w:pPr>
        <w:jc w:val="both"/>
        <w:ind w:firstLine="656"/>
        <w:spacing w:after="0" w:line="259" w:lineRule="auto"/>
        <w:tabs>
          <w:tab w:leader="none" w:pos="8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the undersigned nor any affiliate of the undersigned will be entitled to receive and will not accept any compensation, finder fee or other cash payment prior to, or for services rendered in order to effectuate, the consummation of the Business Combination; provided that the Company shall be allowed to make the payments set forth in the Registration Statement under the caption “Prospectus Summary – The Offering – Limited payments to insiders.”</w:t>
      </w:r>
    </w:p>
    <w:p>
      <w:pPr>
        <w:spacing w:after="0" w:line="186" w:lineRule="exact"/>
        <w:rPr>
          <w:rFonts w:ascii="Arial" w:cs="Arial" w:eastAsia="Arial" w:hAnsi="Arial"/>
          <w:sz w:val="18"/>
          <w:szCs w:val="18"/>
          <w:color w:val="auto"/>
        </w:rPr>
      </w:pPr>
    </w:p>
    <w:p>
      <w:pPr>
        <w:ind w:firstLine="656"/>
        <w:spacing w:after="0" w:line="277" w:lineRule="auto"/>
        <w:tabs>
          <w:tab w:leader="none" w:pos="8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The undersigned will place into escrow all shares of Founders’ Common Stock owned by him/her/it pursuant to the terms of a Stock Escrow Agreement which the Company will enter into with the undersigned and an escrow agent.</w:t>
      </w:r>
    </w:p>
    <w:p>
      <w:pPr>
        <w:spacing w:after="0" w:line="170" w:lineRule="exact"/>
        <w:rPr>
          <w:sz w:val="20"/>
          <w:szCs w:val="20"/>
          <w:color w:val="auto"/>
        </w:rPr>
      </w:pPr>
    </w:p>
    <w:p>
      <w:pPr>
        <w:ind w:firstLine="656"/>
        <w:spacing w:after="0" w:line="277" w:lineRule="auto"/>
        <w:tabs>
          <w:tab w:leader="none" w:pos="9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agrees that until after the Company consummates a Business Combination, all Private Securities owned by him/her/it will be subject to the transfer restrictions described in the Subscription Agreement relating to the undersigned’s Private Securities.</w:t>
      </w:r>
    </w:p>
    <w:p>
      <w:pPr>
        <w:spacing w:after="0" w:line="170" w:lineRule="exact"/>
        <w:rPr>
          <w:sz w:val="20"/>
          <w:szCs w:val="20"/>
          <w:color w:val="auto"/>
        </w:rPr>
      </w:pPr>
    </w:p>
    <w:p>
      <w:pPr>
        <w:jc w:val="both"/>
        <w:ind w:firstLine="656"/>
        <w:spacing w:after="0" w:line="311" w:lineRule="auto"/>
        <w:tabs>
          <w:tab w:leader="none" w:pos="8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In order to minimize potential conflicts of interest that may arise from multiple corporate affiliations, the undersigned hereby agrees that until the earliest of the Company’s initial Business Combination or liquidation, the undersigned shall present to the Company for its consideration, prior to presentation to any other entity, any suitable target business, subject to any pre-existing fiduciary or contractual obligations the undersigned might have.</w:t>
      </w:r>
    </w:p>
    <w:p>
      <w:pPr>
        <w:spacing w:after="0" w:line="149" w:lineRule="exact"/>
        <w:rPr>
          <w:sz w:val="20"/>
          <w:szCs w:val="20"/>
          <w:color w:val="auto"/>
        </w:rPr>
      </w:pPr>
    </w:p>
    <w:p>
      <w:pPr>
        <w:jc w:val="both"/>
        <w:ind w:firstLine="656"/>
        <w:spacing w:after="0" w:line="31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undersigned hereby agrees and acknowledges that (i) each of the Underwriters and the Company may be irreparably injured in the event of a breach of any of the obligations contained in this letter,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49" w:lineRule="exact"/>
        <w:rPr>
          <w:sz w:val="20"/>
          <w:szCs w:val="20"/>
          <w:color w:val="auto"/>
        </w:rPr>
      </w:pPr>
    </w:p>
    <w:p>
      <w:pPr>
        <w:jc w:val="both"/>
        <w:ind w:firstLine="656"/>
        <w:spacing w:after="0" w:line="273" w:lineRule="auto"/>
        <w:tabs>
          <w:tab w:leader="none" w:pos="842"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of the undersigned individuals agrees to be the director or officer of the Company as described in the Registration Agreement until the earlier of the consummation by the Company of a Business Combination or the liquidation of the Company. Each of the undersigned individuals’ biographical information previously furnished to the Company and the Representative is true and accurate in all respects, does not omit any material information with respect to the undersigned’s background and contains all of the information required to be disclosed pursuant to Item 401 of Regulation S-K, promulgated under the Securities Act. The undersigned’s FINRA Questionnaire previously furnished to the Company and the Representative is true and accurate in all respects. The undersigned represents and warrants that:</w:t>
      </w:r>
    </w:p>
    <w:p>
      <w:pPr>
        <w:spacing w:after="0" w:line="178" w:lineRule="exact"/>
        <w:rPr>
          <w:sz w:val="20"/>
          <w:szCs w:val="20"/>
          <w:color w:val="auto"/>
        </w:rPr>
      </w:pPr>
    </w:p>
    <w:p>
      <w:pPr>
        <w:jc w:val="both"/>
        <w:ind w:firstLine="656"/>
        <w:spacing w:after="0" w:line="263"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he/she/it has never had a receiver, fiscal agent or similar officer been appointed by a court for his/her/its business or property, or any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partnership;</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4" w:name="page75"/>
    <w:bookmarkEnd w:id="74"/>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5" w:lineRule="exact"/>
        <w:rPr>
          <w:rFonts w:ascii="Arial" w:cs="Arial" w:eastAsia="Arial" w:hAnsi="Arial"/>
          <w:sz w:val="18"/>
          <w:szCs w:val="18"/>
          <w:color w:val="auto"/>
        </w:rPr>
      </w:pPr>
    </w:p>
    <w:p>
      <w:pPr>
        <w:ind w:firstLine="656"/>
        <w:spacing w:after="0" w:line="277"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spacing w:after="0" w:line="170" w:lineRule="exact"/>
        <w:rPr>
          <w:rFonts w:ascii="Arial" w:cs="Arial" w:eastAsia="Arial" w:hAnsi="Arial"/>
          <w:sz w:val="18"/>
          <w:szCs w:val="18"/>
          <w:color w:val="auto"/>
        </w:rPr>
      </w:pPr>
    </w:p>
    <w:p>
      <w:pPr>
        <w:jc w:val="both"/>
        <w:ind w:firstLine="656"/>
        <w:spacing w:after="0" w:line="254" w:lineRule="auto"/>
        <w:tabs>
          <w:tab w:leader="none" w:pos="9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Arial" w:cs="Arial" w:eastAsia="Arial" w:hAnsi="Arial"/>
          <w:sz w:val="18"/>
          <w:szCs w:val="18"/>
          <w:b w:val="1"/>
          <w:bCs w:val="1"/>
          <w:i w:val="1"/>
          <w:iCs w:val="1"/>
          <w:color w:val="auto"/>
        </w:rPr>
        <w:t>CFTC</w:t>
      </w:r>
      <w:r>
        <w:rPr>
          <w:rFonts w:ascii="Arial" w:cs="Arial" w:eastAsia="Arial" w:hAnsi="Arial"/>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1" w:lineRule="exact"/>
        <w:rPr>
          <w:rFonts w:ascii="Arial" w:cs="Arial" w:eastAsia="Arial" w:hAnsi="Arial"/>
          <w:sz w:val="18"/>
          <w:szCs w:val="18"/>
          <w:color w:val="auto"/>
        </w:rPr>
      </w:pPr>
    </w:p>
    <w:p>
      <w:pPr>
        <w:jc w:val="both"/>
        <w:ind w:firstLine="656"/>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9(e)(i) above, or to be associated with persons engaged in any such activity;</w:t>
      </w:r>
    </w:p>
    <w:p>
      <w:pPr>
        <w:spacing w:after="0" w:line="183" w:lineRule="exact"/>
        <w:rPr>
          <w:rFonts w:ascii="Arial" w:cs="Arial" w:eastAsia="Arial" w:hAnsi="Arial"/>
          <w:sz w:val="18"/>
          <w:szCs w:val="18"/>
          <w:color w:val="auto"/>
        </w:rPr>
      </w:pPr>
    </w:p>
    <w:p>
      <w:pPr>
        <w:ind w:firstLine="656"/>
        <w:spacing w:after="0" w:line="308" w:lineRule="auto"/>
        <w:tabs>
          <w:tab w:leader="none" w:pos="929" w:val="left"/>
        </w:tabs>
        <w:numPr>
          <w:ilvl w:val="0"/>
          <w:numId w:val="39"/>
        </w:numPr>
        <w:rPr>
          <w:rFonts w:ascii="Arial" w:cs="Arial" w:eastAsia="Arial" w:hAnsi="Arial"/>
          <w:sz w:val="17"/>
          <w:szCs w:val="17"/>
          <w:color w:val="auto"/>
        </w:rPr>
      </w:pPr>
      <w:r>
        <w:rPr>
          <w:rFonts w:ascii="Arial" w:cs="Arial" w:eastAsia="Arial" w:hAnsi="Arial"/>
          <w:sz w:val="17"/>
          <w:szCs w:val="17"/>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46" w:lineRule="exact"/>
        <w:rPr>
          <w:rFonts w:ascii="Arial" w:cs="Arial" w:eastAsia="Arial" w:hAnsi="Arial"/>
          <w:sz w:val="17"/>
          <w:szCs w:val="17"/>
          <w:color w:val="auto"/>
        </w:rPr>
      </w:pPr>
    </w:p>
    <w:p>
      <w:pPr>
        <w:ind w:firstLine="656"/>
        <w:spacing w:after="0" w:line="308" w:lineRule="auto"/>
        <w:tabs>
          <w:tab w:leader="none" w:pos="909" w:val="left"/>
        </w:tabs>
        <w:numPr>
          <w:ilvl w:val="0"/>
          <w:numId w:val="39"/>
        </w:numPr>
        <w:rPr>
          <w:rFonts w:ascii="Arial" w:cs="Arial" w:eastAsia="Arial" w:hAnsi="Arial"/>
          <w:sz w:val="17"/>
          <w:szCs w:val="17"/>
          <w:color w:val="auto"/>
        </w:rPr>
      </w:pPr>
      <w:r>
        <w:rPr>
          <w:rFonts w:ascii="Arial" w:cs="Arial" w:eastAsia="Arial" w:hAnsi="Arial"/>
          <w:sz w:val="17"/>
          <w:szCs w:val="17"/>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46" w:lineRule="exact"/>
        <w:rPr>
          <w:rFonts w:ascii="Arial" w:cs="Arial" w:eastAsia="Arial" w:hAnsi="Arial"/>
          <w:sz w:val="17"/>
          <w:szCs w:val="17"/>
          <w:color w:val="auto"/>
        </w:rPr>
      </w:pPr>
    </w:p>
    <w:p>
      <w:pPr>
        <w:jc w:val="both"/>
        <w:ind w:firstLine="656"/>
        <w:spacing w:after="0" w:line="257" w:lineRule="auto"/>
        <w:tabs>
          <w:tab w:leader="none" w:pos="8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7" w:lineRule="exact"/>
        <w:rPr>
          <w:rFonts w:ascii="Arial" w:cs="Arial" w:eastAsia="Arial" w:hAnsi="Arial"/>
          <w:sz w:val="18"/>
          <w:szCs w:val="18"/>
          <w:color w:val="auto"/>
        </w:rPr>
      </w:pPr>
    </w:p>
    <w:p>
      <w:pPr>
        <w:jc w:val="both"/>
        <w:ind w:firstLine="656"/>
        <w:spacing w:after="0" w:line="263" w:lineRule="auto"/>
        <w:tabs>
          <w:tab w:leader="none" w:pos="8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8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Commodity Futures Trading Commission; or the National Credit Union Administration that is based on a violation of any law or regulation that prohibits fraudulent, manipulative, or deceptive conduct;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5" w:name="page76"/>
    <w:bookmarkEnd w:id="75"/>
    <w:p>
      <w:pPr>
        <w:jc w:val="both"/>
        <w:ind w:firstLine="656"/>
        <w:spacing w:after="0" w:line="259" w:lineRule="auto"/>
        <w:tabs>
          <w:tab w:leader="none" w:pos="9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Commodity Futures Trading Commission;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76" w:lineRule="exact"/>
        <w:rPr>
          <w:rFonts w:ascii="Arial" w:cs="Arial" w:eastAsia="Arial" w:hAnsi="Arial"/>
          <w:sz w:val="17"/>
          <w:szCs w:val="17"/>
          <w:color w:val="auto"/>
        </w:rPr>
      </w:pPr>
    </w:p>
    <w:p>
      <w:pPr>
        <w:jc w:val="both"/>
        <w:ind w:firstLine="656"/>
        <w:spacing w:after="0" w:line="301" w:lineRule="auto"/>
        <w:tabs>
          <w:tab w:leader="none" w:pos="8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he/she/it is not subject to an order of the SEC entered pursuant to section 15(b) or 15B(c) of the Exchange Act, or section 203(e) or 203(f) of the Investment Advisers Act of 1940, as amended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57" w:lineRule="exact"/>
        <w:rPr>
          <w:rFonts w:ascii="Arial" w:cs="Arial" w:eastAsia="Arial" w:hAnsi="Arial"/>
          <w:sz w:val="16"/>
          <w:szCs w:val="16"/>
          <w:color w:val="auto"/>
        </w:rPr>
      </w:pPr>
    </w:p>
    <w:p>
      <w:pPr>
        <w:jc w:val="both"/>
        <w:ind w:right="20" w:firstLine="656"/>
        <w:spacing w:after="0" w:line="263" w:lineRule="auto"/>
        <w:tabs>
          <w:tab w:leader="none" w:pos="8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84" w:lineRule="exact"/>
        <w:rPr>
          <w:sz w:val="20"/>
          <w:szCs w:val="20"/>
          <w:color w:val="auto"/>
        </w:rPr>
      </w:pPr>
    </w:p>
    <w:p>
      <w:pPr>
        <w:ind w:right="20" w:firstLine="656"/>
        <w:spacing w:after="0" w:line="277" w:lineRule="auto"/>
        <w:tabs>
          <w:tab w:leader="none" w:pos="8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she or it is bound, to enter into this letter agreement and to serve as a director and/or officer of the Company.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hereby waives any right to exercise conversion rights with respect to any shares of the Company’s common stock owned or to be owned by the undersigned, directly or indirectly (or to sell such shares to the Company in a tender offer), whether such shares be part of the Founders’ Common Stock or shares purchased by the undersigned in the IPO or in the aftermarket, and agrees not to seek conversion with respect to such shares in connection with any vote to approve a Business Combination (or sell such shares to the Company in a tender offer in connection with such a Business Combination).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6" w:name="page77"/>
    <w:bookmarkEnd w:id="76"/>
    <w:p>
      <w:pPr>
        <w:jc w:val="both"/>
        <w:ind w:firstLine="656"/>
        <w:spacing w:after="0" w:line="263" w:lineRule="auto"/>
        <w:tabs>
          <w:tab w:leader="none" w:pos="9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hereby agrees to not propose, or vote in favor of, an amendment to Article Sixth of the Certificate of Incorporation prior to the consummation of a Business Combination unless the Company provides public stockholders with the opportunity to convert their shares of Common Stock upon such approval in accordance with such Article Sixth thereof.</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Sponsor agrees to advance such funds necessary to complete such liquidation and agrees not to seek repayment for such expenses.</w:t>
      </w:r>
    </w:p>
    <w:p>
      <w:pPr>
        <w:spacing w:after="0" w:line="183" w:lineRule="exact"/>
        <w:rPr>
          <w:rFonts w:ascii="Arial" w:cs="Arial" w:eastAsia="Arial" w:hAnsi="Arial"/>
          <w:sz w:val="18"/>
          <w:szCs w:val="18"/>
          <w:color w:val="auto"/>
        </w:rPr>
      </w:pPr>
    </w:p>
    <w:p>
      <w:pPr>
        <w:jc w:val="both"/>
        <w:ind w:firstLine="656"/>
        <w:spacing w:after="0" w:line="255" w:lineRule="auto"/>
        <w:tabs>
          <w:tab w:leader="none" w:pos="9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Each of the Company and the undersigned hereby (i) agrees that any action, proceeding or claim against him arising out of or relating in any way to this letter agreement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be brought and enforced in the courts of the State of New York of the United States of America for the Southern District of New York, and irrevocably submits to such jurisdiction, which jurisdiction shall be exclusive and (ii) waives any objection to such exclusive jurisdiction and that such courts represent an inconvenient forum.</w:t>
      </w:r>
    </w:p>
    <w:p>
      <w:pPr>
        <w:spacing w:after="0" w:line="192" w:lineRule="exact"/>
        <w:rPr>
          <w:rFonts w:ascii="Arial" w:cs="Arial" w:eastAsia="Arial" w:hAnsi="Arial"/>
          <w:sz w:val="18"/>
          <w:szCs w:val="18"/>
          <w:color w:val="auto"/>
        </w:rPr>
      </w:pPr>
    </w:p>
    <w:p>
      <w:pPr>
        <w:jc w:val="both"/>
        <w:ind w:firstLine="656"/>
        <w:spacing w:after="0" w:line="270" w:lineRule="auto"/>
        <w:tabs>
          <w:tab w:leader="none" w:pos="962"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 used herein, (i)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means a merger, share exchange, asset acquisition, stock purchase, recapitalization, reorganization or other similar business combination with one or more businesses or entities; (ii)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 means all officers, directors and sponsor of the Company immediately prior to the IPO; (iii) “</w:t>
      </w:r>
      <w:r>
        <w:rPr>
          <w:rFonts w:ascii="Arial" w:cs="Arial" w:eastAsia="Arial" w:hAnsi="Arial"/>
          <w:sz w:val="17"/>
          <w:szCs w:val="17"/>
          <w:b w:val="1"/>
          <w:bCs w:val="1"/>
          <w:i w:val="1"/>
          <w:iCs w:val="1"/>
          <w:color w:val="auto"/>
        </w:rPr>
        <w:t>Founders’ Common Stock</w:t>
      </w:r>
      <w:r>
        <w:rPr>
          <w:rFonts w:ascii="Arial" w:cs="Arial" w:eastAsia="Arial" w:hAnsi="Arial"/>
          <w:sz w:val="17"/>
          <w:szCs w:val="17"/>
          <w:color w:val="auto"/>
        </w:rPr>
        <w:t>” means all of the shares of Common Stock of the Company acquired by an Insider prior to the IPO; (iv) “</w:t>
      </w:r>
      <w:r>
        <w:rPr>
          <w:rFonts w:ascii="Arial" w:cs="Arial" w:eastAsia="Arial" w:hAnsi="Arial"/>
          <w:sz w:val="17"/>
          <w:szCs w:val="17"/>
          <w:b w:val="1"/>
          <w:bCs w:val="1"/>
          <w:i w:val="1"/>
          <w:iCs w:val="1"/>
          <w:color w:val="auto"/>
        </w:rPr>
        <w:t>IPO Shares</w:t>
      </w:r>
      <w:r>
        <w:rPr>
          <w:rFonts w:ascii="Arial" w:cs="Arial" w:eastAsia="Arial" w:hAnsi="Arial"/>
          <w:sz w:val="17"/>
          <w:szCs w:val="17"/>
          <w:color w:val="auto"/>
        </w:rPr>
        <w:t>” means the shares of Common Stock issued in the Company’s IPO; (v) “</w:t>
      </w:r>
      <w:r>
        <w:rPr>
          <w:rFonts w:ascii="Arial" w:cs="Arial" w:eastAsia="Arial" w:hAnsi="Arial"/>
          <w:sz w:val="17"/>
          <w:szCs w:val="17"/>
          <w:b w:val="1"/>
          <w:bCs w:val="1"/>
          <w:i w:val="1"/>
          <w:iCs w:val="1"/>
          <w:color w:val="auto"/>
        </w:rPr>
        <w:t>Private Securities</w:t>
      </w:r>
      <w:r>
        <w:rPr>
          <w:rFonts w:ascii="Arial" w:cs="Arial" w:eastAsia="Arial" w:hAnsi="Arial"/>
          <w:sz w:val="17"/>
          <w:szCs w:val="17"/>
          <w:color w:val="auto"/>
        </w:rPr>
        <w:t>” means the Units and underlying securities that are being sold privately by the Company simultaneously with the consummation of the IPO; (vi)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means the Investment Management Trust Agreement between the Company and Continental Stock Transfer &amp; Trust Company being entered into in connection with the IPO and governing the use of funds held in the Trust Account; (vii)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means the trust account into which a portion of the net proceeds of the IPO will be deposited; and (viii)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means the Company’s registration statement on Form S-1 (SEC File No. 333-253108) filed with the Securities and Exchange Commission.</w:t>
      </w:r>
    </w:p>
    <w:p>
      <w:pPr>
        <w:spacing w:after="0" w:line="180" w:lineRule="exact"/>
        <w:rPr>
          <w:rFonts w:ascii="Arial" w:cs="Arial" w:eastAsia="Arial" w:hAnsi="Arial"/>
          <w:sz w:val="17"/>
          <w:szCs w:val="17"/>
          <w:color w:val="auto"/>
        </w:rPr>
      </w:pPr>
    </w:p>
    <w:p>
      <w:pPr>
        <w:jc w:val="both"/>
        <w:ind w:firstLine="656"/>
        <w:spacing w:after="0" w:line="259" w:lineRule="auto"/>
        <w:tabs>
          <w:tab w:leader="none" w:pos="9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except by a written instrument executed by all parties hereto.</w:t>
      </w:r>
    </w:p>
    <w:p>
      <w:pPr>
        <w:spacing w:after="0" w:line="186" w:lineRule="exact"/>
        <w:rPr>
          <w:rFonts w:ascii="Arial" w:cs="Arial" w:eastAsia="Arial" w:hAnsi="Arial"/>
          <w:sz w:val="18"/>
          <w:szCs w:val="18"/>
          <w:color w:val="auto"/>
        </w:rPr>
      </w:pPr>
    </w:p>
    <w:p>
      <w:pPr>
        <w:jc w:val="both"/>
        <w:ind w:firstLine="656"/>
        <w:spacing w:after="0" w:line="311"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7" w:name="page78"/>
    <w:bookmarkEnd w:id="77"/>
    <w:p>
      <w:pPr>
        <w:jc w:val="right"/>
        <w:ind w:right="780"/>
        <w:spacing w:after="0"/>
        <w:rPr>
          <w:sz w:val="20"/>
          <w:szCs w:val="20"/>
          <w:color w:val="auto"/>
        </w:rPr>
      </w:pPr>
      <w:r>
        <w:rPr>
          <w:rFonts w:ascii="Arial" w:cs="Arial" w:eastAsia="Arial" w:hAnsi="Arial"/>
          <w:sz w:val="18"/>
          <w:szCs w:val="18"/>
          <w:b w:val="1"/>
          <w:bCs w:val="1"/>
          <w:color w:val="auto"/>
        </w:rPr>
        <w:t>ARCHIMEDES TECH SPAC SPONSORS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Dr. Eric R.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Dr. Eric R. Ball</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Stephen N. Cannon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Daniel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Sheehan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Long Long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Bryant B. Edwards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 Julia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Rajan P.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Rajan P. Pai</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is made as of March 10, 2021 by and between Archimedes Tech SPAC Partners Co. (the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Company’s registration statements on Form S-1, Nos. 333-253108 and 333-254114 (“</w:t>
      </w:r>
      <w:r>
        <w:rPr>
          <w:rFonts w:ascii="Arial" w:cs="Arial" w:eastAsia="Arial" w:hAnsi="Arial"/>
          <w:sz w:val="17"/>
          <w:szCs w:val="17"/>
          <w:u w:val="single" w:color="auto"/>
          <w:color w:val="auto"/>
        </w:rPr>
        <w:t>Registration Statements</w:t>
      </w:r>
      <w:r>
        <w:rPr>
          <w:rFonts w:ascii="Arial" w:cs="Arial" w:eastAsia="Arial" w:hAnsi="Arial"/>
          <w:sz w:val="17"/>
          <w:szCs w:val="17"/>
          <w:color w:val="auto"/>
        </w:rPr>
        <w:t>”) for its initial public offering of securities (“</w:t>
      </w:r>
      <w:r>
        <w:rPr>
          <w:rFonts w:ascii="Arial" w:cs="Arial" w:eastAsia="Arial" w:hAnsi="Arial"/>
          <w:sz w:val="17"/>
          <w:szCs w:val="17"/>
          <w:u w:val="single" w:color="auto"/>
          <w:color w:val="auto"/>
        </w:rPr>
        <w:t>IPO</w:t>
      </w:r>
      <w:r>
        <w:rPr>
          <w:rFonts w:ascii="Arial" w:cs="Arial" w:eastAsia="Arial" w:hAnsi="Arial"/>
          <w:sz w:val="17"/>
          <w:szCs w:val="17"/>
          <w:color w:val="auto"/>
        </w:rPr>
        <w:t>”) has been declared effective as of the date hereof (“</w:t>
      </w:r>
      <w:r>
        <w:rPr>
          <w:rFonts w:ascii="Arial" w:cs="Arial" w:eastAsia="Arial" w:hAnsi="Arial"/>
          <w:sz w:val="17"/>
          <w:szCs w:val="17"/>
          <w:u w:val="single" w:color="auto"/>
          <w:color w:val="auto"/>
        </w:rPr>
        <w:t>Effective Date</w:t>
      </w:r>
      <w:r>
        <w:rPr>
          <w:rFonts w:ascii="Arial" w:cs="Arial" w:eastAsia="Arial" w:hAnsi="Arial"/>
          <w:sz w:val="17"/>
          <w:szCs w:val="17"/>
          <w:color w:val="auto"/>
        </w:rPr>
        <w:t>”) by the Securities and Exchange Commission (capitalized terms used herein and not otherwise defined shall have the meanings set forth in the Registration Statement);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EarlyBirdCapital, Inc. (the “</w:t>
      </w:r>
      <w:r>
        <w:rPr>
          <w:rFonts w:ascii="Arial" w:cs="Arial" w:eastAsia="Arial" w:hAnsi="Arial"/>
          <w:sz w:val="18"/>
          <w:szCs w:val="18"/>
          <w:u w:val="single" w:color="auto"/>
          <w:color w:val="auto"/>
        </w:rPr>
        <w:t>Representative</w:t>
      </w:r>
      <w:r>
        <w:rPr>
          <w:rFonts w:ascii="Arial" w:cs="Arial" w:eastAsia="Arial" w:hAnsi="Arial"/>
          <w:sz w:val="18"/>
          <w:szCs w:val="18"/>
          <w:color w:val="auto"/>
        </w:rPr>
        <w:t>”) is acting as the representative of the several underwriters in the IPO;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$120,000,000 ($138,000,000 if the over-allotment option is exercised in full) of the proceeds from the IPO and a simultaneous private placement of units will be delivered to the Trustee to be deposited and held in a segregated trust account located at all times in the United States (the “</w:t>
      </w:r>
      <w:r>
        <w:rPr>
          <w:rFonts w:ascii="Arial" w:cs="Arial" w:eastAsia="Arial" w:hAnsi="Arial"/>
          <w:sz w:val="18"/>
          <w:szCs w:val="18"/>
          <w:u w:val="single" w:color="auto"/>
          <w:color w:val="auto"/>
        </w:rPr>
        <w:t>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for the benefit of the Company and the holders of the Company’s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in the IPO as hereinafter provided (the proceeds to be delivered to the Trustee will be referred to herein as the “</w:t>
      </w:r>
      <w:r>
        <w:rPr>
          <w:rFonts w:ascii="Arial" w:cs="Arial" w:eastAsia="Arial" w:hAnsi="Arial"/>
          <w:sz w:val="18"/>
          <w:szCs w:val="18"/>
          <w:u w:val="single" w:color="auto"/>
          <w:color w:val="auto"/>
        </w:rPr>
        <w:t>Property</w:t>
      </w:r>
      <w:r>
        <w:rPr>
          <w:rFonts w:ascii="Arial" w:cs="Arial" w:eastAsia="Arial" w:hAnsi="Arial"/>
          <w:sz w:val="18"/>
          <w:szCs w:val="18"/>
          <w:color w:val="auto"/>
        </w:rPr>
        <w:t>”; the stockholders for whose benefit the Trustee shall hold the Property will be referred to as the “</w:t>
      </w:r>
      <w:r>
        <w:rPr>
          <w:rFonts w:ascii="Arial" w:cs="Arial" w:eastAsia="Arial" w:hAnsi="Arial"/>
          <w:sz w:val="18"/>
          <w:szCs w:val="18"/>
          <w:u w:val="single" w:color="auto"/>
          <w:color w:val="auto"/>
        </w:rPr>
        <w:t>Public Stockholders</w:t>
      </w:r>
      <w:r>
        <w:rPr>
          <w:rFonts w:ascii="Arial" w:cs="Arial" w:eastAsia="Arial" w:hAnsi="Arial"/>
          <w:sz w:val="18"/>
          <w:szCs w:val="18"/>
          <w:color w:val="auto"/>
        </w:rPr>
        <w:t>,” and the Public Stockholders and the Company will be referred to together as the “</w:t>
      </w:r>
      <w:r>
        <w:rPr>
          <w:rFonts w:ascii="Arial" w:cs="Arial" w:eastAsia="Arial" w:hAnsi="Arial"/>
          <w:sz w:val="18"/>
          <w:szCs w:val="18"/>
          <w:u w:val="single" w:color="auto"/>
          <w:color w:val="auto"/>
        </w:rPr>
        <w:t>Beneficiaries</w:t>
      </w:r>
      <w:r>
        <w:rPr>
          <w:rFonts w:ascii="Arial" w:cs="Arial" w:eastAsia="Arial" w:hAnsi="Arial"/>
          <w:sz w:val="18"/>
          <w:szCs w:val="18"/>
          <w:color w:val="auto"/>
        </w:rPr>
        <w:t>”); and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the Trust Account established by the Trustee initially at J.P. Morgan Chase Bank, N.A. (or at another U.S. chartered commercial bank with consolidated assets of $100 billion or more) in the United States, maintained by Trustee, and deposit the Property in a brokerage account located in the United States at UBS Financial Services, Inc., which Property will be invested at the discretion of the Trustee in accordance with the terms of this Agreement;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14" w:val="left"/>
        </w:tabs>
        <w:numPr>
          <w:ilvl w:val="1"/>
          <w:numId w:val="43"/>
        </w:numPr>
        <w:rPr>
          <w:rFonts w:ascii="Arial" w:cs="Arial" w:eastAsia="Arial" w:hAnsi="Arial"/>
          <w:sz w:val="17"/>
          <w:szCs w:val="17"/>
          <w:color w:val="auto"/>
        </w:rPr>
      </w:pPr>
      <w:r>
        <w:rPr>
          <w:rFonts w:ascii="Arial" w:cs="Arial" w:eastAsia="Arial" w:hAnsi="Arial"/>
          <w:sz w:val="17"/>
          <w:szCs w:val="17"/>
          <w:color w:val="auto"/>
        </w:rPr>
        <w:t>In a timely manner, upon the written instruction of the Company, either (a) invest and reinvest the Property in United States “government securities” within the meaning of Section 2(a)(16)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having a maturity of 180 days or less, and/or in any open ended investment company registered under the Investment Company Act that holds itself out as a money market fund selected by the Company meeting the conditions of paragraph (d) of Rule 2a-7 promulgated under the Investment Company Act, which invest only in direct U.S. government treasury obligations or (b) cause the brokerage institution referred to in 1(a) above to place the Property in a cash bank account such as an interest or non-interest bearing checking or savings account; it being understood that unless the Company instructs the Trustee to do either of the foregoing, the Trust Account will earn no interest while account funds are uninvested awaiting the Company’s instructions hereunder and the Trustee may earn bank credits or other consideration during such periods;</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 term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940" w:hanging="284"/>
        <w:spacing w:after="0"/>
        <w:tabs>
          <w:tab w:leader="none" w:pos="9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Notify the Company and the Representative of all communications received by it with respect to any Property requiring action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880" w:hanging="224"/>
        <w:spacing w:after="0"/>
        <w:tabs>
          <w:tab w:leader="none" w:pos="8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 of its tax</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returns;</w:t>
      </w:r>
    </w:p>
    <w:p>
      <w:pPr>
        <w:spacing w:after="0" w:line="210" w:lineRule="exact"/>
        <w:rPr>
          <w:rFonts w:ascii="Arial" w:cs="Arial" w:eastAsia="Arial" w:hAnsi="Arial"/>
          <w:sz w:val="16"/>
          <w:szCs w:val="16"/>
          <w:color w:val="auto"/>
        </w:rPr>
      </w:pPr>
    </w:p>
    <w:p>
      <w:pPr>
        <w:ind w:right="20" w:firstLine="656"/>
        <w:spacing w:after="0" w:line="277" w:lineRule="auto"/>
        <w:tabs>
          <w:tab w:leader="none" w:pos="9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656"/>
        <w:spacing w:after="0" w:line="277" w:lineRule="auto"/>
        <w:tabs>
          <w:tab w:leader="none" w:pos="9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656"/>
        <w:spacing w:after="0" w:line="270" w:lineRule="auto"/>
        <w:tabs>
          <w:tab w:leader="none" w:pos="895" w:val="left"/>
        </w:tabs>
        <w:numPr>
          <w:ilvl w:val="1"/>
          <w:numId w:val="44"/>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after receipt of, and only in accordance with, the terms of a letter (“</w:t>
      </w:r>
      <w:r>
        <w:rPr>
          <w:rFonts w:ascii="Arial" w:cs="Arial" w:eastAsia="Arial" w:hAnsi="Arial"/>
          <w:sz w:val="17"/>
          <w:szCs w:val="17"/>
          <w:u w:val="single" w:color="auto"/>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signed on behalf of the Company and, in the case of a Termination Letter in a form substantially similar to that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jointly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prior to such date, the Trustee shall commence liquidation of the Trust Account upon (1) 18 months after the closing of the IPO, or (2) such later date as may be approved by the Company’s stockholders in accordance with the Company’s amended and restated certificate of incorporation,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(net of taxes), shall be distributed to the Public Stockholders of record as of such date;</w:t>
      </w:r>
    </w:p>
    <w:p>
      <w:pPr>
        <w:spacing w:after="0" w:line="180" w:lineRule="exact"/>
        <w:rPr>
          <w:rFonts w:ascii="Arial" w:cs="Arial" w:eastAsia="Arial" w:hAnsi="Arial"/>
          <w:sz w:val="17"/>
          <w:szCs w:val="17"/>
          <w:color w:val="auto"/>
        </w:rPr>
      </w:pPr>
    </w:p>
    <w:p>
      <w:pPr>
        <w:jc w:val="both"/>
        <w:ind w:firstLine="656"/>
        <w:spacing w:after="0" w:line="259" w:lineRule="auto"/>
        <w:tabs>
          <w:tab w:leader="none" w:pos="8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receipt of a letter (an “</w:t>
      </w:r>
      <w:r>
        <w:rPr>
          <w:rFonts w:ascii="Arial" w:cs="Arial" w:eastAsia="Arial" w:hAnsi="Arial"/>
          <w:sz w:val="18"/>
          <w:szCs w:val="18"/>
          <w:u w:val="single" w:color="auto"/>
          <w:color w:val="auto"/>
        </w:rPr>
        <w:t>Amendment Notification Letter</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signed on behalf of the Company by an authorized officer, distribute to Public Stockholders who exercised their conversion rights in connection with an amendment to Article Sixth of the Company’s Amended and Restated Certificate of Incorporation (an “</w:t>
      </w:r>
      <w:r>
        <w:rPr>
          <w:rFonts w:ascii="Arial" w:cs="Arial" w:eastAsia="Arial" w:hAnsi="Arial"/>
          <w:sz w:val="18"/>
          <w:szCs w:val="18"/>
          <w:u w:val="single" w:color="auto"/>
          <w:color w:val="auto"/>
        </w:rPr>
        <w:t>Amendment</w:t>
      </w:r>
      <w:r>
        <w:rPr>
          <w:rFonts w:ascii="Arial" w:cs="Arial" w:eastAsia="Arial" w:hAnsi="Arial"/>
          <w:sz w:val="18"/>
          <w:szCs w:val="18"/>
          <w:color w:val="auto"/>
        </w:rPr>
        <w:t>”) an amount equal to the pro rata share of the Property relating to the Common Stock for which such Public Stockholders have exercised conversion rights in connection with such Amendment; and</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the Trustee shall distribute to the Company the amount of interest income earned on the Trust Account requested by the Company to cover any income or other tax obligation owed by the Company.</w:t>
      </w:r>
    </w:p>
    <w:p>
      <w:pPr>
        <w:spacing w:after="0" w:line="183" w:lineRule="exact"/>
        <w:rPr>
          <w:rFonts w:ascii="Arial" w:cs="Arial" w:eastAsia="Arial" w:hAnsi="Arial"/>
          <w:sz w:val="18"/>
          <w:szCs w:val="18"/>
          <w:color w:val="auto"/>
        </w:rPr>
      </w:pPr>
    </w:p>
    <w:p>
      <w:pPr>
        <w:ind w:right="20" w:firstLine="656"/>
        <w:spacing w:after="0" w:line="308" w:lineRule="auto"/>
        <w:tabs>
          <w:tab w:leader="none" w:pos="924"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The limited distributions referred to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shall be made only from income collected on the Property. Except as provided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above, no other distributions from the Trust Account shall be permitted except in accordance with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hereof.</w:t>
      </w:r>
    </w:p>
    <w:p>
      <w:pPr>
        <w:spacing w:after="0" w:line="146" w:lineRule="exact"/>
        <w:rPr>
          <w:rFonts w:ascii="Arial" w:cs="Arial" w:eastAsia="Arial" w:hAnsi="Arial"/>
          <w:sz w:val="17"/>
          <w:szCs w:val="17"/>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agrees and covenants to:</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any one of the Company’s authorized officers.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2(a)</w:t>
      </w:r>
      <w:r>
        <w:rPr>
          <w:rFonts w:ascii="Arial" w:cs="Arial" w:eastAsia="Arial" w:hAnsi="Arial"/>
          <w:sz w:val="18"/>
          <w:szCs w:val="18"/>
          <w:color w:val="auto"/>
        </w:rPr>
        <w:t xml:space="preserve">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0" w:name="page81"/>
    <w:bookmarkEnd w:id="80"/>
    <w:p>
      <w:pPr>
        <w:jc w:val="both"/>
        <w:ind w:firstLine="656"/>
        <w:spacing w:after="0" w:line="269" w:lineRule="auto"/>
        <w:tabs>
          <w:tab w:leader="none" w:pos="916"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hold the Trustee harmless and indemnify the Trustee from and against any and all expenses, including reasonable counsel fees and disbursements, or losses suffered by the Trustee in connection with any claim, potential claim, action, suit, or other proceeding brought against the Trustee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w:t>
      </w:r>
      <w:r>
        <w:rPr>
          <w:rFonts w:ascii="Arial" w:cs="Arial" w:eastAsia="Arial" w:hAnsi="Arial"/>
          <w:sz w:val="17"/>
          <w:szCs w:val="17"/>
          <w:u w:val="single" w:color="auto"/>
          <w:color w:val="auto"/>
        </w:rPr>
        <w:t>Indemnified Claim</w:t>
      </w:r>
      <w:r>
        <w:rPr>
          <w:rFonts w:ascii="Arial" w:cs="Arial" w:eastAsia="Arial" w:hAnsi="Arial"/>
          <w:sz w:val="17"/>
          <w:szCs w:val="17"/>
          <w:color w:val="auto"/>
        </w:rPr>
        <w:t>”).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85" w:lineRule="exact"/>
        <w:rPr>
          <w:rFonts w:ascii="Arial" w:cs="Arial" w:eastAsia="Arial" w:hAnsi="Arial"/>
          <w:sz w:val="17"/>
          <w:szCs w:val="17"/>
          <w:color w:val="auto"/>
        </w:rPr>
      </w:pPr>
    </w:p>
    <w:p>
      <w:pPr>
        <w:jc w:val="both"/>
        <w:ind w:firstLine="656"/>
        <w:spacing w:after="0" w:line="275" w:lineRule="auto"/>
        <w:tabs>
          <w:tab w:leader="none" w:pos="915"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Pay the Trustee an initial acceptance fee, an annual fee, and a transaction processing fee for each disbursement made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2(a)</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which fees shall be subject to modification by the parties from time to time. It is expressly understood that the Property shall not be used to pay such fees and further agreed that any fees owed to the Trustee shall be deducted by the Trustee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1(i)</w:t>
      </w:r>
      <w:r>
        <w:rPr>
          <w:rFonts w:ascii="Arial" w:cs="Arial" w:eastAsia="Arial" w:hAnsi="Arial"/>
          <w:sz w:val="17"/>
          <w:szCs w:val="17"/>
          <w:color w:val="auto"/>
        </w:rPr>
        <w:t xml:space="preserve"> solely in connection with the consummation of a business combination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The Company shall pay the Trustee the initial acceptance fee and first year’s fee at the consummation of the IPO and thereafter on the anniversary of the Effective Date;</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Business Combination, provide to the Trustee an affidavit or certificate of a firm regularly engaged in the business of soliciting proxies and/or tabulating stockholder votes verifying the vote of the Company’s stockholders regarding such Business Combination;</w:t>
      </w:r>
    </w:p>
    <w:p>
      <w:pPr>
        <w:spacing w:after="0" w:line="183" w:lineRule="exact"/>
        <w:rPr>
          <w:rFonts w:ascii="Arial" w:cs="Arial" w:eastAsia="Arial" w:hAnsi="Arial"/>
          <w:sz w:val="18"/>
          <w:szCs w:val="18"/>
          <w:color w:val="auto"/>
        </w:rPr>
      </w:pPr>
    </w:p>
    <w:p>
      <w:pPr>
        <w:ind w:right="20" w:firstLine="656"/>
        <w:spacing w:after="0" w:line="277" w:lineRule="auto"/>
        <w:tabs>
          <w:tab w:leader="none" w:pos="8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In the event that the Company directs the Trustee to commence liquidation of the Trust Account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the Company agrees that it will not direct the Trustee to make any payments that are not specifically authorized by this Agreement;</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8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If the Company has an Amendment approved by its stockholders, provide the Trustee with an Amendment Notification Letter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providing instructions for the distribution of funds to Public Stockholders who exercise their conversion rights in connection with such Amendment; and</w:t>
      </w:r>
    </w:p>
    <w:p>
      <w:pPr>
        <w:spacing w:after="0" w:line="183" w:lineRule="exact"/>
        <w:rPr>
          <w:rFonts w:ascii="Arial" w:cs="Arial" w:eastAsia="Arial" w:hAnsi="Arial"/>
          <w:sz w:val="18"/>
          <w:szCs w:val="18"/>
          <w:color w:val="auto"/>
        </w:rPr>
      </w:pPr>
    </w:p>
    <w:p>
      <w:pPr>
        <w:ind w:firstLine="656"/>
        <w:spacing w:after="0" w:line="277" w:lineRule="auto"/>
        <w:tabs>
          <w:tab w:leader="none" w:pos="921"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 Amendment Notification Letter,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firstLine="656"/>
        <w:spacing w:after="0" w:line="277" w:lineRule="auto"/>
        <w:tabs>
          <w:tab w:leader="none" w:pos="9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5"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Change the investment of any Property, other than in compliance with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656"/>
        <w:spacing w:after="0" w:line="277" w:lineRule="auto"/>
        <w:tabs>
          <w:tab w:leader="none" w:pos="90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1" w:name="page82"/>
    <w:bookmarkEnd w:id="81"/>
    <w:p>
      <w:pPr>
        <w:jc w:val="both"/>
        <w:ind w:firstLine="656"/>
        <w:spacing w:after="0" w:line="271" w:lineRule="auto"/>
        <w:tabs>
          <w:tab w:leader="none" w:pos="875"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firstLine="656"/>
        <w:spacing w:after="0" w:line="277" w:lineRule="auto"/>
        <w:tabs>
          <w:tab w:leader="none" w:pos="934" w:val="left"/>
        </w:tabs>
        <w:numPr>
          <w:ilvl w:val="1"/>
          <w:numId w:val="48"/>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Business Combination consummated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firstLine="656"/>
        <w:spacing w:after="0" w:line="342" w:lineRule="auto"/>
        <w:tabs>
          <w:tab w:leader="none" w:pos="919" w:val="left"/>
        </w:tabs>
        <w:numPr>
          <w:ilvl w:val="1"/>
          <w:numId w:val="48"/>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or deliver payee statements to the Company documenting the taxes, if any, payable by the Company or the Trust Account, relating to the income earned on the Property;</w:t>
      </w:r>
    </w:p>
    <w:p>
      <w:pPr>
        <w:spacing w:after="0" w:line="123" w:lineRule="exact"/>
        <w:rPr>
          <w:rFonts w:ascii="Arial" w:cs="Arial" w:eastAsia="Arial" w:hAnsi="Arial"/>
          <w:sz w:val="16"/>
          <w:szCs w:val="16"/>
          <w:color w:val="auto"/>
        </w:rPr>
      </w:pPr>
    </w:p>
    <w:p>
      <w:pPr>
        <w:ind w:firstLine="656"/>
        <w:spacing w:after="0" w:line="308" w:lineRule="auto"/>
        <w:tabs>
          <w:tab w:leader="none" w:pos="870"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Pay any taxes on behalf of the Trust Account (it being expressly understood that the Property shall not be used to pay any such taxes and that such taxes, if any, shall be paid by the Company from funds not held in the Trust Account or released to it under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hereof);</w:t>
      </w:r>
    </w:p>
    <w:p>
      <w:pPr>
        <w:spacing w:after="0" w:line="146" w:lineRule="exact"/>
        <w:rPr>
          <w:rFonts w:ascii="Arial" w:cs="Arial" w:eastAsia="Arial" w:hAnsi="Arial"/>
          <w:sz w:val="17"/>
          <w:szCs w:val="17"/>
          <w:color w:val="auto"/>
        </w:rPr>
      </w:pPr>
    </w:p>
    <w:p>
      <w:pPr>
        <w:ind w:right="20" w:firstLine="656"/>
        <w:spacing w:after="0" w:line="277" w:lineRule="auto"/>
        <w:tabs>
          <w:tab w:leader="none" w:pos="874" w:val="left"/>
        </w:tabs>
        <w:numPr>
          <w:ilvl w:val="1"/>
          <w:numId w:val="48"/>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Verify calculations, qualify, or otherwise approve Company requests for distributions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2(a)</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jc w:val="both"/>
        <w:ind w:firstLine="8"/>
        <w:spacing w:after="0" w:line="301"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hereof, the Trustee shall pursue such Claim solely against the Company and its assets outside the Trust Account and not against the Property or any monies in the Trust Account.</w:t>
      </w:r>
    </w:p>
    <w:p>
      <w:pPr>
        <w:spacing w:after="0" w:line="157" w:lineRule="exact"/>
        <w:rPr>
          <w:rFonts w:ascii="Arial" w:cs="Arial" w:eastAsia="Arial" w:hAnsi="Arial"/>
          <w:sz w:val="16"/>
          <w:szCs w:val="16"/>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656"/>
        <w:spacing w:after="0" w:line="263" w:lineRule="auto"/>
        <w:tabs>
          <w:tab w:leader="none" w:pos="909"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91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and the Trustee will each restrict access to confidential information relating to funds being transferred to or from the Trust Account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supplied to it or funds transferred based on such information.</w:t>
      </w:r>
    </w:p>
    <w:p>
      <w:pPr>
        <w:spacing w:after="0" w:line="192" w:lineRule="exact"/>
        <w:rPr>
          <w:rFonts w:ascii="Arial" w:cs="Arial" w:eastAsia="Arial" w:hAnsi="Arial"/>
          <w:sz w:val="18"/>
          <w:szCs w:val="18"/>
          <w:color w:val="auto"/>
        </w:rPr>
      </w:pPr>
    </w:p>
    <w:p>
      <w:pPr>
        <w:jc w:val="both"/>
        <w:ind w:firstLine="656"/>
        <w:spacing w:after="0" w:line="279" w:lineRule="auto"/>
        <w:tabs>
          <w:tab w:leader="none" w:pos="907"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The parties hereto consent to the jurisdiction and venue of any state or federal court located in the City of New York, Borough of Manhattan, for purposes of resolving any disputes hereunder. As to any claim, cross-claim, or counterclaim in any way relating to this Agreement, each party waives the right to trial by jury.</w:t>
      </w:r>
    </w:p>
    <w:p>
      <w:pPr>
        <w:spacing w:after="0" w:line="171" w:lineRule="exact"/>
        <w:rPr>
          <w:rFonts w:ascii="Arial" w:cs="Arial" w:eastAsia="Arial" w:hAnsi="Arial"/>
          <w:sz w:val="17"/>
          <w:szCs w:val="17"/>
          <w:color w:val="auto"/>
        </w:rPr>
      </w:pPr>
    </w:p>
    <w:p>
      <w:pPr>
        <w:ind w:firstLine="656"/>
        <w:spacing w:after="0" w:line="277" w:lineRule="auto"/>
        <w:tabs>
          <w:tab w:leader="none" w:pos="8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may be executed in several original or facsimile counterparts, each one of which shall constitute an original, and together shall constitute but one instrument.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921"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Sections 1(i) and 1(j) (which sections may not be modified, amended or deleted without the affirmative vote of sixty five percent (65%) of the then outstanding shares of Common Stock of the Company; provided that no such amendment will affect any Public Stockholder who has otherwise indicated his, her or its election to redeem his, her or its shares of Common Stock in connection with a vote sought to amend this Agreement), this Agreement or any provision hereof may only be changed, amended or modified by a writing signed by each of the parties hereto; provided, however, that no such change, amendment or modification may be made without the prior written consent of the Representative. The Trustee may require from Company counsel an opinion as to the propriety of any proposed amendment.</w:t>
      </w:r>
    </w:p>
    <w:p>
      <w:pPr>
        <w:spacing w:after="0" w:line="194" w:lineRule="exact"/>
        <w:rPr>
          <w:rFonts w:ascii="Arial" w:cs="Arial" w:eastAsia="Arial" w:hAnsi="Arial"/>
          <w:sz w:val="18"/>
          <w:szCs w:val="18"/>
          <w:color w:val="auto"/>
        </w:rPr>
      </w:pPr>
    </w:p>
    <w:p>
      <w:pPr>
        <w:ind w:right="20" w:firstLine="656"/>
        <w:spacing w:after="0" w:line="342" w:lineRule="auto"/>
        <w:tabs>
          <w:tab w:leader="none" w:pos="89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by email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(650) 560 4753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Stephen N. Cannon, CEO</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steve @spacpartners.com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3" w:name="page84"/>
    <w:bookmarkEnd w:id="83"/>
    <w:p>
      <w:pPr>
        <w:ind w:left="128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366 Madison Avenue, 8th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Mike Powell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Mpowell@ebcap.com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Graubard Miller</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Gallant, Jeffrey,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JGallant@graubard.com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Giovanni Caruso,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gcaruso@loeb.com</w:t>
      </w:r>
    </w:p>
    <w:p>
      <w:pPr>
        <w:spacing w:after="0" w:line="211" w:lineRule="exact"/>
        <w:rPr>
          <w:sz w:val="20"/>
          <w:szCs w:val="20"/>
          <w:color w:val="auto"/>
        </w:rPr>
      </w:pPr>
    </w:p>
    <w:p>
      <w:pPr>
        <w:ind w:left="860" w:hanging="224"/>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left="-20" w:firstLine="65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900" w:hanging="264"/>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the Representative is a third party beneficiary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0"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IN WITNESS WHEREOF, the parties have duly executed this Investment Management Trust Agreement as of the date first written above.</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 as Trustee</w:t>
      </w:r>
    </w:p>
    <w:p>
      <w:pPr>
        <w:spacing w:after="0" w:line="211" w:lineRule="exact"/>
        <w:rPr>
          <w:sz w:val="20"/>
          <w:szCs w:val="20"/>
          <w:color w:val="auto"/>
        </w:rPr>
      </w:pPr>
    </w:p>
    <w:p>
      <w:pPr>
        <w:ind w:left="6100"/>
        <w:spacing w:after="0"/>
        <w:tabs>
          <w:tab w:leader="none" w:pos="6540" w:val="left"/>
        </w:tabs>
        <w:rPr>
          <w:sz w:val="20"/>
          <w:szCs w:val="20"/>
          <w:color w:val="auto"/>
        </w:rPr>
      </w:pPr>
      <w:r>
        <w:rPr>
          <w:rFonts w:ascii="Arial" w:cs="Arial" w:eastAsia="Arial" w:hAnsi="Arial"/>
          <w:sz w:val="18"/>
          <w:szCs w:val="18"/>
          <w:color w:val="auto"/>
        </w:rPr>
        <w:t>By:</w:t>
        <w:tab/>
        <w:t>/s/ James Kiszka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James Kiszka</w:t>
      </w:r>
    </w:p>
    <w:p>
      <w:pPr>
        <w:spacing w:after="0" w:line="23"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980" w:top="800" w:right="9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jc w:val="center"/>
              <w:ind w:right="3010"/>
              <w:spacing w:after="0"/>
              <w:rPr>
                <w:sz w:val="20"/>
                <w:szCs w:val="20"/>
                <w:color w:val="auto"/>
              </w:rPr>
            </w:pPr>
            <w:r>
              <w:rPr>
                <w:rFonts w:ascii="Arial" w:cs="Arial" w:eastAsia="Arial" w:hAnsi="Arial"/>
                <w:sz w:val="18"/>
                <w:szCs w:val="18"/>
                <w:b w:val="1"/>
                <w:bCs w:val="1"/>
                <w:color w:val="auto"/>
                <w:w w:val="99"/>
              </w:rPr>
              <w:t>SCHEDULE A</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b w:val="1"/>
                <w:bCs w:val="1"/>
                <w:color w:val="auto"/>
              </w:rPr>
              <w:t>Fee Item</w:t>
            </w:r>
          </w:p>
        </w:tc>
        <w:tc>
          <w:tcPr>
            <w:tcW w:w="240" w:type="dxa"/>
            <w:vAlign w:val="bottom"/>
          </w:tcPr>
          <w:p>
            <w:pPr>
              <w:spacing w:after="0"/>
              <w:rPr>
                <w:sz w:val="24"/>
                <w:szCs w:val="24"/>
                <w:color w:val="auto"/>
              </w:rPr>
            </w:pPr>
          </w:p>
        </w:tc>
        <w:tc>
          <w:tcPr>
            <w:tcW w:w="4620" w:type="dxa"/>
            <w:vAlign w:val="bottom"/>
          </w:tcPr>
          <w:p>
            <w:pPr>
              <w:ind w:left="1180"/>
              <w:spacing w:after="0"/>
              <w:rPr>
                <w:sz w:val="20"/>
                <w:szCs w:val="20"/>
                <w:color w:val="auto"/>
              </w:rPr>
            </w:pPr>
            <w:r>
              <w:rPr>
                <w:rFonts w:ascii="Arial" w:cs="Arial" w:eastAsia="Arial" w:hAnsi="Arial"/>
                <w:sz w:val="18"/>
                <w:szCs w:val="18"/>
                <w:b w:val="1"/>
                <w:bCs w:val="1"/>
                <w:color w:val="auto"/>
              </w:rPr>
              <w:t>Time and method of payment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24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closing of IPO by wire transfer</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Annual fee</w:t>
            </w:r>
          </w:p>
        </w:tc>
        <w:tc>
          <w:tcPr>
            <w:tcW w:w="486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5"/>
              </w:rPr>
              <w:t>First year, initial closing of IPO by wire transfer; thereafter 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w w:val="92"/>
              </w:rPr>
              <w:t>the anniversary of the effective date of the IPO by wire transfer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rPr>
              <w:t>or check</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Transaction  processing  fee  for  disbursements  to  Company</w:t>
            </w:r>
          </w:p>
        </w:tc>
        <w:tc>
          <w:tcPr>
            <w:tcW w:w="4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Billed to Company following disbursement made to Company</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Section 2</w:t>
            </w:r>
          </w:p>
        </w:tc>
        <w:tc>
          <w:tcPr>
            <w:tcW w:w="4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under Section 2</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2"/>
              </w:rPr>
              <w:t>Paying Agent services as required pursuant to section 1(i) and</w:t>
            </w:r>
          </w:p>
        </w:tc>
        <w:tc>
          <w:tcPr>
            <w:tcW w:w="486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2"/>
              </w:rPr>
              <w:t>Billed to Company upon delivery of service pursuant to section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1(j)</w:t>
            </w: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rPr>
              <w:t>1(i) and 1(j)</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Prevailing rates</w:t>
            </w:r>
          </w:p>
        </w:tc>
      </w:tr>
      <w:tr>
        <w:trPr>
          <w:trHeight w:val="547"/>
        </w:trPr>
        <w:tc>
          <w:tcPr>
            <w:tcW w:w="4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center"/>
              <w:ind w:right="3010"/>
              <w:spacing w:after="0"/>
              <w:rPr>
                <w:sz w:val="20"/>
                <w:szCs w:val="20"/>
                <w:color w:val="auto"/>
              </w:rPr>
            </w:pPr>
            <w:r>
              <w:rPr>
                <w:rFonts w:ascii="Arial" w:cs="Arial" w:eastAsia="Arial" w:hAnsi="Arial"/>
                <w:sz w:val="18"/>
                <w:szCs w:val="18"/>
                <w:color w:val="auto"/>
                <w:w w:val="92"/>
              </w:rPr>
              <w:t>Sch. A-1</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Archimedes Tech SPAC Partners Co.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dated as of _______, 2021 (“</w:t>
      </w:r>
      <w:r>
        <w:rPr>
          <w:rFonts w:ascii="Arial" w:cs="Arial" w:eastAsia="Arial" w:hAnsi="Arial"/>
          <w:sz w:val="16"/>
          <w:szCs w:val="16"/>
          <w:u w:val="single" w:color="auto"/>
          <w:color w:val="auto"/>
        </w:rPr>
        <w:t>Trust Agreement</w:t>
      </w:r>
      <w:r>
        <w:rPr>
          <w:rFonts w:ascii="Arial" w:cs="Arial" w:eastAsia="Arial" w:hAnsi="Arial"/>
          <w:sz w:val="16"/>
          <w:szCs w:val="16"/>
          <w:color w:val="auto"/>
        </w:rPr>
        <w:t>”), this is to advise you that the Company has entered into an</w:t>
      </w:r>
    </w:p>
    <w:p>
      <w:pPr>
        <w:spacing w:after="0"/>
        <w:rPr>
          <w:sz w:val="20"/>
          <w:szCs w:val="20"/>
          <w:color w:val="auto"/>
        </w:rPr>
      </w:pPr>
      <w:r>
        <w:rPr>
          <w:rFonts w:ascii="Arial" w:cs="Arial" w:eastAsia="Arial" w:hAnsi="Arial"/>
          <w:sz w:val="16"/>
          <w:szCs w:val="16"/>
          <w:color w:val="auto"/>
        </w:rPr>
        <w:t>agreement with [__________________] to consummate a business combination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xml:space="preserve">”) on or about </w:t>
      </w:r>
      <w:r>
        <w:rPr>
          <w:rFonts w:ascii="Arial" w:cs="Arial" w:eastAsia="Arial" w:hAnsi="Arial"/>
          <w:sz w:val="16"/>
          <w:szCs w:val="16"/>
          <w:b w:val="1"/>
          <w:bCs w:val="1"/>
          <w:color w:val="auto"/>
        </w:rPr>
        <w:t>[insert date]</w:t>
      </w:r>
      <w:r>
        <w:rPr>
          <w:rFonts w:ascii="Arial" w:cs="Arial" w:eastAsia="Arial" w:hAnsi="Arial"/>
          <w:sz w:val="16"/>
          <w:szCs w:val="16"/>
          <w:color w:val="auto"/>
        </w:rPr>
        <w:t>. The Company shall</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notify you at least 72 hours in advance of the actual date of the consummation of the Business Combination (“</w:t>
      </w:r>
      <w:r>
        <w:rPr>
          <w:rFonts w:ascii="Arial" w:cs="Arial" w:eastAsia="Arial" w:hAnsi="Arial"/>
          <w:sz w:val="18"/>
          <w:szCs w:val="18"/>
          <w:u w:val="single" w:color="auto"/>
          <w:color w:val="auto"/>
        </w:rPr>
        <w:t>Consummation Date</w:t>
      </w:r>
      <w:r>
        <w:rPr>
          <w:rFonts w:ascii="Arial" w:cs="Arial" w:eastAsia="Arial" w:hAnsi="Arial"/>
          <w:sz w:val="18"/>
          <w:szCs w:val="18"/>
          <w:color w:val="auto"/>
        </w:rPr>
        <w:t>”). Capitalized terms used herein and not otherwise defined shall have the meanings set forth in the Trust Agreement.</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and to transfer the proceeds to the Trust Account at J.P. Morgan Chase Bank, N.A. to the effect that, on the Consummation Date, all of the funds held in the Trust 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the Consummation Date (i) counsel for the Company shall deliver to you written notification that the Business Combination has been consummated and (ii) the Company shall deliver to you (a) [an affidavit] [a certificate] by the Chief Executive Officer, which verifies the vote of the Company’s stockholders in connection with the Business Combination if a vote is held and (b) joint written instructions from the Company and the Representative with respect to the transfer of the funds held in the Trust Account (“</w:t>
      </w:r>
      <w:r>
        <w:rPr>
          <w:rFonts w:ascii="Arial" w:cs="Arial" w:eastAsia="Arial" w:hAnsi="Arial"/>
          <w:sz w:val="18"/>
          <w:szCs w:val="18"/>
          <w:u w:val="single" w:color="auto"/>
          <w:color w:val="auto"/>
        </w:rPr>
        <w:t>Instruction Letter</w:t>
      </w:r>
      <w:r>
        <w:rPr>
          <w:rFonts w:ascii="Arial" w:cs="Arial" w:eastAsia="Arial" w:hAnsi="Arial"/>
          <w:sz w:val="18"/>
          <w:szCs w:val="18"/>
          <w:color w:val="auto"/>
        </w:rPr>
        <w:t>”).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your obligations under the Trust Agreement shall be terminated.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you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ACKNOWLEDGED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Archimedes Tech SPAC Partners Co.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dated as of _______, 2021 (“</w:t>
      </w:r>
      <w:r>
        <w:rPr>
          <w:rFonts w:ascii="Arial" w:cs="Arial" w:eastAsia="Arial" w:hAnsi="Arial"/>
          <w:sz w:val="16"/>
          <w:szCs w:val="16"/>
          <w:u w:val="single" w:color="auto"/>
          <w:color w:val="auto"/>
        </w:rPr>
        <w:t>Trust Agreement</w:t>
      </w:r>
      <w:r>
        <w:rPr>
          <w:rFonts w:ascii="Arial" w:cs="Arial" w:eastAsia="Arial" w:hAnsi="Arial"/>
          <w:sz w:val="16"/>
          <w:szCs w:val="16"/>
          <w:color w:val="auto"/>
        </w:rPr>
        <w:t>”), this is to advise you that the Company has been unable to</w:t>
      </w:r>
    </w:p>
    <w:p>
      <w:pPr>
        <w:jc w:val="both"/>
        <w:spacing w:after="0" w:line="255" w:lineRule="auto"/>
        <w:rPr>
          <w:sz w:val="20"/>
          <w:szCs w:val="20"/>
          <w:color w:val="auto"/>
        </w:rPr>
      </w:pPr>
      <w:r>
        <w:rPr>
          <w:rFonts w:ascii="Arial" w:cs="Arial" w:eastAsia="Arial" w:hAnsi="Arial"/>
          <w:sz w:val="18"/>
          <w:szCs w:val="18"/>
          <w:color w:val="auto"/>
        </w:rPr>
        <w:t>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and to transfer the total proceeds of the Trust to the Trust Operating Account at J.P. Morgan Chase Bank, N.A. to await distribution to the Public Stockholders. The Company has selected [____________, 20__] as the effective date for the purpose of determining when the Public Stockholders will be entitled to receive their share of the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liquidation proceeds. It is acknowledged that while the funds are on deposit in the Trust Operating Account awaiting distribution, the Company will not earn any interest or dividends.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EarlyBirdCapital,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[________] - Amendment Notification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made to the Investment Management Trust Agreement between Archimedes Tech SPAC Partners Co.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dated as of ________, 2021 (“</w:t>
      </w:r>
      <w:r>
        <w:rPr>
          <w:rFonts w:ascii="Arial" w:cs="Arial" w:eastAsia="Arial" w:hAnsi="Arial"/>
          <w:sz w:val="18"/>
          <w:szCs w:val="18"/>
          <w:u w:val="single" w:color="auto"/>
          <w:color w:val="auto"/>
        </w:rPr>
        <w:t>Trust Agreement</w:t>
      </w:r>
      <w:r>
        <w:rPr>
          <w:rFonts w:ascii="Arial" w:cs="Arial" w:eastAsia="Arial" w:hAnsi="Arial"/>
          <w:sz w:val="18"/>
          <w:szCs w:val="18"/>
          <w:color w:val="auto"/>
        </w:rPr>
        <w:t>”). Capitalized words used herein and not otherwise defined shall have the meanings ascribed to them in the Trust Agreement.</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Section 1(j) of the Trust Agreement, this is to advise you that the Company has sought an Amendment. Accordingly, in accordance with the terms of the Trust Agreement, we hereby authorize you to liquidate a sufficient portion of the Trust Account and to transfer $____ of the total</w:t>
      </w:r>
    </w:p>
    <w:p>
      <w:pPr>
        <w:spacing w:after="0" w:line="290" w:lineRule="auto"/>
        <w:rPr>
          <w:sz w:val="20"/>
          <w:szCs w:val="20"/>
          <w:color w:val="auto"/>
        </w:rPr>
      </w:pPr>
      <w:r>
        <w:rPr>
          <w:rFonts w:ascii="Arial" w:cs="Arial" w:eastAsia="Arial" w:hAnsi="Arial"/>
          <w:sz w:val="17"/>
          <w:szCs w:val="17"/>
          <w:color w:val="auto"/>
        </w:rPr>
        <w:t>proceeds of the Trust to the Trust Account at J.P. Morgan Chase Bank, N.A. to await distribution to the Public Stockholders that have requested conversion of their shares in connection with such Amendment. The remaining funds shall be reinvested by you as previously instructed.</w:t>
      </w:r>
    </w:p>
    <w:p>
      <w:pPr>
        <w:spacing w:after="0" w:line="1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EarlyBirdCapital,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Pursuant to Section 2(a) of the Investment Management Trust Agreement between Archimedes Tech SPAC Partners Co. (“</w:t>
      </w:r>
      <w:r>
        <w:rPr>
          <w:rFonts w:ascii="Arial" w:cs="Arial" w:eastAsia="Arial" w:hAnsi="Arial"/>
          <w:sz w:val="16"/>
          <w:szCs w:val="16"/>
          <w:u w:val="single" w:color="auto"/>
          <w:color w:val="auto"/>
        </w:rPr>
        <w:t>Company</w:t>
      </w:r>
      <w:r>
        <w:rPr>
          <w:rFonts w:ascii="Arial" w:cs="Arial" w:eastAsia="Arial" w:hAnsi="Arial"/>
          <w:sz w:val="16"/>
          <w:szCs w:val="16"/>
          <w:color w:val="auto"/>
        </w:rPr>
        <w:t>”) and Continental Stock Transfer &amp; Trust Company, dated as of _________, 2021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Company hereby requests that you deliver to the</w:t>
      </w:r>
    </w:p>
    <w:p>
      <w:pPr>
        <w:spacing w:after="0"/>
        <w:rPr>
          <w:sz w:val="20"/>
          <w:szCs w:val="20"/>
          <w:color w:val="auto"/>
        </w:rPr>
      </w:pPr>
      <w:r>
        <w:rPr>
          <w:rFonts w:ascii="Arial" w:cs="Arial" w:eastAsia="Arial" w:hAnsi="Arial"/>
          <w:sz w:val="16"/>
          <w:szCs w:val="16"/>
          <w:color w:val="auto"/>
        </w:rPr>
        <w:t>Company [$_______] of the interest income earned on the Property as of the date hereof. The Company needs such funds to pay for its income or other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terms of the Trust Agreement, you are hereby directed and authorized to transfer (via wire transfer) such funds promptly upon your receipt of this letter to the Company’s operating account at: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cc:  EarlyBirdCapital, Inc.</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STOCK ESCROW AGREEMENT, dated as of March 10, 2021 (“Agreement”), by and among ARCHIMEDES TECH SPAC PARTNERS CO.,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the stockholders of the Company listed on Exhibit A hereto (the “</w:t>
      </w:r>
      <w:r>
        <w:rPr>
          <w:rFonts w:ascii="Arial" w:cs="Arial" w:eastAsia="Arial" w:hAnsi="Arial"/>
          <w:sz w:val="18"/>
          <w:szCs w:val="18"/>
          <w:b w:val="1"/>
          <w:bCs w:val="1"/>
          <w:color w:val="auto"/>
        </w:rPr>
        <w:t>Founders</w:t>
      </w:r>
      <w:r>
        <w:rPr>
          <w:rFonts w:ascii="Arial" w:cs="Arial" w:eastAsia="Arial" w:hAnsi="Arial"/>
          <w:sz w:val="18"/>
          <w:szCs w:val="18"/>
          <w:color w:val="auto"/>
        </w:rPr>
        <w:t>”) and CONTINENTAL STOCK TRANSFER &amp; TRUST COMPANY, a New York limited purpose trust company (“</w:t>
      </w: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was formed for the purpose of completing a merger, stock exchange, asset acquisition, stock purchase, recapitalization, reorganization or other similar business combination (a “</w:t>
      </w:r>
      <w:r>
        <w:rPr>
          <w:rFonts w:ascii="Arial" w:cs="Arial" w:eastAsia="Arial" w:hAnsi="Arial"/>
          <w:sz w:val="18"/>
          <w:szCs w:val="18"/>
          <w:b w:val="1"/>
          <w:bCs w:val="1"/>
          <w:color w:val="auto"/>
        </w:rPr>
        <w:t>Business Combination</w:t>
      </w:r>
      <w:r>
        <w:rPr>
          <w:rFonts w:ascii="Arial" w:cs="Arial" w:eastAsia="Arial" w:hAnsi="Arial"/>
          <w:sz w:val="18"/>
          <w:szCs w:val="18"/>
          <w:color w:val="auto"/>
        </w:rPr>
        <w:t>”) with one or more businesses or entities.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the Company has entered into an Underwriting Agreement, dated March 10, 2021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EARLYBIRDCAPITAL, INC. (the “</w:t>
      </w:r>
      <w:r>
        <w:rPr>
          <w:rFonts w:ascii="Arial" w:cs="Arial" w:eastAsia="Arial" w:hAnsi="Arial"/>
          <w:sz w:val="18"/>
          <w:szCs w:val="18"/>
          <w:b w:val="1"/>
          <w:bCs w:val="1"/>
          <w:color w:val="auto"/>
        </w:rPr>
        <w:t>Representative</w:t>
      </w:r>
      <w:r>
        <w:rPr>
          <w:rFonts w:ascii="Arial" w:cs="Arial" w:eastAsia="Arial" w:hAnsi="Arial"/>
          <w:sz w:val="18"/>
          <w:szCs w:val="18"/>
          <w:color w:val="auto"/>
        </w:rPr>
        <w:t>”) acting as representative of the several underwriters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pursuant to which, among other matters, the Underwriters have agreed to purchase 12,000,000 units (“</w:t>
      </w:r>
      <w:r>
        <w:rPr>
          <w:rFonts w:ascii="Arial" w:cs="Arial" w:eastAsia="Arial" w:hAnsi="Arial"/>
          <w:sz w:val="18"/>
          <w:szCs w:val="18"/>
          <w:b w:val="1"/>
          <w:bCs w:val="1"/>
          <w:color w:val="auto"/>
        </w:rPr>
        <w:t>Units</w:t>
      </w:r>
      <w:r>
        <w:rPr>
          <w:rFonts w:ascii="Arial" w:cs="Arial" w:eastAsia="Arial" w:hAnsi="Arial"/>
          <w:sz w:val="18"/>
          <w:szCs w:val="18"/>
          <w:color w:val="auto"/>
        </w:rPr>
        <w:t>”) of the Company, plus an additional 1,800,000 Units if the Representative exercises the over-allotment option in full. Each Unit consists of one subunit (each, a “</w:t>
      </w:r>
      <w:r>
        <w:rPr>
          <w:rFonts w:ascii="Arial" w:cs="Arial" w:eastAsia="Arial" w:hAnsi="Arial"/>
          <w:sz w:val="18"/>
          <w:szCs w:val="18"/>
          <w:b w:val="1"/>
          <w:bCs w:val="1"/>
          <w:color w:val="auto"/>
        </w:rPr>
        <w:t>Subunit</w:t>
      </w:r>
      <w:r>
        <w:rPr>
          <w:rFonts w:ascii="Arial" w:cs="Arial" w:eastAsia="Arial" w:hAnsi="Arial"/>
          <w:sz w:val="18"/>
          <w:szCs w:val="18"/>
          <w:color w:val="auto"/>
        </w:rPr>
        <w:t>”) and one-quarter of one warrant (each, a “</w:t>
      </w:r>
      <w:r>
        <w:rPr>
          <w:rFonts w:ascii="Arial" w:cs="Arial" w:eastAsia="Arial" w:hAnsi="Arial"/>
          <w:sz w:val="18"/>
          <w:szCs w:val="18"/>
          <w:b w:val="1"/>
          <w:bCs w:val="1"/>
          <w:color w:val="auto"/>
        </w:rPr>
        <w:t>Warrant</w:t>
      </w:r>
      <w:r>
        <w:rPr>
          <w:rFonts w:ascii="Arial" w:cs="Arial" w:eastAsia="Arial" w:hAnsi="Arial"/>
          <w:sz w:val="18"/>
          <w:szCs w:val="18"/>
          <w:color w:val="auto"/>
        </w:rPr>
        <w:t>”). Each Subunit consists of one share of Common Stock and one-quarter of one Warrant, each Warrant to purchase one share of Common Stock, all as more fully described in the Company’s final Prospectus, dated March 12, 2021 (“</w:t>
      </w:r>
      <w:r>
        <w:rPr>
          <w:rFonts w:ascii="Arial" w:cs="Arial" w:eastAsia="Arial" w:hAnsi="Arial"/>
          <w:sz w:val="18"/>
          <w:szCs w:val="18"/>
          <w:b w:val="1"/>
          <w:bCs w:val="1"/>
          <w:color w:val="auto"/>
        </w:rPr>
        <w:t>Prospectus</w:t>
      </w:r>
      <w:r>
        <w:rPr>
          <w:rFonts w:ascii="Arial" w:cs="Arial" w:eastAsia="Arial" w:hAnsi="Arial"/>
          <w:sz w:val="18"/>
          <w:szCs w:val="18"/>
          <w:color w:val="auto"/>
        </w:rPr>
        <w:t>”) comprising part of the Company’s Registration Statement on Form S-1 (File No. 333-253108) under the Securities Act of 1933, as amended (“</w:t>
      </w:r>
      <w:r>
        <w:rPr>
          <w:rFonts w:ascii="Arial" w:cs="Arial" w:eastAsia="Arial" w:hAnsi="Arial"/>
          <w:sz w:val="18"/>
          <w:szCs w:val="18"/>
          <w:b w:val="1"/>
          <w:bCs w:val="1"/>
          <w:color w:val="auto"/>
        </w:rPr>
        <w:t>Registration Statement</w:t>
      </w:r>
      <w:r>
        <w:rPr>
          <w:rFonts w:ascii="Arial" w:cs="Arial" w:eastAsia="Arial" w:hAnsi="Arial"/>
          <w:sz w:val="18"/>
          <w:szCs w:val="18"/>
          <w:color w:val="auto"/>
        </w:rPr>
        <w:t>”), declared effective on March 10, 2021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Founders have agreed as a condition of the sale of the Units to deposit their shares of Common Stock of the Company in escrow as hereinafter provided.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and the Founders desire that the Escrow Agent accept the shares of Common Stock, in escrow, to be held and disbursed as hereinafter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right="20" w:firstLine="656"/>
        <w:spacing w:after="0" w:line="342" w:lineRule="auto"/>
        <w:tabs>
          <w:tab w:leader="none" w:pos="82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Appointment of Escrow Agent</w:t>
      </w:r>
      <w:r>
        <w:rPr>
          <w:rFonts w:ascii="Arial" w:cs="Arial" w:eastAsia="Arial" w:hAnsi="Arial"/>
          <w:sz w:val="16"/>
          <w:szCs w:val="16"/>
          <w:color w:val="auto"/>
        </w:rPr>
        <w:t>. The Company and the Founders hereby appoint the Escrow Agent to act in accordance with and subject to the terms of this Agreement and the Escrow Agent hereby accepts such appointment and agrees to act in accordance with and subject to such terms.</w:t>
      </w:r>
    </w:p>
    <w:p>
      <w:pPr>
        <w:spacing w:after="0" w:line="123" w:lineRule="exact"/>
        <w:rPr>
          <w:rFonts w:ascii="Arial" w:cs="Arial" w:eastAsia="Arial" w:hAnsi="Arial"/>
          <w:sz w:val="16"/>
          <w:szCs w:val="16"/>
          <w:color w:val="auto"/>
        </w:rPr>
      </w:pPr>
    </w:p>
    <w:p>
      <w:pPr>
        <w:jc w:val="both"/>
        <w:ind w:firstLine="656"/>
        <w:spacing w:after="0" w:line="263" w:lineRule="auto"/>
        <w:tabs>
          <w:tab w:leader="none" w:pos="84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Deposit of Shares</w:t>
      </w:r>
      <w:r>
        <w:rPr>
          <w:rFonts w:ascii="Arial" w:cs="Arial" w:eastAsia="Arial" w:hAnsi="Arial"/>
          <w:sz w:val="18"/>
          <w:szCs w:val="18"/>
          <w:color w:val="auto"/>
        </w:rPr>
        <w:t>. On or before the Effective Date, the Founders’ respective shares of Common Stock set forth on Exhibit A hereto shall be deposited in escrow, to be held and disbursed subject to the terms and conditions of this Agreement. The Founders acknowledge that the shares deposited in escrow will be legended to reflect the deposit of such shares under this Agreement.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3.1 If the over-allotment option to purchase all or a portion of the additional 1,800,000 Units of the Company is not exercised in full within 45 days of the date of the Prospectus (as described in the Underwriting Agreement), the Founders agree that the Escrow Agent shall return to the Company for cancellation, at no cost, the number of shares of Common Stock determined by multiplying 450,000 by a fraction, (i) the numerator of which is 1,800,000 minus the number of shares of Common Stock included in the Units purchased by the Underwriters upon the exercise of the over-allotment option, and (ii) the denominator of which is 1,800,000. The Company shall promptly provide notice to the Escrow Agent of the expiration or termination of the over-allotment option and the number of Units, if any, purchased by the Underwriters in connection with the exercise thereof.</w:t>
      </w:r>
    </w:p>
    <w:p>
      <w:pPr>
        <w:spacing w:after="0" w:line="26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both"/>
        <w:ind w:firstLine="1296"/>
        <w:spacing w:after="0" w:line="285" w:lineRule="auto"/>
        <w:rPr>
          <w:sz w:val="20"/>
          <w:szCs w:val="20"/>
          <w:color w:val="auto"/>
        </w:rPr>
      </w:pPr>
      <w:r>
        <w:rPr>
          <w:rFonts w:ascii="Arial" w:cs="Arial" w:eastAsia="Arial" w:hAnsi="Arial"/>
          <w:sz w:val="16"/>
          <w:szCs w:val="16"/>
          <w:color w:val="auto"/>
        </w:rPr>
        <w:t>3.2 Except as otherwise set forth herein, the Escrow Agent shall hold the shares remaining after any cancellation required pursuant to Section 3.1 above (such remaining shares to be referred to herein as the “</w:t>
      </w:r>
      <w:r>
        <w:rPr>
          <w:rFonts w:ascii="Arial" w:cs="Arial" w:eastAsia="Arial" w:hAnsi="Arial"/>
          <w:sz w:val="16"/>
          <w:szCs w:val="16"/>
          <w:b w:val="1"/>
          <w:bCs w:val="1"/>
          <w:color w:val="auto"/>
        </w:rPr>
        <w:t>Escrow Shares</w:t>
      </w:r>
      <w:r>
        <w:rPr>
          <w:rFonts w:ascii="Arial" w:cs="Arial" w:eastAsia="Arial" w:hAnsi="Arial"/>
          <w:sz w:val="16"/>
          <w:szCs w:val="16"/>
          <w:color w:val="auto"/>
        </w:rPr>
        <w: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ordinary shares for cash, securities or other property (such period of time during which the Escrow Shares are held in escrow, the “</w:t>
      </w:r>
      <w:r>
        <w:rPr>
          <w:rFonts w:ascii="Arial" w:cs="Arial" w:eastAsia="Arial" w:hAnsi="Arial"/>
          <w:sz w:val="16"/>
          <w:szCs w:val="16"/>
          <w:b w:val="1"/>
          <w:bCs w:val="1"/>
          <w:color w:val="auto"/>
        </w:rPr>
        <w:t>Escrow Period</w:t>
      </w:r>
      <w:r>
        <w:rPr>
          <w:rFonts w:ascii="Arial" w:cs="Arial" w:eastAsia="Arial" w:hAnsi="Arial"/>
          <w:sz w:val="16"/>
          <w:szCs w:val="16"/>
          <w:color w:val="auto"/>
        </w:rPr>
        <w:t>”). The Company shall promptly provide notice of the consummation of an initial Business Combination to the Escrow Agent. Upon completion of the Escrow Period, the Escrow Agent shall disburse such amount of each Founder’s Escrow Shares to the applicable Founder; provided, however, that if, after the consummation of an initial Business Combination and during the Escrow Period, the Company (or the surviving entity) consummates a liquidation, merger, stock exchange or other similar transaction which results in all of the stockholders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Founders. The Escrow Agent shall have no further duties hereunder after the disbursement of the Escrow Shares in accordance with this Section 3.2.</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3.3 If the Escrow Agent is notified by the Company pursuant to Section 6.7 hereof that the Company’s Trust Account (as defined in that certain Investment Management Trust Agreement, dated as of the date hereof, by and between the Company and the Escrow Agent as trustee thereunder) is being liquidated, then the Escrow Agent shall deliver the certificates representing the Escrow Shares to the Founders promptly after the public stockholders are paid the liquidating distributions and shall have no further duties hereunder.</w:t>
      </w:r>
    </w:p>
    <w:p>
      <w:pPr>
        <w:spacing w:after="0" w:line="187" w:lineRule="exact"/>
        <w:rPr>
          <w:sz w:val="20"/>
          <w:szCs w:val="20"/>
          <w:color w:val="auto"/>
        </w:rPr>
      </w:pPr>
    </w:p>
    <w:p>
      <w:pPr>
        <w:ind w:left="840" w:hanging="184"/>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Rights of Founders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Stockholder</w:t>
      </w:r>
      <w:r>
        <w:rPr>
          <w:rFonts w:ascii="Arial" w:cs="Arial" w:eastAsia="Arial" w:hAnsi="Arial"/>
          <w:sz w:val="18"/>
          <w:szCs w:val="18"/>
          <w:color w:val="auto"/>
        </w:rPr>
        <w:t>. Subject to the terms of the Insider Letters described in Section 4.4 hereof and except as herein provided, the Founders shall retain all of their rights as stockholders of the Company as long as any shares are held in escrow pursuant to this Agreement, including, without limitation, the right to vote such shares.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For as long as any shares are held in escrow pursuant to this Agreement, all dividends payable in cash with respect to the Escrow Shares shall be paid to the Founders,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During the Escrow Period, the only permitted transfers of the Escrow Shares will be (i) to the Founders and the Company’s officers, directors, consultants or their affiliates, (ii) to a Founder’s stockholders, partners or members upon such Founder’s liquidation, (iii) by bona fide gift to a member of the Founders’ immediate family or to a trust, the beneficiary of which is a Founder or a member of a Founder’s immediate family for estate planning purposes, (iv) by virtue of the laws of descent and distribution upon death of a Founder, (v) pursuant to a qualified domestic relations order binding on a Founder, (vi) to the Company for no value for cancellation in connection with the consummation of a Business Combination or</w:t>
      </w:r>
    </w:p>
    <w:p>
      <w:pPr>
        <w:spacing w:after="0" w:line="2" w:lineRule="exact"/>
        <w:rPr>
          <w:sz w:val="20"/>
          <w:szCs w:val="20"/>
          <w:color w:val="auto"/>
        </w:rPr>
      </w:pPr>
    </w:p>
    <w:p>
      <w:pPr>
        <w:jc w:val="both"/>
        <w:ind w:firstLine="8"/>
        <w:spacing w:after="0" w:line="253" w:lineRule="auto"/>
        <w:tabs>
          <w:tab w:leader="none" w:pos="3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private sales of the Escrow Shares made at or prior to the consummation of a Business Combination at prices no greater than the price at which the Escrow Shares were originally purchased; provided, however, that except for clause (vi) or with the Company’s prior written consent, such permitted transfers may be implemented only upon the respective transferee’s written agreement to be bound by the terms and conditions of this Agreement and of the Insider Letter signed by the Founder transferring the shares.</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Insider Letters</w:t>
      </w:r>
      <w:r>
        <w:rPr>
          <w:rFonts w:ascii="Arial" w:cs="Arial" w:eastAsia="Arial" w:hAnsi="Arial"/>
          <w:sz w:val="18"/>
          <w:szCs w:val="18"/>
          <w:color w:val="auto"/>
        </w:rPr>
        <w:t>. The Founders have executed letter agreements with the Company and the Representative, dated as of the date hereto, the form of which is filed as an exhibit to the Registration Statement (“</w:t>
      </w:r>
      <w:r>
        <w:rPr>
          <w:rFonts w:ascii="Arial" w:cs="Arial" w:eastAsia="Arial" w:hAnsi="Arial"/>
          <w:sz w:val="18"/>
          <w:szCs w:val="18"/>
          <w:b w:val="1"/>
          <w:bCs w:val="1"/>
          <w:color w:val="auto"/>
        </w:rPr>
        <w:t>Insider Letter</w:t>
      </w:r>
      <w:r>
        <w:rPr>
          <w:rFonts w:ascii="Arial" w:cs="Arial" w:eastAsia="Arial" w:hAnsi="Arial"/>
          <w:sz w:val="18"/>
          <w:szCs w:val="18"/>
          <w:color w:val="auto"/>
        </w:rPr>
        <w:t>”), respecting the rights and obligations of such Founders in certain events, including, but not limited to, the liquidation of the Company.</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3" w:name="page94"/>
    <w:bookmarkEnd w:id="93"/>
    <w:p>
      <w:pPr>
        <w:ind w:left="840" w:hanging="184"/>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in good faith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Section 5.8 below, the Escrow Agent shall be indemnified and held harmless by the Company from and against any expenses, including reasonable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fraud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6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Compensation</w:t>
      </w:r>
      <w:r>
        <w:rPr>
          <w:rFonts w:ascii="Arial" w:cs="Arial" w:eastAsia="Arial" w:hAnsi="Arial"/>
          <w:sz w:val="18"/>
          <w:szCs w:val="18"/>
          <w:color w:val="auto"/>
        </w:rPr>
        <w:t>. Subject to Section 5.8 below, the Escrow Agent shall be entitled to reasonable compensation from the Company for all services rendered by it hereunder. The Escrow Agent shall also be entitled to reimbursement from the Company for all reasonable expenses paid or incurred by it in the administration of its duties hereunder including, but not limited to, all counsel, advisors’ and agents’ fees and disbursements and all taxes or other governmental charges.</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Founders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the Escrow Shares over to a successor escrow agent appointed by the Company and approved by the Representative, which approval will not be unreasonably withheld, conditioned or delayed. If no new escrow agent is so appointed within the 60-day period following the giving of such notice of resignation, the Escrow Agent may deposit the Escrow Shares with any court it reasonably deems appropriate in the State of New York.</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all of the other parties hereto; provided, however, that such resignation shall become effective only upon the appointment of a successor escrow agent selected by the Company and approved by the Representative, which approval will not be unreasonably withheld, conditioned or delayed.</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fraud or willful misconduct.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and hereby agrees not to seek recourse, reimbursement, payment or satisfaction for any Claim against the Trust Account for any reason whatsoever.</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4" w:name="page95"/>
    <w:bookmarkEnd w:id="94"/>
    <w:p>
      <w:pPr>
        <w:ind w:left="840" w:hanging="184"/>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without giving effect to conflicts of law principles that would result in the application of the substantive laws of another jurisdiction. The parties hereto consent to the jurisdiction and venue of any state or federal court located in the City of New York, Borough of Manhattan, for purposes of resolving any disputes hereunder. As to any claim, cross-claim, or counterclaim in any way relating to this Agreement, each party waives the right to trial by jury.</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parties to this Agreement hereby acknowledges that the Representative is a third party beneficiary of this Agreement.</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hereto with respect to the subject matter hereof and, except as expressly provided herein, may only be changed, amended, or modified by a writing signed by each of the parties hereto.</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consent or request to be given in connection with any of the terms or provisions of this Agreement shall be in writing and shall be sent by express mail or similar private courier service, by certified mail (return receipt requested), by hand delivery, by email or by facsimile transmission: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steve@spacpartners.com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 Founder, to his/her/its address set forth in Exhibit 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if to the Escrow Agent,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Client Administration Dept.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accountadmin@continentalstock.com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copy of any notice sent hereunder shall be sent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366 Madison Ave 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Mike Powell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Mpowell@ebcap.com</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5" w:name="page96"/>
    <w:bookmarkEnd w:id="95"/>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Graubard Miller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David Alan Miller,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(212) 818-8881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dmiller@graubard.com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Giovanni Caruso,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gcaruso@loeb.com</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Liquidation of the Trust Account</w:t>
      </w:r>
      <w:r>
        <w:rPr>
          <w:rFonts w:ascii="Arial" w:cs="Arial" w:eastAsia="Arial" w:hAnsi="Arial"/>
          <w:sz w:val="18"/>
          <w:szCs w:val="18"/>
          <w:color w:val="auto"/>
        </w:rPr>
        <w:t>. The Company shall give the Escrow Agent written notification of the liquidation of the Trust Account in the event that the Company fails to consummate a Business Combination within the time period specified in the Company’s Amended and Restated Certificate of Incorporation, as the same may be amended from time to time.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one of which shall constitute an original and may be delivered by facsimile transmission and together shall constitute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tbl>
      <w:tblPr>
        <w:tblLayout w:type="fixed"/>
        <w:tblInd w:w="620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ARCHIMEDES TECH SPAC SPONSORS LLC</w:t>
      </w:r>
    </w:p>
    <w:p>
      <w:pPr>
        <w:spacing w:after="0" w:line="229" w:lineRule="exact"/>
        <w:rPr>
          <w:sz w:val="20"/>
          <w:szCs w:val="20"/>
          <w:color w:val="auto"/>
        </w:rPr>
      </w:pPr>
    </w:p>
    <w:tbl>
      <w:tblPr>
        <w:tblLayout w:type="fixed"/>
        <w:tblInd w:w="620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N. Cannon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580" w:type="dxa"/>
            <w:vAlign w:val="bottom"/>
          </w:tcPr>
          <w:p>
            <w:pPr>
              <w:spacing w:after="0"/>
              <w:rPr>
                <w:sz w:val="24"/>
                <w:szCs w:val="24"/>
                <w:color w:val="auto"/>
              </w:rPr>
            </w:pP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Bryant B. Edwards</w:t>
            </w:r>
          </w:p>
        </w:tc>
      </w:t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Bryant B. Edwards</w:t>
            </w:r>
          </w:p>
        </w:tc>
      </w:tr>
      <w:tr>
        <w:trPr>
          <w:trHeight w:val="425"/>
        </w:trPr>
        <w:tc>
          <w:tcPr>
            <w:tcW w:w="580" w:type="dxa"/>
            <w:vAlign w:val="bottom"/>
          </w:tcPr>
          <w:p>
            <w:pPr>
              <w:spacing w:after="0"/>
              <w:rPr>
                <w:sz w:val="24"/>
                <w:szCs w:val="24"/>
                <w:color w:val="auto"/>
              </w:rPr>
            </w:pP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Luc Julia</w:t>
            </w:r>
          </w:p>
        </w:tc>
      </w:t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Luc Julia</w:t>
            </w:r>
          </w:p>
        </w:tc>
      </w:tr>
      <w:tr>
        <w:trPr>
          <w:trHeight w:val="425"/>
        </w:trPr>
        <w:tc>
          <w:tcPr>
            <w:tcW w:w="580" w:type="dxa"/>
            <w:vAlign w:val="bottom"/>
          </w:tcPr>
          <w:p>
            <w:pPr>
              <w:spacing w:after="0"/>
              <w:rPr>
                <w:sz w:val="24"/>
                <w:szCs w:val="24"/>
                <w:color w:val="auto"/>
              </w:rPr>
            </w:pP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Rajan P. Pai</w:t>
            </w:r>
          </w:p>
        </w:tc>
      </w:tr>
      <w:tr>
        <w:trPr>
          <w:trHeight w:val="230"/>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Rajan P. Pai</w:t>
            </w:r>
          </w:p>
        </w:tc>
      </w:tr>
    </w:tbl>
    <w:p>
      <w:pPr>
        <w:spacing w:after="0" w:line="18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tbl>
      <w:tblPr>
        <w:tblLayout w:type="fixed"/>
        <w:tblInd w:w="3300" w:type="dxa"/>
        <w:tblCellMar>
          <w:top w:w="0" w:type="dxa"/>
          <w:left w:w="0" w:type="dxa"/>
          <w:bottom w:w="0" w:type="dxa"/>
          <w:right w:w="0" w:type="dxa"/>
        </w:tblCellMar>
      </w:tblPr>
      <w:tr>
        <w:trPr>
          <w:trHeight w:val="237"/>
        </w:trPr>
        <w:tc>
          <w:tcPr>
            <w:tcW w:w="3480" w:type="dxa"/>
            <w:vAlign w:val="bottom"/>
          </w:tcPr>
          <w:p>
            <w:pPr>
              <w:ind w:left="290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Kiszka</w:t>
            </w:r>
          </w:p>
        </w:tc>
      </w:tr>
      <w:tr>
        <w:trPr>
          <w:trHeight w:val="202"/>
        </w:trPr>
        <w:tc>
          <w:tcPr>
            <w:tcW w:w="3480" w:type="dxa"/>
            <w:vAlign w:val="bottom"/>
          </w:tcPr>
          <w:p>
            <w:pPr>
              <w:ind w:left="290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ind w:left="40"/>
              <w:spacing w:after="0" w:line="201" w:lineRule="exact"/>
              <w:rPr>
                <w:sz w:val="20"/>
                <w:szCs w:val="20"/>
                <w:color w:val="auto"/>
              </w:rPr>
            </w:pPr>
            <w:r>
              <w:rPr>
                <w:rFonts w:ascii="Arial" w:cs="Arial" w:eastAsia="Arial" w:hAnsi="Arial"/>
                <w:sz w:val="18"/>
                <w:szCs w:val="18"/>
                <w:color w:val="auto"/>
              </w:rPr>
              <w:t>James Kiszka</w:t>
            </w:r>
          </w:p>
        </w:tc>
      </w:tr>
      <w:tr>
        <w:trPr>
          <w:trHeight w:val="230"/>
        </w:trPr>
        <w:tc>
          <w:tcPr>
            <w:tcW w:w="3480" w:type="dxa"/>
            <w:vAlign w:val="bottom"/>
          </w:tcPr>
          <w:p>
            <w:pPr>
              <w:ind w:left="2900"/>
              <w:spacing w:after="0"/>
              <w:rPr>
                <w:sz w:val="20"/>
                <w:szCs w:val="20"/>
                <w:color w:val="auto"/>
              </w:rPr>
            </w:pPr>
            <w:r>
              <w:rPr>
                <w:rFonts w:ascii="Arial" w:cs="Arial" w:eastAsia="Arial" w:hAnsi="Arial"/>
                <w:sz w:val="18"/>
                <w:szCs w:val="18"/>
                <w:color w:val="auto"/>
              </w:rPr>
              <w:t>Title:</w:t>
            </w:r>
          </w:p>
        </w:tc>
        <w:tc>
          <w:tcPr>
            <w:tcW w:w="380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w w:val="95"/>
              </w:rPr>
              <w:t>[Signature Page to Stock Escrow Agreement]</w:t>
            </w:r>
          </w:p>
        </w:tc>
        <w:tc>
          <w:tcPr>
            <w:tcW w:w="3800" w:type="dxa"/>
            <w:vAlign w:val="bottom"/>
          </w:tcPr>
          <w:p>
            <w:pPr>
              <w:spacing w:after="0"/>
              <w:rPr>
                <w:sz w:val="24"/>
                <w:szCs w:val="24"/>
                <w:color w:val="auto"/>
              </w:rPr>
            </w:pPr>
          </w:p>
        </w:tc>
      </w:tr>
    </w:tbl>
    <w:p>
      <w:pPr>
        <w:spacing w:after="0" w:line="30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16"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40" w:type="dxa"/>
            <w:vAlign w:val="bottom"/>
            <w:gridSpan w:val="4"/>
          </w:tcPr>
          <w:p>
            <w:pPr>
              <w:ind w:left="1160"/>
              <w:spacing w:after="0"/>
              <w:rPr>
                <w:sz w:val="20"/>
                <w:szCs w:val="20"/>
                <w:color w:val="auto"/>
              </w:rPr>
            </w:pPr>
            <w:r>
              <w:rPr>
                <w:rFonts w:ascii="Arial" w:cs="Arial" w:eastAsia="Arial" w:hAnsi="Arial"/>
                <w:sz w:val="18"/>
                <w:szCs w:val="18"/>
                <w:b w:val="1"/>
                <w:bCs w:val="1"/>
                <w:color w:val="auto"/>
              </w:rPr>
              <w:t>EXHIBIT A</w:t>
            </w:r>
          </w:p>
        </w:tc>
      </w:tr>
      <w:tr>
        <w:trPr>
          <w:trHeight w:val="453"/>
        </w:trPr>
        <w:tc>
          <w:tcPr>
            <w:tcW w:w="4000" w:type="dxa"/>
            <w:vAlign w:val="bottom"/>
          </w:tcPr>
          <w:p>
            <w:pPr>
              <w:spacing w:after="0"/>
              <w:rPr>
                <w:sz w:val="20"/>
                <w:szCs w:val="20"/>
                <w:color w:val="auto"/>
              </w:rPr>
            </w:pPr>
            <w:r>
              <w:rPr>
                <w:rFonts w:ascii="Arial" w:cs="Arial" w:eastAsia="Arial" w:hAnsi="Arial"/>
                <w:sz w:val="18"/>
                <w:szCs w:val="18"/>
                <w:b w:val="1"/>
                <w:bCs w:val="1"/>
                <w:color w:val="auto"/>
              </w:rPr>
              <w:t>Name and Address of Founder</w:t>
            </w:r>
          </w:p>
        </w:tc>
        <w:tc>
          <w:tcPr>
            <w:tcW w:w="5640" w:type="dxa"/>
            <w:vAlign w:val="bottom"/>
          </w:tcPr>
          <w:p>
            <w:pPr>
              <w:spacing w:after="0"/>
              <w:rPr>
                <w:sz w:val="24"/>
                <w:szCs w:val="24"/>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Number of Shares</w:t>
            </w:r>
          </w:p>
        </w:tc>
      </w:tr>
      <w:tr>
        <w:trPr>
          <w:trHeight w:val="216"/>
        </w:trPr>
        <w:tc>
          <w:tcPr>
            <w:tcW w:w="4000" w:type="dxa"/>
            <w:vAlign w:val="bottom"/>
            <w:tcBorders>
              <w:top w:val="single" w:sz="8" w:color="auto"/>
            </w:tcBorders>
          </w:tcPr>
          <w:p>
            <w:pPr>
              <w:spacing w:after="0"/>
              <w:rPr>
                <w:sz w:val="18"/>
                <w:szCs w:val="18"/>
                <w:color w:val="auto"/>
              </w:rPr>
            </w:pPr>
          </w:p>
        </w:tc>
        <w:tc>
          <w:tcPr>
            <w:tcW w:w="5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Archimedes Tech SPAC Sponsors LLC</w:t>
            </w: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2093 Philadelphia Pike #1968</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Claymont, DE 19703</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Attn: Stephen N. Cannon</w:t>
            </w:r>
          </w:p>
        </w:tc>
        <w:tc>
          <w:tcPr>
            <w:tcW w:w="7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3,375,000</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Bryant B. Edwards</w:t>
            </w: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2093 Philadelphia Pike #1968</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Claymont, DE 19703</w:t>
            </w:r>
          </w:p>
        </w:tc>
        <w:tc>
          <w:tcPr>
            <w:tcW w:w="7240" w:type="dxa"/>
            <w:vAlign w:val="bottom"/>
            <w:gridSpan w:val="4"/>
          </w:tcPr>
          <w:p>
            <w:pPr>
              <w:jc w:val="right"/>
              <w:ind w:right="100"/>
              <w:spacing w:after="0"/>
              <w:rPr>
                <w:sz w:val="20"/>
                <w:szCs w:val="20"/>
                <w:color w:val="auto"/>
              </w:rPr>
            </w:pPr>
            <w:r>
              <w:rPr>
                <w:rFonts w:ascii="Arial" w:cs="Arial" w:eastAsia="Arial" w:hAnsi="Arial"/>
                <w:sz w:val="18"/>
                <w:szCs w:val="18"/>
                <w:color w:val="auto"/>
              </w:rPr>
              <w:t>25,000</w:t>
            </w: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Luc Julia</w:t>
            </w: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2093 Philadelphia Pike #1968</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Claymont, DE 19703</w:t>
            </w:r>
          </w:p>
        </w:tc>
        <w:tc>
          <w:tcPr>
            <w:tcW w:w="7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Rajan P. Pai</w:t>
            </w: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2093 Philadelphia Pike #1968</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Claymont, DE 19703</w:t>
            </w:r>
          </w:p>
        </w:tc>
        <w:tc>
          <w:tcPr>
            <w:tcW w:w="7240" w:type="dxa"/>
            <w:vAlign w:val="bottom"/>
            <w:gridSpan w:val="4"/>
          </w:tcPr>
          <w:p>
            <w:pPr>
              <w:jc w:val="right"/>
              <w:ind w:right="100"/>
              <w:spacing w:after="0"/>
              <w:rPr>
                <w:sz w:val="20"/>
                <w:szCs w:val="20"/>
                <w:color w:val="auto"/>
              </w:rPr>
            </w:pPr>
            <w:r>
              <w:rPr>
                <w:rFonts w:ascii="Arial" w:cs="Arial" w:eastAsia="Arial" w:hAnsi="Arial"/>
                <w:sz w:val="18"/>
                <w:szCs w:val="18"/>
                <w:color w:val="auto"/>
              </w:rPr>
              <w:t>25,000</w:t>
            </w:r>
          </w:p>
        </w:tc>
      </w:tr>
      <w:tr>
        <w:trPr>
          <w:trHeight w:val="574"/>
        </w:trPr>
        <w:tc>
          <w:tcPr>
            <w:tcW w:w="4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jc w:val="right"/>
              <w:ind w:right="3887"/>
              <w:spacing w:after="0"/>
              <w:rPr>
                <w:sz w:val="20"/>
                <w:szCs w:val="20"/>
                <w:color w:val="auto"/>
              </w:rPr>
            </w:pPr>
            <w:r>
              <w:rPr>
                <w:rFonts w:ascii="Arial" w:cs="Arial" w:eastAsia="Arial" w:hAnsi="Arial"/>
                <w:sz w:val="22"/>
                <w:szCs w:val="22"/>
                <w:color w:val="auto"/>
              </w:rPr>
              <w:t>7</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3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2021, by and among Archimedes Tech SPAC Partners Co.,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Investors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stock exchange, asset acquisition, stock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Founder Shares</w:t>
      </w:r>
      <w:r>
        <w:rPr>
          <w:rFonts w:ascii="Arial" w:cs="Arial" w:eastAsia="Arial" w:hAnsi="Arial"/>
          <w:sz w:val="17"/>
          <w:szCs w:val="17"/>
          <w:color w:val="auto"/>
        </w:rPr>
        <w:t>” means the 2,875,000 shares of Common Stock of the Company issued to its sponsor prior to the Company’s initial public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Founder Shares Lock-up Period</w:t>
      </w:r>
      <w:r>
        <w:rPr>
          <w:rFonts w:ascii="Arial" w:cs="Arial" w:eastAsia="Arial" w:hAnsi="Arial"/>
          <w:sz w:val="18"/>
          <w:szCs w:val="18"/>
          <w:color w:val="auto"/>
        </w:rPr>
        <w:t>” means, with respect to the Founder Shares, the period ending on the six-month anniversary of the date of the consummation of the Company’s initial Business Combination or earlier if, following the initial Business Combination, the Company completes a liquidation, merger, share exchange, reorganization or other similar transaction that results in all of the Company’s shareholders having the right to exchange their Common Stock for cash, securities or other property.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Securities Lock-up Period</w:t>
      </w:r>
      <w:r>
        <w:rPr>
          <w:rFonts w:ascii="Arial" w:cs="Arial" w:eastAsia="Arial" w:hAnsi="Arial"/>
          <w:sz w:val="18"/>
          <w:szCs w:val="18"/>
          <w:color w:val="auto"/>
        </w:rPr>
        <w:t>” means, with respect to the Private Units and any of the securities underlying the Private Units, including the Private Subunits, Private Shares, the Private Warrants and the shares of Common Stock issued or issuable upon the exercise of the Private Warrants, that are held by the initial purchasers of the Private Units or their transferees, the period ending upon the completion of the Company’s initial Business Combination.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Shares</w:t>
      </w:r>
      <w:r>
        <w:rPr>
          <w:rFonts w:ascii="Arial" w:cs="Arial" w:eastAsia="Arial" w:hAnsi="Arial"/>
          <w:sz w:val="18"/>
          <w:szCs w:val="18"/>
          <w:color w:val="auto"/>
        </w:rPr>
        <w:t>” means the shares of Common Stock underlying the Private Subunits that certain of the Investors are privately purchasing simultaneously with the consummation of the Company’s initial public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Subunits</w:t>
      </w:r>
      <w:r>
        <w:rPr>
          <w:rFonts w:ascii="Arial" w:cs="Arial" w:eastAsia="Arial" w:hAnsi="Arial"/>
          <w:sz w:val="18"/>
          <w:szCs w:val="18"/>
          <w:color w:val="auto"/>
        </w:rPr>
        <w:t>” means the Subunits underlying the Private Units that certain of the Investors are privately purchasing simultaneously with the consummation of the Company’s initial public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Units</w:t>
      </w:r>
      <w:r>
        <w:rPr>
          <w:rFonts w:ascii="Arial" w:cs="Arial" w:eastAsia="Arial" w:hAnsi="Arial"/>
          <w:sz w:val="18"/>
          <w:szCs w:val="18"/>
          <w:color w:val="auto"/>
        </w:rPr>
        <w:t>” means the Units that certain of the Investors are privately purchasing simultaneously with the consummation of the Company’s initial public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Warrants</w:t>
      </w:r>
      <w:r>
        <w:rPr>
          <w:rFonts w:ascii="Arial" w:cs="Arial" w:eastAsia="Arial" w:hAnsi="Arial"/>
          <w:sz w:val="18"/>
          <w:szCs w:val="18"/>
          <w:color w:val="auto"/>
        </w:rPr>
        <w:t>” means the Warrants underlying the Private Units and Subunits that certain of the Investors are privately purchasing simultaneously with the consummation of the Company’s initial public offering.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w:t>
      </w:r>
      <w:r>
        <w:rPr>
          <w:rFonts w:ascii="Arial" w:cs="Arial" w:eastAsia="Arial" w:hAnsi="Arial"/>
          <w:sz w:val="18"/>
          <w:szCs w:val="18"/>
          <w:color w:val="auto"/>
        </w:rPr>
        <w:t>” is defined in Section 2.1.4.</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Founder Shares, (ii) the Representative Shares, (iii) the Private Units (and underlying securities), and (iv) the Working Capital Units (and underlying securities), if any. Registrable Securities include any warrants, shares of capital stock or other securities of the Company issued as a dividend or other distribution with respect to or in exchange for or in replacement of such Founder Shares, Representative Shares, Private Units (and underlying securities), and Working Capital Units (and underlying securities).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under the Securities Act without volume limitations.</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 Date</w:t>
      </w:r>
      <w:r>
        <w:rPr>
          <w:rFonts w:ascii="Arial" w:cs="Arial" w:eastAsia="Arial" w:hAnsi="Arial"/>
          <w:sz w:val="17"/>
          <w:szCs w:val="17"/>
          <w:color w:val="auto"/>
        </w:rPr>
        <w:t>” means the date on which the Founder Shares are disbursed from escrow pursuant to Section 3 of that certain Stock Escrow Agreement dated as of March 10, 2021 by and among the holders of Founder Shares and Continental Stock Transfer &amp; Trust Company.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 means EarlyBirdCapital, Inc.</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 Shares</w:t>
      </w:r>
      <w:r>
        <w:rPr>
          <w:rFonts w:ascii="Arial" w:cs="Arial" w:eastAsia="Arial" w:hAnsi="Arial"/>
          <w:sz w:val="18"/>
          <w:szCs w:val="18"/>
          <w:color w:val="auto"/>
        </w:rPr>
        <w:t>” means the 420,000 shares of Common Stock of the Company issued to the Representative and its designees prior to the consummation of the Company’s initial public offering.</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(i) one Subunit, consisting of one share of Common Stock and one-quarter of one warrant and (ii) one-quarter of one warrant, each whole warrant entitling the holder to purchase one share of Common Stock.</w:t>
      </w:r>
    </w:p>
    <w:p>
      <w:pPr>
        <w:spacing w:after="0" w:line="162" w:lineRule="exact"/>
        <w:rPr>
          <w:sz w:val="20"/>
          <w:szCs w:val="20"/>
          <w:color w:val="auto"/>
        </w:rPr>
      </w:pPr>
    </w:p>
    <w:p>
      <w:pPr>
        <w:ind w:right="20"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Shares</w:t>
      </w:r>
      <w:r>
        <w:rPr>
          <w:rFonts w:ascii="Arial" w:cs="Arial" w:eastAsia="Arial" w:hAnsi="Arial"/>
          <w:sz w:val="18"/>
          <w:szCs w:val="18"/>
          <w:color w:val="auto"/>
        </w:rPr>
        <w:t>” means the shares of Common Stock underlying the Working Capital Subunits held by Investors, officers or directors of the Company or their affiliates which may be issued in payment of working capital loans made to the Company.</w:t>
      </w:r>
    </w:p>
    <w:p>
      <w:pPr>
        <w:spacing w:after="0" w:line="162" w:lineRule="exact"/>
        <w:rPr>
          <w:sz w:val="20"/>
          <w:szCs w:val="20"/>
          <w:color w:val="auto"/>
        </w:rPr>
      </w:pPr>
    </w:p>
    <w:p>
      <w:pPr>
        <w:ind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Subunits</w:t>
      </w:r>
      <w:r>
        <w:rPr>
          <w:rFonts w:ascii="Arial" w:cs="Arial" w:eastAsia="Arial" w:hAnsi="Arial"/>
          <w:sz w:val="18"/>
          <w:szCs w:val="18"/>
          <w:color w:val="auto"/>
        </w:rPr>
        <w:t>” means the Subunits underlying the Working Capital Units held by Investors, officers or directors of the Company or their affiliates which may be issued in payment of working capital loans made to the Company.</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Units</w:t>
      </w:r>
      <w:r>
        <w:rPr>
          <w:rFonts w:ascii="Arial" w:cs="Arial" w:eastAsia="Arial" w:hAnsi="Arial"/>
          <w:sz w:val="18"/>
          <w:szCs w:val="18"/>
          <w:color w:val="auto"/>
        </w:rPr>
        <w:t>” means the Units held by Investors, officers or directors of the Company or their affiliates which may be issued in payment of working capital loans made to the Company.</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Working Capital Warrants</w:t>
      </w:r>
      <w:r>
        <w:rPr>
          <w:rFonts w:ascii="Arial" w:cs="Arial" w:eastAsia="Arial" w:hAnsi="Arial"/>
          <w:sz w:val="18"/>
          <w:szCs w:val="18"/>
          <w:color w:val="auto"/>
        </w:rPr>
        <w:t>” means the Warrants Underlying the Working Capital Units and Subunits held by Investors, officers or directors of the Company or their affiliates which may be issued in payment of working capital loans made to the Company.</w:t>
      </w:r>
    </w:p>
    <w:p>
      <w:pPr>
        <w:spacing w:after="0" w:line="166" w:lineRule="exact"/>
        <w:rPr>
          <w:sz w:val="20"/>
          <w:szCs w:val="20"/>
          <w:color w:val="auto"/>
        </w:rPr>
      </w:pPr>
    </w:p>
    <w:p>
      <w:pPr>
        <w:ind w:left="840" w:hanging="18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At any time and from time to time on or after (i) the date that the Company consummates a Business Combination with respect to the Representative Shares, Private Units (or underlying securities) and Working Capital Units (or underlying securities) or (ii) three months prior to the Release Date with respect to all other Registrable Securities, the holders of a majority-in-interest of such Founder Shares, Representative Shares, Private Units (or underlying securities), and Working Capital Units (or underlying securities), or other Registrable Securities, as the case may be, held by the Investors, officers or directors of the Company or their affiliates, or the transferees of the Investors may make a written demand for registration under the Securities Act of all or part of their Founder Shares, Representative Shares, Private Units (or underlying securities), Working Capital Units (or underlying securities), or other Registrable Securities, as the case may be (a “</w:t>
      </w:r>
      <w:r>
        <w:rPr>
          <w:rFonts w:ascii="Arial" w:cs="Arial" w:eastAsia="Arial" w:hAnsi="Arial"/>
          <w:sz w:val="17"/>
          <w:szCs w:val="17"/>
          <w:b w:val="1"/>
          <w:bCs w:val="1"/>
          <w:u w:val="single" w:color="auto"/>
          <w:color w:val="auto"/>
        </w:rPr>
        <w:t>Demand Registration</w:t>
      </w:r>
      <w:r>
        <w:rPr>
          <w:rFonts w:ascii="Arial" w:cs="Arial" w:eastAsia="Arial" w:hAnsi="Arial"/>
          <w:sz w:val="17"/>
          <w:szCs w:val="17"/>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7"/>
          <w:szCs w:val="17"/>
          <w:b w:val="1"/>
          <w:bCs w:val="1"/>
          <w:u w:val="single" w:color="auto"/>
          <w:color w:val="auto"/>
        </w:rPr>
        <w:t>Demanding Holder</w:t>
      </w:r>
      <w:r>
        <w:rPr>
          <w:rFonts w:ascii="Arial" w:cs="Arial" w:eastAsia="Arial" w:hAnsi="Arial"/>
          <w:sz w:val="17"/>
          <w:szCs w:val="17"/>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two (2) Demand Registrations under this Section 2.1.1 in respect of all Registrable Securities.</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p>
      <w:pPr>
        <w:jc w:val="both"/>
        <w:ind w:firstLine="972"/>
        <w:spacing w:after="0" w:line="25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Effective Registration</w:t>
      </w:r>
      <w:r>
        <w:rPr>
          <w:rFonts w:ascii="Arial" w:cs="Arial" w:eastAsia="Arial" w:hAnsi="Arial"/>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92"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64"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Withdrawal</w:t>
      </w:r>
      <w:r>
        <w:rPr>
          <w:rFonts w:ascii="Arial" w:cs="Arial" w:eastAsia="Arial" w:hAnsi="Arial"/>
          <w:sz w:val="17"/>
          <w:szCs w:val="17"/>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w:t>
      </w:r>
    </w:p>
    <w:p>
      <w:pPr>
        <w:spacing w:after="0" w:line="2" w:lineRule="exact"/>
        <w:rPr>
          <w:sz w:val="20"/>
          <w:szCs w:val="20"/>
          <w:color w:val="auto"/>
        </w:rPr>
      </w:pPr>
    </w:p>
    <w:p>
      <w:pPr>
        <w:jc w:val="both"/>
        <w:ind w:firstLine="8"/>
        <w:spacing w:after="0" w:line="286" w:lineRule="auto"/>
        <w:tabs>
          <w:tab w:leader="none" w:pos="364" w:val="left"/>
        </w:tabs>
        <w:numPr>
          <w:ilvl w:val="0"/>
          <w:numId w:val="58"/>
        </w:numPr>
        <w:rPr>
          <w:rFonts w:ascii="Arial" w:cs="Arial" w:eastAsia="Arial" w:hAnsi="Arial"/>
          <w:sz w:val="16"/>
          <w:szCs w:val="16"/>
          <w:color w:val="auto"/>
        </w:rPr>
      </w:pPr>
      <w:r>
        <w:rPr>
          <w:rFonts w:ascii="Arial" w:cs="Arial" w:eastAsia="Arial" w:hAnsi="Arial"/>
          <w:sz w:val="16"/>
          <w:szCs w:val="16"/>
          <w:color w:val="auto"/>
        </w:rPr>
        <w:t>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2"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shares of Common Stock, if any, as to which registration has been demanded pursuant to separate written contractual arrangements with persons or entities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stockholders of the Company, exceeds the Maximum Number of Shares, then the Company shall include in any such registration:</w:t>
      </w:r>
    </w:p>
    <w:p>
      <w:pPr>
        <w:spacing w:after="0" w:line="195" w:lineRule="exact"/>
        <w:rPr>
          <w:sz w:val="20"/>
          <w:szCs w:val="20"/>
          <w:color w:val="auto"/>
        </w:rPr>
      </w:pPr>
    </w:p>
    <w:p>
      <w:pPr>
        <w:jc w:val="both"/>
        <w:ind w:left="1960" w:hanging="8"/>
        <w:spacing w:after="0" w:line="270" w:lineRule="auto"/>
        <w:tabs>
          <w:tab w:leader="none" w:pos="2168"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the shares of Common Stock or other securities that the Company desires to sell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3" w:name="page104"/>
    <w:bookmarkEnd w:id="103"/>
    <w:p>
      <w:pPr>
        <w:jc w:val="both"/>
        <w:ind w:left="1960" w:hanging="8"/>
        <w:spacing w:after="0" w:line="287" w:lineRule="auto"/>
        <w:tabs>
          <w:tab w:leader="none" w:pos="2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7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2" w:lineRule="exact"/>
        <w:rPr>
          <w:sz w:val="20"/>
          <w:szCs w:val="20"/>
          <w:color w:val="auto"/>
        </w:rPr>
      </w:pPr>
    </w:p>
    <w:p>
      <w:pPr>
        <w:ind w:left="840" w:hanging="184"/>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Filing Registration Statement</w:t>
      </w:r>
      <w:r>
        <w:rPr>
          <w:rFonts w:ascii="Arial" w:cs="Arial" w:eastAsia="Arial" w:hAnsi="Arial"/>
          <w:sz w:val="17"/>
          <w:szCs w:val="17"/>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of Directors of the Company,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4" w:name="page105"/>
    <w:bookmarkEnd w:id="104"/>
    <w:p>
      <w:pPr>
        <w:jc w:val="both"/>
        <w:ind w:firstLine="972"/>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Copies</w:t>
      </w:r>
      <w:r>
        <w:rPr>
          <w:rFonts w:ascii="Arial" w:cs="Arial" w:eastAsia="Arial" w:hAnsi="Arial"/>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9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78"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5" w:name="page106"/>
    <w:bookmarkEnd w:id="105"/>
    <w:p>
      <w:pPr>
        <w:jc w:val="both"/>
        <w:ind w:firstLine="972"/>
        <w:spacing w:after="0" w:line="301"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Cooperation</w:t>
      </w:r>
      <w:r>
        <w:rPr>
          <w:rFonts w:ascii="Arial" w:cs="Arial" w:eastAsia="Arial" w:hAnsi="Arial"/>
          <w:sz w:val="16"/>
          <w:szCs w:val="16"/>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57"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Records</w:t>
      </w:r>
      <w:r>
        <w:rPr>
          <w:rFonts w:ascii="Arial" w:cs="Arial" w:eastAsia="Arial" w:hAnsi="Arial"/>
          <w:sz w:val="17"/>
          <w:szCs w:val="17"/>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7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Obligation to Suspend Distribution</w:t>
      </w:r>
      <w:r>
        <w:rPr>
          <w:rFonts w:ascii="Arial" w:cs="Arial" w:eastAsia="Arial" w:hAnsi="Arial"/>
          <w:sz w:val="17"/>
          <w:szCs w:val="17"/>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written copies, other than permanent file copies then in such holder’s possession, of the most recent prospectus covering such Registrable Securities at the time of receipt of such notice.</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6" w:name="page107"/>
    <w:bookmarkEnd w:id="106"/>
    <w:p>
      <w:pPr>
        <w:jc w:val="both"/>
        <w:ind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fees and expenses of any special experts retained by the Company in connection with such registration; and (ix) the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Limitations on Registration Rights</w:t>
      </w:r>
      <w:r>
        <w:rPr>
          <w:rFonts w:ascii="Arial" w:cs="Arial" w:eastAsia="Arial" w:hAnsi="Arial"/>
          <w:sz w:val="17"/>
          <w:szCs w:val="17"/>
          <w:color w:val="auto"/>
        </w:rPr>
        <w:t>. Notwithstanding anything herein to the contrary, (i) the Representative may not exercise its rights under Section 2.1 and 2.2 hereunder after five (5) and seven (7) years after the effective date of the registration statement relating to the Company’s initial public offering, respectively, and (ii) the Representative may not exercise its rights under Section 2.1 more than one time.</w:t>
      </w:r>
    </w:p>
    <w:p>
      <w:pPr>
        <w:spacing w:after="0" w:line="165" w:lineRule="exact"/>
        <w:rPr>
          <w:sz w:val="20"/>
          <w:szCs w:val="20"/>
          <w:color w:val="auto"/>
        </w:rPr>
      </w:pPr>
    </w:p>
    <w:p>
      <w:pPr>
        <w:ind w:left="840" w:hanging="184"/>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whether or not any such person is a party to any such claim or action and including any and all legal and other expenses incurred in giving testimony or furnishing documents in response to a subpoena or otherwise;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7" w:name="page108"/>
    <w:bookmarkEnd w:id="107"/>
    <w:p>
      <w:pPr>
        <w:jc w:val="both"/>
        <w:ind w:firstLine="648"/>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Subject to the limitations set forth in Section 4.4.3 hereof,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w:t>
      </w:r>
      <w:r>
        <w:rPr>
          <w:rFonts w:ascii="Arial" w:cs="Arial" w:eastAsia="Arial" w:hAnsi="Arial"/>
          <w:sz w:val="17"/>
          <w:szCs w:val="17"/>
          <w:b w:val="1"/>
          <w:bCs w:val="1"/>
          <w:u w:val="single" w:color="auto"/>
          <w:color w:val="auto"/>
        </w:rPr>
        <w:t>Indemnified Party</w:t>
      </w:r>
      <w:r>
        <w:rPr>
          <w:rFonts w:ascii="Arial" w:cs="Arial" w:eastAsia="Arial" w:hAnsi="Arial"/>
          <w:sz w:val="17"/>
          <w:szCs w:val="17"/>
          <w:color w:val="auto"/>
        </w:rPr>
        <w:t>”)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advice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8" w:name="page109"/>
    <w:bookmarkEnd w:id="108"/>
    <w:p>
      <w:pPr>
        <w:jc w:val="both"/>
        <w:ind w:firstLine="972"/>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with respect to any action shall be entitled to contribution in such action from any person who was not guilty of such fraudulent misrepresentation.</w:t>
      </w:r>
    </w:p>
    <w:p>
      <w:pPr>
        <w:spacing w:after="0" w:line="177" w:lineRule="exact"/>
        <w:rPr>
          <w:sz w:val="20"/>
          <w:szCs w:val="20"/>
          <w:color w:val="auto"/>
        </w:rPr>
      </w:pPr>
    </w:p>
    <w:p>
      <w:pPr>
        <w:ind w:left="840" w:hanging="184"/>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UNDERWRITING AND DISTRIBUTION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consents, approvals or other communications (collectively,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Long Long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Giovanni Caruso,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Waivers and Extensions</w:t>
      </w:r>
      <w:r>
        <w:rPr>
          <w:rFonts w:ascii="Arial" w:cs="Arial" w:eastAsia="Arial" w:hAnsi="Arial"/>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0" w:name="page111"/>
    <w:bookmarkEnd w:id="110"/>
    <w:p>
      <w:pPr>
        <w:jc w:val="both"/>
        <w:ind w:firstLine="648"/>
        <w:spacing w:after="0" w:line="25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 The Company irrevocably submits to the nonexclusive jurisdiction of any New York State or United States Federal court sitting in The City of New York, Borough of Manhattan, over any suit, action or proceeding arising out of or relating to this Agreement. The Company irrevocably waives, to the fullest extent permitted by law, any objection that they may now or hereafter have to the laying of venue of any such suit, action or proceeding brought in such a court and any claim that any such suit, action or proceeding brought in such a court has been brought in an inconvenient forum.</w:t>
      </w:r>
    </w:p>
    <w:p>
      <w:pPr>
        <w:spacing w:after="0" w:line="17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1" w:name="page112"/>
    <w:bookmarkEnd w:id="111"/>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SPONSORS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Mike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Mike Powell</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Senior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BRYANT B. EDWARDS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Bryant B. Edwards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 JULIA</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Luc Julia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RAJAN P. PAI</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Rajan P.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Rajan P. Pai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2" w:name="page113"/>
    <w:bookmarkEnd w:id="112"/>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and Address of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Sponsors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Steve Cannon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366 Madison Avenue,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Bryant B.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Luc Julia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Rajan P. Pai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10, 2021, by and between Archimedes Tech SPAC Partners Co.,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Bryant B. Edwards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5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EarlyBirdCapital, Inc.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5"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988"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Underwriter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660" w:hanging="4"/>
        <w:spacing w:after="0" w:line="259" w:lineRule="auto"/>
        <w:tabs>
          <w:tab w:leader="none" w:pos="992"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8"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340" w:hanging="8"/>
        <w:spacing w:after="0" w:line="342" w:lineRule="auto"/>
        <w:tabs>
          <w:tab w:leader="none" w:pos="595"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5" w:name="page116"/>
    <w:bookmarkEnd w:id="115"/>
    <w:p>
      <w:pPr>
        <w:ind w:left="8" w:hanging="8"/>
        <w:spacing w:after="0" w:line="277" w:lineRule="auto"/>
        <w:tabs>
          <w:tab w:leader="none" w:pos="23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jc w:val="both"/>
        <w:ind w:left="8" w:hanging="8"/>
        <w:spacing w:after="0" w:line="287" w:lineRule="auto"/>
        <w:tabs>
          <w:tab w:leader="none" w:pos="263"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8" w:hanging="8"/>
        <w:spacing w:after="0" w:line="277" w:lineRule="auto"/>
        <w:tabs>
          <w:tab w:leader="none" w:pos="278"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8" w:hanging="8"/>
        <w:spacing w:after="0" w:line="293" w:lineRule="auto"/>
        <w:tabs>
          <w:tab w:leader="none" w:pos="2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8" w:hanging="8"/>
        <w:spacing w:after="0" w:line="272" w:lineRule="auto"/>
        <w:tabs>
          <w:tab w:leader="none" w:pos="34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8" w:hanging="8"/>
        <w:spacing w:after="0" w:line="308" w:lineRule="auto"/>
        <w:tabs>
          <w:tab w:leader="none" w:pos="26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0" w:right="339" w:bottom="1440" w:gutter="0" w:footer="0" w:header="0"/>
        </w:sectPr>
      </w:pPr>
    </w:p>
    <w:bookmarkStart w:id="116" w:name="page117"/>
    <w:bookmarkEnd w:id="116"/>
    <w:p>
      <w:pPr>
        <w:jc w:val="both"/>
        <w:ind w:left="340" w:hanging="332"/>
        <w:spacing w:after="0" w:line="289" w:lineRule="auto"/>
        <w:tabs>
          <w:tab w:leader="none" w:pos="34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Notwithstanding any other provisions of this Agreement except for Section 27,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3" w:lineRule="exact"/>
        <w:rPr>
          <w:rFonts w:ascii="Arial" w:cs="Arial" w:eastAsia="Arial" w:hAnsi="Arial"/>
          <w:sz w:val="16"/>
          <w:szCs w:val="16"/>
          <w:b w:val="1"/>
          <w:bCs w:val="1"/>
          <w:color w:val="auto"/>
        </w:rPr>
      </w:pPr>
    </w:p>
    <w:p>
      <w:pPr>
        <w:jc w:val="both"/>
        <w:ind w:left="340" w:hanging="332"/>
        <w:spacing w:after="0" w:line="289" w:lineRule="auto"/>
        <w:tabs>
          <w:tab w:leader="none" w:pos="34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Notwithstanding any other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Section 27,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7" w:lineRule="exact"/>
        <w:rPr>
          <w:rFonts w:ascii="Arial" w:cs="Arial" w:eastAsia="Arial" w:hAnsi="Arial"/>
          <w:sz w:val="16"/>
          <w:szCs w:val="16"/>
          <w:b w:val="1"/>
          <w:bCs w:val="1"/>
          <w:color w:val="auto"/>
        </w:rPr>
      </w:pPr>
    </w:p>
    <w:p>
      <w:pPr>
        <w:jc w:val="both"/>
        <w:ind w:left="340" w:hanging="332"/>
        <w:spacing w:after="0" w:line="269" w:lineRule="auto"/>
        <w:tabs>
          <w:tab w:leader="none" w:pos="34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05"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Notwithstanding any limitation in Sections 3, 4, 5 or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7" w:name="page118"/>
    <w:bookmarkEnd w:id="117"/>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96" w:lineRule="auto"/>
        <w:tabs>
          <w:tab w:leader="none" w:pos="621" w:val="left"/>
        </w:tabs>
        <w:numPr>
          <w:ilvl w:val="1"/>
          <w:numId w:val="71"/>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hanging="8"/>
        <w:spacing w:after="0" w:line="277" w:lineRule="auto"/>
        <w:tabs>
          <w:tab w:leader="none" w:pos="5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auto"/>
        </w:rPr>
      </w:pPr>
    </w:p>
    <w:p>
      <w:pPr>
        <w:ind w:left="340" w:hanging="8"/>
        <w:spacing w:after="0" w:line="342" w:lineRule="auto"/>
        <w:tabs>
          <w:tab w:leader="none" w:pos="591" w:val="left"/>
        </w:tabs>
        <w:numPr>
          <w:ilvl w:val="1"/>
          <w:numId w:val="71"/>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auto"/>
        </w:rPr>
      </w:pPr>
    </w:p>
    <w:p>
      <w:pPr>
        <w:jc w:val="both"/>
        <w:ind w:left="340" w:hanging="8"/>
        <w:spacing w:after="0" w:line="257" w:lineRule="auto"/>
        <w:tabs>
          <w:tab w:leader="none" w:pos="604"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5" w:val="left"/>
        </w:tabs>
        <w:numPr>
          <w:ilvl w:val="1"/>
          <w:numId w:val="71"/>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3"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8" w:name="page119"/>
    <w:bookmarkEnd w:id="118"/>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602"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40" w:hanging="8"/>
        <w:spacing w:after="0" w:line="259" w:lineRule="auto"/>
        <w:tabs>
          <w:tab w:leader="none" w:pos="628"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76" w:val="left"/>
        </w:tabs>
        <w:numPr>
          <w:ilvl w:val="1"/>
          <w:numId w:val="72"/>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340" w:hanging="8"/>
        <w:spacing w:after="0" w:line="342" w:lineRule="auto"/>
        <w:tabs>
          <w:tab w:leader="none" w:pos="588"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9" w:name="page120"/>
    <w:bookmarkEnd w:id="119"/>
    <w:p>
      <w:pPr>
        <w:ind w:left="340" w:hanging="332"/>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71" w:lineRule="auto"/>
        <w:tabs>
          <w:tab w:leader="none" w:pos="593" w:val="left"/>
        </w:tabs>
        <w:numPr>
          <w:ilvl w:val="1"/>
          <w:numId w:val="73"/>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73"/>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right="20" w:hanging="8"/>
        <w:spacing w:after="0" w:line="308" w:lineRule="auto"/>
        <w:tabs>
          <w:tab w:leader="none" w:pos="592"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2" w:val="left"/>
        </w:tabs>
        <w:numPr>
          <w:ilvl w:val="1"/>
          <w:numId w:val="73"/>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jc w:val="both"/>
        <w:ind w:left="340" w:hanging="8"/>
        <w:spacing w:after="0" w:line="289" w:lineRule="auto"/>
        <w:tabs>
          <w:tab w:leader="none" w:pos="645"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340" w:hanging="8"/>
        <w:spacing w:after="0" w:line="259" w:lineRule="auto"/>
        <w:tabs>
          <w:tab w:leader="none" w:pos="59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40" w:hanging="8"/>
        <w:spacing w:after="0" w:line="263" w:lineRule="auto"/>
        <w:tabs>
          <w:tab w:leader="none" w:pos="631"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340" w:hanging="8"/>
        <w:spacing w:after="0" w:line="271" w:lineRule="auto"/>
        <w:tabs>
          <w:tab w:leader="none" w:pos="608"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40" w:hanging="8"/>
        <w:spacing w:after="0" w:line="301" w:lineRule="auto"/>
        <w:tabs>
          <w:tab w:leader="none" w:pos="586"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6"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1" w:name="page122"/>
    <w:bookmarkEnd w:id="121"/>
    <w:p>
      <w:pPr>
        <w:jc w:val="both"/>
        <w:ind w:left="340" w:hanging="8"/>
        <w:spacing w:after="0" w:line="290" w:lineRule="auto"/>
        <w:tabs>
          <w:tab w:leader="none" w:pos="61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left="340" w:hanging="8"/>
        <w:spacing w:after="0" w:line="290" w:lineRule="auto"/>
        <w:tabs>
          <w:tab w:leader="none" w:pos="602" w:val="left"/>
        </w:tabs>
        <w:numPr>
          <w:ilvl w:val="1"/>
          <w:numId w:val="76"/>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5"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Underwriter,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6" w:lineRule="exact"/>
        <w:rPr>
          <w:rFonts w:ascii="Arial" w:cs="Arial" w:eastAsia="Arial" w:hAnsi="Arial"/>
          <w:sz w:val="16"/>
          <w:szCs w:val="16"/>
          <w:b w:val="1"/>
          <w:bCs w:val="1"/>
          <w:color w:val="auto"/>
        </w:rPr>
      </w:pPr>
    </w:p>
    <w:p>
      <w:pPr>
        <w:jc w:val="both"/>
        <w:ind w:left="340" w:hanging="332"/>
        <w:spacing w:after="0" w:line="272" w:lineRule="auto"/>
        <w:tabs>
          <w:tab w:leader="none" w:pos="34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2" w:name="page123"/>
    <w:bookmarkEnd w:id="122"/>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3" w:lineRule="auto"/>
        <w:tabs>
          <w:tab w:leader="none" w:pos="58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40" w:hanging="8"/>
        <w:spacing w:after="0" w:line="273" w:lineRule="auto"/>
        <w:tabs>
          <w:tab w:leader="none" w:pos="593"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40" w:hanging="8"/>
        <w:spacing w:after="0" w:line="259" w:lineRule="auto"/>
        <w:tabs>
          <w:tab w:leader="none" w:pos="5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40" w:hanging="8"/>
        <w:spacing w:after="0" w:line="253" w:lineRule="auto"/>
        <w:tabs>
          <w:tab w:leader="none" w:pos="61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202"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auto"/>
        </w:rPr>
      </w:pPr>
    </w:p>
    <w:p>
      <w:pPr>
        <w:ind w:left="340" w:hanging="8"/>
        <w:spacing w:after="0" w:line="277" w:lineRule="auto"/>
        <w:tabs>
          <w:tab w:leader="none" w:pos="59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Stephen N. Cannon,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3" w:name="page124"/>
    <w:bookmarkEnd w:id="123"/>
    <w:p>
      <w:pPr>
        <w:jc w:val="both"/>
        <w:ind w:left="340" w:hanging="332"/>
        <w:spacing w:after="0" w:line="254" w:lineRule="auto"/>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15"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202"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10"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202"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214" w:lineRule="exact"/>
        <w:rPr>
          <w:rFonts w:ascii="Arial" w:cs="Arial" w:eastAsia="Arial" w:hAnsi="Arial"/>
          <w:sz w:val="18"/>
          <w:szCs w:val="18"/>
          <w:b w:val="1"/>
          <w:bCs w:val="1"/>
          <w:color w:val="auto"/>
        </w:rPr>
      </w:pPr>
    </w:p>
    <w:p>
      <w:pPr>
        <w:jc w:val="both"/>
        <w:ind w:left="340" w:hanging="332"/>
        <w:spacing w:after="0" w:line="273" w:lineRule="auto"/>
        <w:tabs>
          <w:tab w:leader="none" w:pos="3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Bryant B. Edwards</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660" w:top="796" w:right="10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10, 2021, by and between Archimedes Tech SPAC Partners Co.,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Daniel L. Sheehan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598"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6"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81"/>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EarlyBirdCapital, Inc.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5"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988" w:val="left"/>
        </w:tabs>
        <w:numPr>
          <w:ilvl w:val="2"/>
          <w:numId w:val="81"/>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Underwriter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660" w:hanging="4"/>
        <w:spacing w:after="0" w:line="259" w:lineRule="auto"/>
        <w:tabs>
          <w:tab w:leader="none" w:pos="992"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8"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340" w:hanging="8"/>
        <w:spacing w:after="0" w:line="342" w:lineRule="auto"/>
        <w:tabs>
          <w:tab w:leader="none" w:pos="5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7" w:name="page128"/>
    <w:bookmarkEnd w:id="127"/>
    <w:p>
      <w:pPr>
        <w:ind w:left="8" w:hanging="8"/>
        <w:spacing w:after="0" w:line="277" w:lineRule="auto"/>
        <w:tabs>
          <w:tab w:leader="none" w:pos="2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jc w:val="both"/>
        <w:ind w:left="8" w:hanging="8"/>
        <w:spacing w:after="0" w:line="287" w:lineRule="auto"/>
        <w:tabs>
          <w:tab w:leader="none" w:pos="263" w:val="left"/>
        </w:tabs>
        <w:numPr>
          <w:ilvl w:val="0"/>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8" w:hanging="8"/>
        <w:spacing w:after="0" w:line="277" w:lineRule="auto"/>
        <w:tabs>
          <w:tab w:leader="none" w:pos="278"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8" w:hanging="8"/>
        <w:spacing w:after="0" w:line="293" w:lineRule="auto"/>
        <w:tabs>
          <w:tab w:leader="none" w:pos="22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8" w:hanging="8"/>
        <w:spacing w:after="0" w:line="272" w:lineRule="auto"/>
        <w:tabs>
          <w:tab w:leader="none" w:pos="34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8" w:hanging="8"/>
        <w:spacing w:after="0" w:line="308" w:lineRule="auto"/>
        <w:tabs>
          <w:tab w:leader="none" w:pos="2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0" w:right="339" w:bottom="1440" w:gutter="0" w:footer="0" w:header="0"/>
        </w:sectPr>
      </w:pPr>
    </w:p>
    <w:bookmarkStart w:id="128" w:name="page129"/>
    <w:bookmarkEnd w:id="128"/>
    <w:p>
      <w:pPr>
        <w:jc w:val="both"/>
        <w:ind w:left="340" w:hanging="332"/>
        <w:spacing w:after="0" w:line="289" w:lineRule="auto"/>
        <w:tabs>
          <w:tab w:leader="none" w:pos="34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Notwithstanding any other provisions of this Agreement except for Section 27,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3" w:lineRule="exact"/>
        <w:rPr>
          <w:rFonts w:ascii="Arial" w:cs="Arial" w:eastAsia="Arial" w:hAnsi="Arial"/>
          <w:sz w:val="16"/>
          <w:szCs w:val="16"/>
          <w:b w:val="1"/>
          <w:bCs w:val="1"/>
          <w:color w:val="auto"/>
        </w:rPr>
      </w:pPr>
    </w:p>
    <w:p>
      <w:pPr>
        <w:jc w:val="both"/>
        <w:ind w:left="340" w:hanging="332"/>
        <w:spacing w:after="0" w:line="289" w:lineRule="auto"/>
        <w:tabs>
          <w:tab w:leader="none" w:pos="34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Notwithstanding any other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Section 27,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7" w:lineRule="exact"/>
        <w:rPr>
          <w:rFonts w:ascii="Arial" w:cs="Arial" w:eastAsia="Arial" w:hAnsi="Arial"/>
          <w:sz w:val="16"/>
          <w:szCs w:val="16"/>
          <w:b w:val="1"/>
          <w:bCs w:val="1"/>
          <w:color w:val="auto"/>
        </w:rPr>
      </w:pPr>
    </w:p>
    <w:p>
      <w:pPr>
        <w:jc w:val="both"/>
        <w:ind w:left="340" w:hanging="332"/>
        <w:spacing w:after="0" w:line="269" w:lineRule="auto"/>
        <w:tabs>
          <w:tab w:leader="none" w:pos="34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05"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Notwithstanding any limitation in Sections 3, 4, 5 or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9" w:name="page130"/>
    <w:bookmarkEnd w:id="129"/>
    <w:p>
      <w:pPr>
        <w:ind w:left="340" w:hanging="332"/>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96" w:lineRule="auto"/>
        <w:tabs>
          <w:tab w:leader="none" w:pos="621" w:val="left"/>
        </w:tabs>
        <w:numPr>
          <w:ilvl w:val="1"/>
          <w:numId w:val="8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hanging="8"/>
        <w:spacing w:after="0" w:line="277" w:lineRule="auto"/>
        <w:tabs>
          <w:tab w:leader="none" w:pos="598"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auto"/>
        </w:rPr>
      </w:pPr>
    </w:p>
    <w:p>
      <w:pPr>
        <w:ind w:left="340" w:hanging="8"/>
        <w:spacing w:after="0" w:line="342" w:lineRule="auto"/>
        <w:tabs>
          <w:tab w:leader="none" w:pos="591" w:val="left"/>
        </w:tabs>
        <w:numPr>
          <w:ilvl w:val="1"/>
          <w:numId w:val="86"/>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86"/>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auto"/>
        </w:rPr>
      </w:pPr>
    </w:p>
    <w:p>
      <w:pPr>
        <w:jc w:val="both"/>
        <w:ind w:left="340" w:hanging="8"/>
        <w:spacing w:after="0" w:line="257" w:lineRule="auto"/>
        <w:tabs>
          <w:tab w:leader="none" w:pos="6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5" w:val="left"/>
        </w:tabs>
        <w:numPr>
          <w:ilvl w:val="1"/>
          <w:numId w:val="86"/>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3"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0" w:name="page131"/>
    <w:bookmarkEnd w:id="130"/>
    <w:p>
      <w:pPr>
        <w:ind w:left="340" w:hanging="332"/>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602"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40" w:hanging="8"/>
        <w:spacing w:after="0" w:line="259" w:lineRule="auto"/>
        <w:tabs>
          <w:tab w:leader="none" w:pos="628"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76" w:val="left"/>
        </w:tabs>
        <w:numPr>
          <w:ilvl w:val="1"/>
          <w:numId w:val="87"/>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340" w:hanging="8"/>
        <w:spacing w:after="0" w:line="342" w:lineRule="auto"/>
        <w:tabs>
          <w:tab w:leader="none" w:pos="588"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71" w:lineRule="auto"/>
        <w:tabs>
          <w:tab w:leader="none" w:pos="593" w:val="left"/>
        </w:tabs>
        <w:numPr>
          <w:ilvl w:val="1"/>
          <w:numId w:val="88"/>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88"/>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6"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right="20" w:hanging="8"/>
        <w:spacing w:after="0" w:line="308" w:lineRule="auto"/>
        <w:tabs>
          <w:tab w:leader="none" w:pos="592"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2" w:val="left"/>
        </w:tabs>
        <w:numPr>
          <w:ilvl w:val="1"/>
          <w:numId w:val="88"/>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2" w:name="page133"/>
    <w:bookmarkEnd w:id="132"/>
    <w:p>
      <w:pPr>
        <w:jc w:val="both"/>
        <w:ind w:left="340" w:hanging="8"/>
        <w:spacing w:after="0" w:line="289" w:lineRule="auto"/>
        <w:tabs>
          <w:tab w:leader="none" w:pos="645"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340" w:hanging="8"/>
        <w:spacing w:after="0" w:line="259" w:lineRule="auto"/>
        <w:tabs>
          <w:tab w:leader="none" w:pos="595"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40" w:hanging="8"/>
        <w:spacing w:after="0" w:line="263" w:lineRule="auto"/>
        <w:tabs>
          <w:tab w:leader="none" w:pos="631"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340" w:hanging="8"/>
        <w:spacing w:after="0" w:line="271" w:lineRule="auto"/>
        <w:tabs>
          <w:tab w:leader="none" w:pos="608"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40" w:hanging="8"/>
        <w:spacing w:after="0" w:line="301" w:lineRule="auto"/>
        <w:tabs>
          <w:tab w:leader="none" w:pos="586"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340" w:hanging="8"/>
        <w:spacing w:after="0" w:line="287" w:lineRule="auto"/>
        <w:tabs>
          <w:tab w:leader="none" w:pos="586"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3" w:name="page134"/>
    <w:bookmarkEnd w:id="133"/>
    <w:p>
      <w:pPr>
        <w:jc w:val="both"/>
        <w:ind w:left="340" w:hanging="8"/>
        <w:spacing w:after="0" w:line="290" w:lineRule="auto"/>
        <w:tabs>
          <w:tab w:leader="none" w:pos="613"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left="340" w:hanging="8"/>
        <w:spacing w:after="0" w:line="290" w:lineRule="auto"/>
        <w:tabs>
          <w:tab w:leader="none" w:pos="602" w:val="left"/>
        </w:tabs>
        <w:numPr>
          <w:ilvl w:val="1"/>
          <w:numId w:val="91"/>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5"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Underwriter,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6" w:lineRule="exact"/>
        <w:rPr>
          <w:rFonts w:ascii="Arial" w:cs="Arial" w:eastAsia="Arial" w:hAnsi="Arial"/>
          <w:sz w:val="16"/>
          <w:szCs w:val="16"/>
          <w:b w:val="1"/>
          <w:bCs w:val="1"/>
          <w:color w:val="auto"/>
        </w:rPr>
      </w:pPr>
    </w:p>
    <w:p>
      <w:pPr>
        <w:jc w:val="both"/>
        <w:ind w:left="340" w:hanging="332"/>
        <w:spacing w:after="0" w:line="272" w:lineRule="auto"/>
        <w:tabs>
          <w:tab w:leader="none" w:pos="34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4" w:name="page135"/>
    <w:bookmarkEnd w:id="134"/>
    <w:p>
      <w:pPr>
        <w:ind w:left="340" w:hanging="332"/>
        <w:spacing w:after="0"/>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3" w:lineRule="auto"/>
        <w:tabs>
          <w:tab w:leader="none" w:pos="589"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24" w:val="left"/>
        </w:tabs>
        <w:numPr>
          <w:ilvl w:val="1"/>
          <w:numId w:val="93"/>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40" w:hanging="8"/>
        <w:spacing w:after="0" w:line="273" w:lineRule="auto"/>
        <w:tabs>
          <w:tab w:leader="none" w:pos="593"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40" w:hanging="8"/>
        <w:spacing w:after="0" w:line="259" w:lineRule="auto"/>
        <w:tabs>
          <w:tab w:leader="none" w:pos="5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40" w:hanging="8"/>
        <w:spacing w:after="0" w:line="253" w:lineRule="auto"/>
        <w:tabs>
          <w:tab w:leader="none" w:pos="6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202"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auto"/>
        </w:rPr>
      </w:pPr>
    </w:p>
    <w:p>
      <w:pPr>
        <w:ind w:left="340" w:hanging="8"/>
        <w:spacing w:after="0" w:line="277" w:lineRule="auto"/>
        <w:tabs>
          <w:tab w:leader="none" w:pos="5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Stephen N. Cannon,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5" w:name="page136"/>
    <w:bookmarkEnd w:id="135"/>
    <w:p>
      <w:pPr>
        <w:jc w:val="both"/>
        <w:ind w:left="340" w:hanging="332"/>
        <w:spacing w:after="0" w:line="254"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15"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202"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10"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202"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214" w:lineRule="exact"/>
        <w:rPr>
          <w:rFonts w:ascii="Arial" w:cs="Arial" w:eastAsia="Arial" w:hAnsi="Arial"/>
          <w:sz w:val="18"/>
          <w:szCs w:val="18"/>
          <w:b w:val="1"/>
          <w:bCs w:val="1"/>
          <w:color w:val="auto"/>
        </w:rPr>
      </w:pPr>
    </w:p>
    <w:p>
      <w:pPr>
        <w:jc w:val="both"/>
        <w:ind w:left="340" w:hanging="332"/>
        <w:spacing w:after="0" w:line="273" w:lineRule="auto"/>
        <w:tabs>
          <w:tab w:leader="none" w:pos="34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Daniel L.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Daniel L. Sheehan</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660" w:top="796" w:right="10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10, 2021, by and between Archimedes Tech SPAC Partners Co.,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Dr. Eric R. Ball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56" w:lineRule="exact"/>
        <w:rPr>
          <w:rFonts w:ascii="Arial" w:cs="Arial" w:eastAsia="Arial" w:hAnsi="Arial"/>
          <w:sz w:val="18"/>
          <w:szCs w:val="18"/>
          <w:b w:val="1"/>
          <w:bCs w:val="1"/>
          <w:color w:val="auto"/>
        </w:rPr>
      </w:pPr>
    </w:p>
    <w:p>
      <w:pPr>
        <w:jc w:val="both"/>
        <w:ind w:left="340" w:hanging="8"/>
        <w:spacing w:after="0" w:line="259" w:lineRule="auto"/>
        <w:tabs>
          <w:tab w:leader="none" w:pos="598"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9"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96"/>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EarlyBirdCapital, Inc.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5"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988" w:val="left"/>
        </w:tabs>
        <w:numPr>
          <w:ilvl w:val="2"/>
          <w:numId w:val="96"/>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Underwriter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660" w:hanging="4"/>
        <w:spacing w:after="0" w:line="259" w:lineRule="auto"/>
        <w:tabs>
          <w:tab w:leader="none" w:pos="992"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8"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340" w:hanging="8"/>
        <w:spacing w:after="0" w:line="342" w:lineRule="auto"/>
        <w:tabs>
          <w:tab w:leader="none" w:pos="595" w:val="left"/>
        </w:tabs>
        <w:numPr>
          <w:ilvl w:val="1"/>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9" w:name="page140"/>
    <w:bookmarkEnd w:id="139"/>
    <w:p>
      <w:pPr>
        <w:ind w:left="8" w:hanging="8"/>
        <w:spacing w:after="0" w:line="277" w:lineRule="auto"/>
        <w:tabs>
          <w:tab w:leader="none" w:pos="2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jc w:val="both"/>
        <w:ind w:left="8" w:hanging="8"/>
        <w:spacing w:after="0" w:line="287" w:lineRule="auto"/>
        <w:tabs>
          <w:tab w:leader="none" w:pos="263"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8" w:hanging="8"/>
        <w:spacing w:after="0" w:line="277" w:lineRule="auto"/>
        <w:tabs>
          <w:tab w:leader="none" w:pos="278"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8" w:hanging="8"/>
        <w:spacing w:after="0" w:line="293" w:lineRule="auto"/>
        <w:tabs>
          <w:tab w:leader="none" w:pos="23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8" w:hanging="8"/>
        <w:spacing w:after="0" w:line="272" w:lineRule="auto"/>
        <w:tabs>
          <w:tab w:leader="none" w:pos="349"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8" w:hanging="8"/>
        <w:spacing w:after="0" w:line="308" w:lineRule="auto"/>
        <w:tabs>
          <w:tab w:leader="none" w:pos="2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0" w:right="339" w:bottom="1440" w:gutter="0" w:footer="0" w:header="0"/>
        </w:sectPr>
      </w:pPr>
    </w:p>
    <w:bookmarkStart w:id="140" w:name="page141"/>
    <w:bookmarkEnd w:id="140"/>
    <w:p>
      <w:pPr>
        <w:jc w:val="both"/>
        <w:ind w:left="340" w:hanging="332"/>
        <w:spacing w:after="0" w:line="289" w:lineRule="auto"/>
        <w:tabs>
          <w:tab w:leader="none" w:pos="34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Notwithstanding any other provisions of this Agreement except for Section 27,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3" w:lineRule="exact"/>
        <w:rPr>
          <w:rFonts w:ascii="Arial" w:cs="Arial" w:eastAsia="Arial" w:hAnsi="Arial"/>
          <w:sz w:val="16"/>
          <w:szCs w:val="16"/>
          <w:b w:val="1"/>
          <w:bCs w:val="1"/>
          <w:color w:val="auto"/>
        </w:rPr>
      </w:pPr>
    </w:p>
    <w:p>
      <w:pPr>
        <w:jc w:val="both"/>
        <w:ind w:left="340" w:hanging="332"/>
        <w:spacing w:after="0" w:line="289" w:lineRule="auto"/>
        <w:tabs>
          <w:tab w:leader="none" w:pos="34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Notwithstanding any other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Section 27,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7" w:lineRule="exact"/>
        <w:rPr>
          <w:rFonts w:ascii="Arial" w:cs="Arial" w:eastAsia="Arial" w:hAnsi="Arial"/>
          <w:sz w:val="16"/>
          <w:szCs w:val="16"/>
          <w:b w:val="1"/>
          <w:bCs w:val="1"/>
          <w:color w:val="auto"/>
        </w:rPr>
      </w:pPr>
    </w:p>
    <w:p>
      <w:pPr>
        <w:jc w:val="both"/>
        <w:ind w:left="340" w:hanging="332"/>
        <w:spacing w:after="0" w:line="269" w:lineRule="auto"/>
        <w:tabs>
          <w:tab w:leader="none" w:pos="34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05"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Notwithstanding any limitation in Sections 3, 4, 5 or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1" w:name="page142"/>
    <w:bookmarkEnd w:id="141"/>
    <w:p>
      <w:pPr>
        <w:ind w:left="340" w:hanging="332"/>
        <w:spacing w:after="0"/>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96" w:lineRule="auto"/>
        <w:tabs>
          <w:tab w:leader="none" w:pos="62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right="20" w:hanging="8"/>
        <w:spacing w:after="0" w:line="277" w:lineRule="auto"/>
        <w:tabs>
          <w:tab w:leader="none" w:pos="6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auto"/>
        </w:rPr>
      </w:pPr>
    </w:p>
    <w:p>
      <w:pPr>
        <w:ind w:left="340" w:hanging="8"/>
        <w:spacing w:after="0" w:line="342" w:lineRule="auto"/>
        <w:tabs>
          <w:tab w:leader="none" w:pos="59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auto"/>
        </w:rPr>
      </w:pPr>
    </w:p>
    <w:p>
      <w:pPr>
        <w:jc w:val="both"/>
        <w:ind w:left="340" w:hanging="8"/>
        <w:spacing w:after="0" w:line="257" w:lineRule="auto"/>
        <w:tabs>
          <w:tab w:leader="none" w:pos="60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2" w:name="page143"/>
    <w:bookmarkEnd w:id="142"/>
    <w:p>
      <w:pPr>
        <w:ind w:left="340" w:hanging="332"/>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60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40" w:hanging="8"/>
        <w:spacing w:after="0" w:line="259" w:lineRule="auto"/>
        <w:tabs>
          <w:tab w:leader="none" w:pos="62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340" w:right="20" w:hanging="8"/>
        <w:spacing w:after="0" w:line="342" w:lineRule="auto"/>
        <w:tabs>
          <w:tab w:leader="none" w:pos="59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3" w:name="page144"/>
    <w:bookmarkEnd w:id="143"/>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71" w:lineRule="auto"/>
        <w:tabs>
          <w:tab w:leader="none" w:pos="593"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hanging="8"/>
        <w:spacing w:after="0" w:line="308" w:lineRule="auto"/>
        <w:tabs>
          <w:tab w:leader="none" w:pos="59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4" w:name="page145"/>
    <w:bookmarkEnd w:id="144"/>
    <w:p>
      <w:pPr>
        <w:jc w:val="both"/>
        <w:ind w:left="340" w:hanging="8"/>
        <w:spacing w:after="0" w:line="289" w:lineRule="auto"/>
        <w:tabs>
          <w:tab w:leader="none" w:pos="64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340" w:hanging="8"/>
        <w:spacing w:after="0" w:line="259" w:lineRule="auto"/>
        <w:tabs>
          <w:tab w:leader="none" w:pos="59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40" w:hanging="8"/>
        <w:spacing w:after="0" w:line="263" w:lineRule="auto"/>
        <w:tabs>
          <w:tab w:leader="none" w:pos="63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340" w:hanging="8"/>
        <w:spacing w:after="0" w:line="271" w:lineRule="auto"/>
        <w:tabs>
          <w:tab w:leader="none" w:pos="61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40" w:hanging="8"/>
        <w:spacing w:after="0" w:line="301" w:lineRule="auto"/>
        <w:tabs>
          <w:tab w:leader="none" w:pos="58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5" w:name="page146"/>
    <w:bookmarkEnd w:id="145"/>
    <w:p>
      <w:pPr>
        <w:jc w:val="both"/>
        <w:ind w:left="340" w:hanging="8"/>
        <w:spacing w:after="0" w:line="290" w:lineRule="auto"/>
        <w:tabs>
          <w:tab w:leader="none" w:pos="61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left="340" w:hanging="8"/>
        <w:spacing w:after="0" w:line="290" w:lineRule="auto"/>
        <w:tabs>
          <w:tab w:leader="none" w:pos="60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Underwriter,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6" w:lineRule="exact"/>
        <w:rPr>
          <w:rFonts w:ascii="Arial" w:cs="Arial" w:eastAsia="Arial" w:hAnsi="Arial"/>
          <w:sz w:val="16"/>
          <w:szCs w:val="16"/>
          <w:b w:val="1"/>
          <w:bCs w:val="1"/>
          <w:color w:val="auto"/>
        </w:rPr>
      </w:pPr>
    </w:p>
    <w:p>
      <w:pPr>
        <w:jc w:val="both"/>
        <w:ind w:left="340" w:hanging="332"/>
        <w:spacing w:after="0" w:line="272" w:lineRule="auto"/>
        <w:tabs>
          <w:tab w:leader="none" w:pos="34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6" w:name="page147"/>
    <w:bookmarkEnd w:id="146"/>
    <w:p>
      <w:pPr>
        <w:ind w:left="340" w:hanging="332"/>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3" w:lineRule="auto"/>
        <w:tabs>
          <w:tab w:leader="none" w:pos="59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2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40" w:hanging="8"/>
        <w:spacing w:after="0" w:line="273" w:lineRule="auto"/>
        <w:tabs>
          <w:tab w:leader="none" w:pos="59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40" w:hanging="8"/>
        <w:spacing w:after="0" w:line="259" w:lineRule="auto"/>
        <w:tabs>
          <w:tab w:leader="none" w:pos="59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40" w:hanging="8"/>
        <w:spacing w:after="0" w:line="253" w:lineRule="auto"/>
        <w:tabs>
          <w:tab w:leader="none" w:pos="62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202"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auto"/>
        </w:rPr>
      </w:pPr>
    </w:p>
    <w:p>
      <w:pPr>
        <w:ind w:left="340" w:hanging="8"/>
        <w:spacing w:after="0" w:line="277" w:lineRule="auto"/>
        <w:tabs>
          <w:tab w:leader="none" w:pos="5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Stephen N. Cannon,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7" w:name="page148"/>
    <w:bookmarkEnd w:id="147"/>
    <w:p>
      <w:pPr>
        <w:jc w:val="both"/>
        <w:ind w:left="340" w:hanging="332"/>
        <w:spacing w:after="0" w:line="254"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15"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202"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10"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202"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214" w:lineRule="exact"/>
        <w:rPr>
          <w:rFonts w:ascii="Arial" w:cs="Arial" w:eastAsia="Arial" w:hAnsi="Arial"/>
          <w:sz w:val="18"/>
          <w:szCs w:val="18"/>
          <w:b w:val="1"/>
          <w:bCs w:val="1"/>
          <w:color w:val="auto"/>
        </w:rPr>
      </w:pPr>
    </w:p>
    <w:p>
      <w:pPr>
        <w:jc w:val="both"/>
        <w:ind w:left="340" w:hanging="332"/>
        <w:spacing w:after="0" w:line="273" w:lineRule="auto"/>
        <w:tabs>
          <w:tab w:leader="none" w:pos="34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Dr. Eric R.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Dr. Eric R. Ball</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660" w:top="796" w:right="107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10, 2021, by and between Archimedes Tech SPAC Partners Co.,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Long Long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340" w:hanging="332"/>
        <w:spacing w:after="0"/>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59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111"/>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EarlyBirdCapital, Inc.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5"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988" w:val="left"/>
        </w:tabs>
        <w:numPr>
          <w:ilvl w:val="2"/>
          <w:numId w:val="111"/>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Underwriter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660" w:hanging="4"/>
        <w:spacing w:after="0" w:line="259" w:lineRule="auto"/>
        <w:tabs>
          <w:tab w:leader="none" w:pos="992"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8"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340" w:hanging="8"/>
        <w:spacing w:after="0" w:line="342" w:lineRule="auto"/>
        <w:tabs>
          <w:tab w:leader="none" w:pos="59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1" w:name="page152"/>
    <w:bookmarkEnd w:id="151"/>
    <w:p>
      <w:pPr>
        <w:ind w:left="8" w:hanging="8"/>
        <w:spacing w:after="0" w:line="277" w:lineRule="auto"/>
        <w:tabs>
          <w:tab w:leader="none" w:pos="23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jc w:val="both"/>
        <w:ind w:left="8" w:hanging="8"/>
        <w:spacing w:after="0" w:line="287" w:lineRule="auto"/>
        <w:tabs>
          <w:tab w:leader="none" w:pos="26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8" w:hanging="8"/>
        <w:spacing w:after="0" w:line="277" w:lineRule="auto"/>
        <w:tabs>
          <w:tab w:leader="none" w:pos="27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8" w:hanging="8"/>
        <w:spacing w:after="0" w:line="293" w:lineRule="auto"/>
        <w:tabs>
          <w:tab w:leader="none" w:pos="2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8" w:hanging="8"/>
        <w:spacing w:after="0" w:line="272" w:lineRule="auto"/>
        <w:tabs>
          <w:tab w:leader="none" w:pos="34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8" w:hanging="8"/>
        <w:spacing w:after="0" w:line="308" w:lineRule="auto"/>
        <w:tabs>
          <w:tab w:leader="none" w:pos="26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0" w:right="339" w:bottom="1440" w:gutter="0" w:footer="0" w:header="0"/>
        </w:sectPr>
      </w:pPr>
    </w:p>
    <w:bookmarkStart w:id="152" w:name="page153"/>
    <w:bookmarkEnd w:id="152"/>
    <w:p>
      <w:pPr>
        <w:jc w:val="both"/>
        <w:ind w:left="340" w:hanging="332"/>
        <w:spacing w:after="0" w:line="289" w:lineRule="auto"/>
        <w:tabs>
          <w:tab w:leader="none" w:pos="34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Notwithstanding any other provisions of this Agreement except for Section 27,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3" w:lineRule="exact"/>
        <w:rPr>
          <w:rFonts w:ascii="Arial" w:cs="Arial" w:eastAsia="Arial" w:hAnsi="Arial"/>
          <w:sz w:val="16"/>
          <w:szCs w:val="16"/>
          <w:b w:val="1"/>
          <w:bCs w:val="1"/>
          <w:color w:val="auto"/>
        </w:rPr>
      </w:pPr>
    </w:p>
    <w:p>
      <w:pPr>
        <w:jc w:val="both"/>
        <w:ind w:left="340" w:hanging="332"/>
        <w:spacing w:after="0" w:line="289" w:lineRule="auto"/>
        <w:tabs>
          <w:tab w:leader="none" w:pos="34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Notwithstanding any other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Section 27,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7" w:lineRule="exact"/>
        <w:rPr>
          <w:rFonts w:ascii="Arial" w:cs="Arial" w:eastAsia="Arial" w:hAnsi="Arial"/>
          <w:sz w:val="16"/>
          <w:szCs w:val="16"/>
          <w:b w:val="1"/>
          <w:bCs w:val="1"/>
          <w:color w:val="auto"/>
        </w:rPr>
      </w:pPr>
    </w:p>
    <w:p>
      <w:pPr>
        <w:jc w:val="both"/>
        <w:ind w:left="340" w:hanging="332"/>
        <w:spacing w:after="0" w:line="269" w:lineRule="auto"/>
        <w:tabs>
          <w:tab w:leader="none" w:pos="3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05"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Notwithstanding any limitation in Sections 3, 4, 5 or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3" w:name="page154"/>
    <w:bookmarkEnd w:id="153"/>
    <w:p>
      <w:pPr>
        <w:ind w:left="340" w:hanging="332"/>
        <w:spacing w:after="0"/>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96" w:lineRule="auto"/>
        <w:tabs>
          <w:tab w:leader="none" w:pos="62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right="20" w:hanging="8"/>
        <w:spacing w:after="0" w:line="277" w:lineRule="auto"/>
        <w:tabs>
          <w:tab w:leader="none" w:pos="60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auto"/>
        </w:rPr>
      </w:pPr>
    </w:p>
    <w:p>
      <w:pPr>
        <w:ind w:left="340" w:hanging="8"/>
        <w:spacing w:after="0" w:line="342" w:lineRule="auto"/>
        <w:tabs>
          <w:tab w:leader="none" w:pos="591"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auto"/>
        </w:rPr>
      </w:pPr>
    </w:p>
    <w:p>
      <w:pPr>
        <w:jc w:val="both"/>
        <w:ind w:left="340" w:hanging="8"/>
        <w:spacing w:after="0" w:line="257" w:lineRule="auto"/>
        <w:tabs>
          <w:tab w:leader="none" w:pos="60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4" w:name="page155"/>
    <w:bookmarkEnd w:id="154"/>
    <w:p>
      <w:pPr>
        <w:ind w:left="340" w:hanging="332"/>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6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40" w:hanging="8"/>
        <w:spacing w:after="0" w:line="259" w:lineRule="auto"/>
        <w:tabs>
          <w:tab w:leader="none" w:pos="62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340" w:right="20" w:hanging="8"/>
        <w:spacing w:after="0" w:line="342" w:lineRule="auto"/>
        <w:tabs>
          <w:tab w:leader="none" w:pos="59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5" w:name="page156"/>
    <w:bookmarkEnd w:id="155"/>
    <w:p>
      <w:pPr>
        <w:ind w:left="340" w:hanging="332"/>
        <w:spacing w:after="0"/>
        <w:tabs>
          <w:tab w:leader="none" w:pos="3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71" w:lineRule="auto"/>
        <w:tabs>
          <w:tab w:leader="none" w:pos="593"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hanging="8"/>
        <w:spacing w:after="0" w:line="308" w:lineRule="auto"/>
        <w:tabs>
          <w:tab w:leader="none" w:pos="59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6" w:name="page157"/>
    <w:bookmarkEnd w:id="156"/>
    <w:p>
      <w:pPr>
        <w:jc w:val="both"/>
        <w:ind w:left="340" w:hanging="8"/>
        <w:spacing w:after="0" w:line="289" w:lineRule="auto"/>
        <w:tabs>
          <w:tab w:leader="none" w:pos="64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340" w:hanging="8"/>
        <w:spacing w:after="0" w:line="259" w:lineRule="auto"/>
        <w:tabs>
          <w:tab w:leader="none" w:pos="59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40" w:hanging="8"/>
        <w:spacing w:after="0" w:line="263" w:lineRule="auto"/>
        <w:tabs>
          <w:tab w:leader="none" w:pos="63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340" w:hanging="8"/>
        <w:spacing w:after="0" w:line="271" w:lineRule="auto"/>
        <w:tabs>
          <w:tab w:leader="none" w:pos="612"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40" w:hanging="8"/>
        <w:spacing w:after="0" w:line="301" w:lineRule="auto"/>
        <w:tabs>
          <w:tab w:leader="none" w:pos="58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9"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7" w:name="page158"/>
    <w:bookmarkEnd w:id="157"/>
    <w:p>
      <w:pPr>
        <w:jc w:val="both"/>
        <w:ind w:left="340" w:hanging="8"/>
        <w:spacing w:after="0" w:line="290" w:lineRule="auto"/>
        <w:tabs>
          <w:tab w:leader="none" w:pos="61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left="340" w:hanging="8"/>
        <w:spacing w:after="0" w:line="290" w:lineRule="auto"/>
        <w:tabs>
          <w:tab w:leader="none" w:pos="60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Underwriter,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6" w:lineRule="exact"/>
        <w:rPr>
          <w:rFonts w:ascii="Arial" w:cs="Arial" w:eastAsia="Arial" w:hAnsi="Arial"/>
          <w:sz w:val="16"/>
          <w:szCs w:val="16"/>
          <w:b w:val="1"/>
          <w:bCs w:val="1"/>
          <w:color w:val="auto"/>
        </w:rPr>
      </w:pPr>
    </w:p>
    <w:p>
      <w:pPr>
        <w:jc w:val="both"/>
        <w:ind w:left="340" w:hanging="332"/>
        <w:spacing w:after="0" w:line="272" w:lineRule="auto"/>
        <w:tabs>
          <w:tab w:leader="none" w:pos="3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8" w:name="page159"/>
    <w:bookmarkEnd w:id="158"/>
    <w:p>
      <w:pPr>
        <w:ind w:left="340" w:hanging="332"/>
        <w:spacing w:after="0"/>
        <w:tabs>
          <w:tab w:leader="none" w:pos="3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3" w:lineRule="auto"/>
        <w:tabs>
          <w:tab w:leader="none" w:pos="59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2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40" w:hanging="8"/>
        <w:spacing w:after="0" w:line="273" w:lineRule="auto"/>
        <w:tabs>
          <w:tab w:leader="none" w:pos="59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40" w:hanging="8"/>
        <w:spacing w:after="0" w:line="259" w:lineRule="auto"/>
        <w:tabs>
          <w:tab w:leader="none" w:pos="59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40" w:hanging="8"/>
        <w:spacing w:after="0" w:line="253" w:lineRule="auto"/>
        <w:tabs>
          <w:tab w:leader="none" w:pos="62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202"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auto"/>
        </w:rPr>
      </w:pPr>
    </w:p>
    <w:p>
      <w:pPr>
        <w:ind w:left="340" w:hanging="8"/>
        <w:spacing w:after="0" w:line="277" w:lineRule="auto"/>
        <w:tabs>
          <w:tab w:leader="none" w:pos="59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Stephen N. Cannon,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9" w:name="page160"/>
    <w:bookmarkEnd w:id="159"/>
    <w:p>
      <w:pPr>
        <w:jc w:val="both"/>
        <w:ind w:left="340" w:hanging="332"/>
        <w:spacing w:after="0" w:line="254"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15"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202"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10"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202"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214" w:lineRule="exact"/>
        <w:rPr>
          <w:rFonts w:ascii="Arial" w:cs="Arial" w:eastAsia="Arial" w:hAnsi="Arial"/>
          <w:sz w:val="18"/>
          <w:szCs w:val="18"/>
          <w:b w:val="1"/>
          <w:bCs w:val="1"/>
          <w:color w:val="auto"/>
        </w:rPr>
      </w:pPr>
    </w:p>
    <w:p>
      <w:pPr>
        <w:jc w:val="both"/>
        <w:ind w:left="340" w:hanging="332"/>
        <w:spacing w:after="0" w:line="273" w:lineRule="auto"/>
        <w:tabs>
          <w:tab w:leader="none" w:pos="3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Long Long</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660" w:top="796" w:right="107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10, 2021, by and between Archimedes Tech SPAC Partners Co.,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Dr. Luc Julia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ind w:left="340" w:hanging="332"/>
        <w:spacing w:after="0"/>
        <w:tabs>
          <w:tab w:leader="none" w:pos="3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59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126"/>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EarlyBirdCapital, Inc.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5" w:val="left"/>
        </w:tabs>
        <w:numPr>
          <w:ilvl w:val="2"/>
          <w:numId w:val="126"/>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988" w:val="left"/>
        </w:tabs>
        <w:numPr>
          <w:ilvl w:val="2"/>
          <w:numId w:val="126"/>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Underwriter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660" w:hanging="4"/>
        <w:spacing w:after="0" w:line="259" w:lineRule="auto"/>
        <w:tabs>
          <w:tab w:leader="none" w:pos="992" w:val="left"/>
        </w:tabs>
        <w:numPr>
          <w:ilvl w:val="2"/>
          <w:numId w:val="12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8" w:val="left"/>
        </w:tabs>
        <w:numPr>
          <w:ilvl w:val="2"/>
          <w:numId w:val="126"/>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340" w:hanging="8"/>
        <w:spacing w:after="0" w:line="342" w:lineRule="auto"/>
        <w:tabs>
          <w:tab w:leader="none" w:pos="59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3" w:name="page164"/>
    <w:bookmarkEnd w:id="163"/>
    <w:p>
      <w:pPr>
        <w:ind w:left="8" w:hanging="8"/>
        <w:spacing w:after="0" w:line="277" w:lineRule="auto"/>
        <w:tabs>
          <w:tab w:leader="none" w:pos="23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jc w:val="both"/>
        <w:ind w:left="8" w:hanging="8"/>
        <w:spacing w:after="0" w:line="287" w:lineRule="auto"/>
        <w:tabs>
          <w:tab w:leader="none" w:pos="26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8" w:hanging="8"/>
        <w:spacing w:after="0" w:line="277" w:lineRule="auto"/>
        <w:tabs>
          <w:tab w:leader="none" w:pos="27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8" w:hanging="8"/>
        <w:spacing w:after="0" w:line="293" w:lineRule="auto"/>
        <w:tabs>
          <w:tab w:leader="none" w:pos="22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8" w:hanging="8"/>
        <w:spacing w:after="0" w:line="272" w:lineRule="auto"/>
        <w:tabs>
          <w:tab w:leader="none" w:pos="34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8" w:hanging="8"/>
        <w:spacing w:after="0" w:line="308" w:lineRule="auto"/>
        <w:tabs>
          <w:tab w:leader="none" w:pos="26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0" w:right="339" w:bottom="1440" w:gutter="0" w:footer="0" w:header="0"/>
        </w:sectPr>
      </w:pPr>
    </w:p>
    <w:bookmarkStart w:id="164" w:name="page165"/>
    <w:bookmarkEnd w:id="164"/>
    <w:p>
      <w:pPr>
        <w:jc w:val="both"/>
        <w:ind w:left="340" w:hanging="332"/>
        <w:spacing w:after="0" w:line="289" w:lineRule="auto"/>
        <w:tabs>
          <w:tab w:leader="none" w:pos="34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Notwithstanding any other provisions of this Agreement except for Section 27,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3" w:lineRule="exact"/>
        <w:rPr>
          <w:rFonts w:ascii="Arial" w:cs="Arial" w:eastAsia="Arial" w:hAnsi="Arial"/>
          <w:sz w:val="16"/>
          <w:szCs w:val="16"/>
          <w:b w:val="1"/>
          <w:bCs w:val="1"/>
          <w:color w:val="auto"/>
        </w:rPr>
      </w:pPr>
    </w:p>
    <w:p>
      <w:pPr>
        <w:jc w:val="both"/>
        <w:ind w:left="340" w:hanging="332"/>
        <w:spacing w:after="0" w:line="289" w:lineRule="auto"/>
        <w:tabs>
          <w:tab w:leader="none" w:pos="34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Notwithstanding any other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Section 27,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7" w:lineRule="exact"/>
        <w:rPr>
          <w:rFonts w:ascii="Arial" w:cs="Arial" w:eastAsia="Arial" w:hAnsi="Arial"/>
          <w:sz w:val="16"/>
          <w:szCs w:val="16"/>
          <w:b w:val="1"/>
          <w:bCs w:val="1"/>
          <w:color w:val="auto"/>
        </w:rPr>
      </w:pPr>
    </w:p>
    <w:p>
      <w:pPr>
        <w:jc w:val="both"/>
        <w:ind w:left="340" w:hanging="332"/>
        <w:spacing w:after="0" w:line="269" w:lineRule="auto"/>
        <w:tabs>
          <w:tab w:leader="none" w:pos="34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05"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Notwithstanding any limitation in Sections 3, 4, 5 or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5" w:name="page166"/>
    <w:bookmarkEnd w:id="165"/>
    <w:p>
      <w:pPr>
        <w:ind w:left="340" w:hanging="332"/>
        <w:spacing w:after="0"/>
        <w:tabs>
          <w:tab w:leader="none" w:pos="3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96" w:lineRule="auto"/>
        <w:tabs>
          <w:tab w:leader="none" w:pos="62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hanging="8"/>
        <w:spacing w:after="0" w:line="277" w:lineRule="auto"/>
        <w:tabs>
          <w:tab w:leader="none" w:pos="59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auto"/>
        </w:rPr>
      </w:pPr>
    </w:p>
    <w:p>
      <w:pPr>
        <w:ind w:left="340" w:hanging="8"/>
        <w:spacing w:after="0" w:line="342" w:lineRule="auto"/>
        <w:tabs>
          <w:tab w:leader="none" w:pos="59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auto"/>
        </w:rPr>
      </w:pPr>
    </w:p>
    <w:p>
      <w:pPr>
        <w:jc w:val="both"/>
        <w:ind w:left="340" w:hanging="8"/>
        <w:spacing w:after="0" w:line="257" w:lineRule="auto"/>
        <w:tabs>
          <w:tab w:leader="none" w:pos="60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5"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6" w:name="page167"/>
    <w:bookmarkEnd w:id="166"/>
    <w:p>
      <w:pPr>
        <w:ind w:left="340" w:hanging="332"/>
        <w:spacing w:after="0"/>
        <w:tabs>
          <w:tab w:leader="none" w:pos="3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60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40" w:hanging="8"/>
        <w:spacing w:after="0" w:line="259" w:lineRule="auto"/>
        <w:tabs>
          <w:tab w:leader="none" w:pos="62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7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340" w:hanging="8"/>
        <w:spacing w:after="0" w:line="342" w:lineRule="auto"/>
        <w:tabs>
          <w:tab w:leader="none" w:pos="58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7" w:name="page168"/>
    <w:bookmarkEnd w:id="167"/>
    <w:p>
      <w:pPr>
        <w:ind w:left="340" w:hanging="332"/>
        <w:spacing w:after="0"/>
        <w:tabs>
          <w:tab w:leader="none" w:pos="3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71" w:lineRule="auto"/>
        <w:tabs>
          <w:tab w:leader="none" w:pos="593"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right="20" w:hanging="8"/>
        <w:spacing w:after="0" w:line="308" w:lineRule="auto"/>
        <w:tabs>
          <w:tab w:leader="none" w:pos="592"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2"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8" w:name="page169"/>
    <w:bookmarkEnd w:id="168"/>
    <w:p>
      <w:pPr>
        <w:jc w:val="both"/>
        <w:ind w:left="340" w:hanging="8"/>
        <w:spacing w:after="0" w:line="289" w:lineRule="auto"/>
        <w:tabs>
          <w:tab w:leader="none" w:pos="64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340" w:hanging="8"/>
        <w:spacing w:after="0" w:line="259" w:lineRule="auto"/>
        <w:tabs>
          <w:tab w:leader="none" w:pos="59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40" w:hanging="8"/>
        <w:spacing w:after="0" w:line="263" w:lineRule="auto"/>
        <w:tabs>
          <w:tab w:leader="none" w:pos="63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340" w:hanging="8"/>
        <w:spacing w:after="0" w:line="271" w:lineRule="auto"/>
        <w:tabs>
          <w:tab w:leader="none" w:pos="60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40" w:hanging="8"/>
        <w:spacing w:after="0" w:line="301" w:lineRule="auto"/>
        <w:tabs>
          <w:tab w:leader="none" w:pos="58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9" w:name="page170"/>
    <w:bookmarkEnd w:id="169"/>
    <w:p>
      <w:pPr>
        <w:jc w:val="both"/>
        <w:ind w:left="340" w:hanging="8"/>
        <w:spacing w:after="0" w:line="290" w:lineRule="auto"/>
        <w:tabs>
          <w:tab w:leader="none" w:pos="61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left="340" w:hanging="8"/>
        <w:spacing w:after="0" w:line="290" w:lineRule="auto"/>
        <w:tabs>
          <w:tab w:leader="none" w:pos="60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Underwriter,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6" w:lineRule="exact"/>
        <w:rPr>
          <w:rFonts w:ascii="Arial" w:cs="Arial" w:eastAsia="Arial" w:hAnsi="Arial"/>
          <w:sz w:val="16"/>
          <w:szCs w:val="16"/>
          <w:b w:val="1"/>
          <w:bCs w:val="1"/>
          <w:color w:val="auto"/>
        </w:rPr>
      </w:pPr>
    </w:p>
    <w:p>
      <w:pPr>
        <w:jc w:val="both"/>
        <w:ind w:left="340" w:hanging="332"/>
        <w:spacing w:after="0" w:line="272" w:lineRule="auto"/>
        <w:tabs>
          <w:tab w:leader="none" w:pos="3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0" w:name="page171"/>
    <w:bookmarkEnd w:id="170"/>
    <w:p>
      <w:pPr>
        <w:ind w:left="340" w:hanging="332"/>
        <w:spacing w:after="0"/>
        <w:tabs>
          <w:tab w:leader="none" w:pos="3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3" w:lineRule="auto"/>
        <w:tabs>
          <w:tab w:leader="none" w:pos="58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40" w:hanging="8"/>
        <w:spacing w:after="0" w:line="273" w:lineRule="auto"/>
        <w:tabs>
          <w:tab w:leader="none" w:pos="59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40" w:hanging="8"/>
        <w:spacing w:after="0" w:line="259" w:lineRule="auto"/>
        <w:tabs>
          <w:tab w:leader="none" w:pos="59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40" w:hanging="8"/>
        <w:spacing w:after="0" w:line="253" w:lineRule="auto"/>
        <w:tabs>
          <w:tab w:leader="none" w:pos="61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202"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auto"/>
        </w:rPr>
      </w:pPr>
    </w:p>
    <w:p>
      <w:pPr>
        <w:ind w:left="340" w:hanging="8"/>
        <w:spacing w:after="0" w:line="277" w:lineRule="auto"/>
        <w:tabs>
          <w:tab w:leader="none" w:pos="59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Stephen N. Cannon,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1" w:name="page172"/>
    <w:bookmarkEnd w:id="171"/>
    <w:p>
      <w:pPr>
        <w:jc w:val="both"/>
        <w:ind w:left="340" w:hanging="332"/>
        <w:spacing w:after="0" w:line="254" w:lineRule="auto"/>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15"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202"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10"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202"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214" w:lineRule="exact"/>
        <w:rPr>
          <w:rFonts w:ascii="Arial" w:cs="Arial" w:eastAsia="Arial" w:hAnsi="Arial"/>
          <w:sz w:val="18"/>
          <w:szCs w:val="18"/>
          <w:b w:val="1"/>
          <w:bCs w:val="1"/>
          <w:color w:val="auto"/>
        </w:rPr>
      </w:pPr>
    </w:p>
    <w:p>
      <w:pPr>
        <w:jc w:val="both"/>
        <w:ind w:left="340" w:hanging="332"/>
        <w:spacing w:after="0" w:line="273" w:lineRule="auto"/>
        <w:tabs>
          <w:tab w:leader="none" w:pos="3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Dr. 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Dr. Luc Julia</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660" w:top="796" w:right="107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10, 2021, by and between Archimedes Tech SPAC Partners Co.,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Rajan P. Pai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340" w:hanging="332"/>
        <w:spacing w:after="0"/>
        <w:tabs>
          <w:tab w:leader="none" w:pos="3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59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141"/>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EarlyBirdCapital, Inc.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5" w:val="left"/>
        </w:tabs>
        <w:numPr>
          <w:ilvl w:val="2"/>
          <w:numId w:val="141"/>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988" w:val="left"/>
        </w:tabs>
        <w:numPr>
          <w:ilvl w:val="2"/>
          <w:numId w:val="141"/>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Underwriter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660" w:hanging="4"/>
        <w:spacing w:after="0" w:line="259" w:lineRule="auto"/>
        <w:tabs>
          <w:tab w:leader="none" w:pos="992" w:val="left"/>
        </w:tabs>
        <w:numPr>
          <w:ilvl w:val="2"/>
          <w:numId w:val="14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8" w:val="left"/>
        </w:tabs>
        <w:numPr>
          <w:ilvl w:val="2"/>
          <w:numId w:val="141"/>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340" w:hanging="8"/>
        <w:spacing w:after="0" w:line="342" w:lineRule="auto"/>
        <w:tabs>
          <w:tab w:leader="none" w:pos="59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5" w:name="page176"/>
    <w:bookmarkEnd w:id="175"/>
    <w:p>
      <w:pPr>
        <w:ind w:left="8" w:hanging="8"/>
        <w:spacing w:after="0" w:line="277" w:lineRule="auto"/>
        <w:tabs>
          <w:tab w:leader="none" w:pos="23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jc w:val="both"/>
        <w:ind w:left="8" w:hanging="8"/>
        <w:spacing w:after="0" w:line="287" w:lineRule="auto"/>
        <w:tabs>
          <w:tab w:leader="none" w:pos="26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8" w:hanging="8"/>
        <w:spacing w:after="0" w:line="277" w:lineRule="auto"/>
        <w:tabs>
          <w:tab w:leader="none" w:pos="27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8" w:hanging="8"/>
        <w:spacing w:after="0" w:line="293" w:lineRule="auto"/>
        <w:tabs>
          <w:tab w:leader="none" w:pos="22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8" w:hanging="8"/>
        <w:spacing w:after="0" w:line="272" w:lineRule="auto"/>
        <w:tabs>
          <w:tab w:leader="none" w:pos="34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8" w:hanging="8"/>
        <w:spacing w:after="0" w:line="308" w:lineRule="auto"/>
        <w:tabs>
          <w:tab w:leader="none" w:pos="26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0" w:right="339" w:bottom="1440" w:gutter="0" w:footer="0" w:header="0"/>
        </w:sectPr>
      </w:pPr>
    </w:p>
    <w:bookmarkStart w:id="176" w:name="page177"/>
    <w:bookmarkEnd w:id="176"/>
    <w:p>
      <w:pPr>
        <w:jc w:val="both"/>
        <w:ind w:left="340" w:hanging="332"/>
        <w:spacing w:after="0" w:line="289" w:lineRule="auto"/>
        <w:tabs>
          <w:tab w:leader="none" w:pos="34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Notwithstanding any other provisions of this Agreement except for Section 27,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3" w:lineRule="exact"/>
        <w:rPr>
          <w:rFonts w:ascii="Arial" w:cs="Arial" w:eastAsia="Arial" w:hAnsi="Arial"/>
          <w:sz w:val="16"/>
          <w:szCs w:val="16"/>
          <w:b w:val="1"/>
          <w:bCs w:val="1"/>
          <w:color w:val="auto"/>
        </w:rPr>
      </w:pPr>
    </w:p>
    <w:p>
      <w:pPr>
        <w:jc w:val="both"/>
        <w:ind w:left="340" w:hanging="332"/>
        <w:spacing w:after="0" w:line="289" w:lineRule="auto"/>
        <w:tabs>
          <w:tab w:leader="none" w:pos="34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Notwithstanding any other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Section 27,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7" w:lineRule="exact"/>
        <w:rPr>
          <w:rFonts w:ascii="Arial" w:cs="Arial" w:eastAsia="Arial" w:hAnsi="Arial"/>
          <w:sz w:val="16"/>
          <w:szCs w:val="16"/>
          <w:b w:val="1"/>
          <w:bCs w:val="1"/>
          <w:color w:val="auto"/>
        </w:rPr>
      </w:pPr>
    </w:p>
    <w:p>
      <w:pPr>
        <w:jc w:val="both"/>
        <w:ind w:left="340" w:hanging="332"/>
        <w:spacing w:after="0" w:line="269" w:lineRule="auto"/>
        <w:tabs>
          <w:tab w:leader="none" w:pos="34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05"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Notwithstanding any limitation in Sections 3, 4, 5 or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7" w:name="page178"/>
    <w:bookmarkEnd w:id="177"/>
    <w:p>
      <w:pPr>
        <w:ind w:left="340" w:hanging="332"/>
        <w:spacing w:after="0"/>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96" w:lineRule="auto"/>
        <w:tabs>
          <w:tab w:leader="none" w:pos="62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hanging="8"/>
        <w:spacing w:after="0" w:line="277" w:lineRule="auto"/>
        <w:tabs>
          <w:tab w:leader="none" w:pos="59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auto"/>
        </w:rPr>
      </w:pPr>
    </w:p>
    <w:p>
      <w:pPr>
        <w:ind w:left="340" w:hanging="8"/>
        <w:spacing w:after="0" w:line="342" w:lineRule="auto"/>
        <w:tabs>
          <w:tab w:leader="none" w:pos="59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auto"/>
        </w:rPr>
      </w:pPr>
    </w:p>
    <w:p>
      <w:pPr>
        <w:jc w:val="both"/>
        <w:ind w:left="340" w:hanging="8"/>
        <w:spacing w:after="0" w:line="257" w:lineRule="auto"/>
        <w:tabs>
          <w:tab w:leader="none" w:pos="60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3"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8" w:name="page179"/>
    <w:bookmarkEnd w:id="178"/>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60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40" w:hanging="8"/>
        <w:spacing w:after="0" w:line="259" w:lineRule="auto"/>
        <w:tabs>
          <w:tab w:leader="none" w:pos="62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76"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340" w:hanging="8"/>
        <w:spacing w:after="0" w:line="342" w:lineRule="auto"/>
        <w:tabs>
          <w:tab w:leader="none" w:pos="58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9" w:name="page180"/>
    <w:bookmarkEnd w:id="179"/>
    <w:p>
      <w:pPr>
        <w:ind w:left="340" w:hanging="332"/>
        <w:spacing w:after="0"/>
        <w:tabs>
          <w:tab w:leader="none" w:pos="3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71" w:lineRule="auto"/>
        <w:tabs>
          <w:tab w:leader="none" w:pos="593"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right="20" w:hanging="8"/>
        <w:spacing w:after="0" w:line="308" w:lineRule="auto"/>
        <w:tabs>
          <w:tab w:leader="none" w:pos="592"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2"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0" w:name="page181"/>
    <w:bookmarkEnd w:id="180"/>
    <w:p>
      <w:pPr>
        <w:jc w:val="both"/>
        <w:ind w:left="340" w:hanging="8"/>
        <w:spacing w:after="0" w:line="289" w:lineRule="auto"/>
        <w:tabs>
          <w:tab w:leader="none" w:pos="64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340" w:hanging="8"/>
        <w:spacing w:after="0" w:line="259" w:lineRule="auto"/>
        <w:tabs>
          <w:tab w:leader="none" w:pos="59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40" w:hanging="8"/>
        <w:spacing w:after="0" w:line="263" w:lineRule="auto"/>
        <w:tabs>
          <w:tab w:leader="none" w:pos="63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340" w:hanging="8"/>
        <w:spacing w:after="0" w:line="271" w:lineRule="auto"/>
        <w:tabs>
          <w:tab w:leader="none" w:pos="60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40" w:hanging="8"/>
        <w:spacing w:after="0" w:line="301" w:lineRule="auto"/>
        <w:tabs>
          <w:tab w:leader="none" w:pos="586"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1" w:name="page182"/>
    <w:bookmarkEnd w:id="181"/>
    <w:p>
      <w:pPr>
        <w:jc w:val="both"/>
        <w:ind w:left="340" w:hanging="8"/>
        <w:spacing w:after="0" w:line="290" w:lineRule="auto"/>
        <w:tabs>
          <w:tab w:leader="none" w:pos="61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left="340" w:hanging="8"/>
        <w:spacing w:after="0" w:line="290" w:lineRule="auto"/>
        <w:tabs>
          <w:tab w:leader="none" w:pos="60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5"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Underwriter,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6" w:lineRule="exact"/>
        <w:rPr>
          <w:rFonts w:ascii="Arial" w:cs="Arial" w:eastAsia="Arial" w:hAnsi="Arial"/>
          <w:sz w:val="16"/>
          <w:szCs w:val="16"/>
          <w:b w:val="1"/>
          <w:bCs w:val="1"/>
          <w:color w:val="auto"/>
        </w:rPr>
      </w:pPr>
    </w:p>
    <w:p>
      <w:pPr>
        <w:jc w:val="both"/>
        <w:ind w:left="340" w:hanging="332"/>
        <w:spacing w:after="0" w:line="272" w:lineRule="auto"/>
        <w:tabs>
          <w:tab w:leader="none" w:pos="34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2" w:name="page183"/>
    <w:bookmarkEnd w:id="182"/>
    <w:p>
      <w:pPr>
        <w:ind w:left="340" w:hanging="332"/>
        <w:spacing w:after="0"/>
        <w:tabs>
          <w:tab w:leader="none" w:pos="3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3" w:lineRule="auto"/>
        <w:tabs>
          <w:tab w:leader="none" w:pos="58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2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40" w:hanging="8"/>
        <w:spacing w:after="0" w:line="273" w:lineRule="auto"/>
        <w:tabs>
          <w:tab w:leader="none" w:pos="59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40" w:hanging="8"/>
        <w:spacing w:after="0" w:line="259" w:lineRule="auto"/>
        <w:tabs>
          <w:tab w:leader="none" w:pos="59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40" w:hanging="8"/>
        <w:spacing w:after="0" w:line="253" w:lineRule="auto"/>
        <w:tabs>
          <w:tab w:leader="none" w:pos="61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202"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auto"/>
        </w:rPr>
      </w:pPr>
    </w:p>
    <w:p>
      <w:pPr>
        <w:ind w:left="340" w:hanging="8"/>
        <w:spacing w:after="0" w:line="277" w:lineRule="auto"/>
        <w:tabs>
          <w:tab w:leader="none" w:pos="59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Stephen N. Cannon,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3" w:name="page184"/>
    <w:bookmarkEnd w:id="183"/>
    <w:p>
      <w:pPr>
        <w:jc w:val="both"/>
        <w:ind w:left="340" w:hanging="332"/>
        <w:spacing w:after="0" w:line="254" w:lineRule="auto"/>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15"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202"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10"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202"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214" w:lineRule="exact"/>
        <w:rPr>
          <w:rFonts w:ascii="Arial" w:cs="Arial" w:eastAsia="Arial" w:hAnsi="Arial"/>
          <w:sz w:val="18"/>
          <w:szCs w:val="18"/>
          <w:b w:val="1"/>
          <w:bCs w:val="1"/>
          <w:color w:val="auto"/>
        </w:rPr>
      </w:pPr>
    </w:p>
    <w:p>
      <w:pPr>
        <w:jc w:val="both"/>
        <w:ind w:left="340" w:hanging="332"/>
        <w:spacing w:after="0" w:line="273" w:lineRule="auto"/>
        <w:tabs>
          <w:tab w:leader="none" w:pos="34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Rajan P.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Rajan P. Pai</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660" w:top="796" w:right="107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March 10, 2021, by and between Archimedes Tech SPAC Partners Co.,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Stephen N. Cannon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left="340" w:hanging="332"/>
        <w:spacing w:after="0"/>
        <w:tabs>
          <w:tab w:leader="none" w:pos="3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59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left="340" w:right="20" w:hanging="8"/>
        <w:spacing w:after="0" w:line="277" w:lineRule="auto"/>
        <w:tabs>
          <w:tab w:leader="none" w:pos="59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60" w:hanging="228"/>
        <w:spacing w:after="0"/>
        <w:tabs>
          <w:tab w:leader="none" w:pos="56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left="660" w:hanging="4"/>
        <w:spacing w:after="0" w:line="293" w:lineRule="auto"/>
        <w:tabs>
          <w:tab w:leader="none" w:pos="888" w:val="left"/>
        </w:tabs>
        <w:numPr>
          <w:ilvl w:val="2"/>
          <w:numId w:val="156"/>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EarlyBirdCapital, Inc.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auto"/>
        </w:rPr>
      </w:pPr>
    </w:p>
    <w:p>
      <w:pPr>
        <w:jc w:val="both"/>
        <w:ind w:left="660" w:hanging="4"/>
        <w:spacing w:after="0" w:line="259" w:lineRule="auto"/>
        <w:tabs>
          <w:tab w:leader="none" w:pos="925" w:val="left"/>
        </w:tabs>
        <w:numPr>
          <w:ilvl w:val="2"/>
          <w:numId w:val="156"/>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988" w:val="left"/>
        </w:tabs>
        <w:numPr>
          <w:ilvl w:val="2"/>
          <w:numId w:val="156"/>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Underwriter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3" w:lineRule="exact"/>
        <w:rPr>
          <w:rFonts w:ascii="Arial" w:cs="Arial" w:eastAsia="Arial" w:hAnsi="Arial"/>
          <w:sz w:val="16"/>
          <w:szCs w:val="16"/>
          <w:color w:val="auto"/>
        </w:rPr>
      </w:pPr>
    </w:p>
    <w:p>
      <w:pPr>
        <w:jc w:val="both"/>
        <w:ind w:left="660" w:hanging="4"/>
        <w:spacing w:after="0" w:line="259" w:lineRule="auto"/>
        <w:tabs>
          <w:tab w:leader="none" w:pos="992" w:val="left"/>
        </w:tabs>
        <w:numPr>
          <w:ilvl w:val="2"/>
          <w:numId w:val="15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8" w:val="left"/>
        </w:tabs>
        <w:numPr>
          <w:ilvl w:val="2"/>
          <w:numId w:val="156"/>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340" w:hanging="8"/>
        <w:spacing w:after="0" w:line="342" w:lineRule="auto"/>
        <w:tabs>
          <w:tab w:leader="none" w:pos="595"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7" w:name="page188"/>
    <w:bookmarkEnd w:id="187"/>
    <w:p>
      <w:pPr>
        <w:ind w:left="8" w:hanging="8"/>
        <w:spacing w:after="0" w:line="277" w:lineRule="auto"/>
        <w:tabs>
          <w:tab w:leader="none" w:pos="23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6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48" w:hanging="248"/>
        <w:spacing w:after="0"/>
        <w:tabs>
          <w:tab w:leader="none" w:pos="24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8" w:hanging="8"/>
        <w:spacing w:after="0" w:line="289" w:lineRule="auto"/>
        <w:tabs>
          <w:tab w:leader="none" w:pos="25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jc w:val="both"/>
        <w:ind w:left="8" w:hanging="8"/>
        <w:spacing w:after="0" w:line="255" w:lineRule="auto"/>
        <w:tabs>
          <w:tab w:leader="none" w:pos="2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92" w:lineRule="exact"/>
        <w:rPr>
          <w:rFonts w:ascii="Arial" w:cs="Arial" w:eastAsia="Arial" w:hAnsi="Arial"/>
          <w:sz w:val="18"/>
          <w:szCs w:val="18"/>
          <w:color w:val="auto"/>
        </w:rPr>
      </w:pPr>
    </w:p>
    <w:p>
      <w:pPr>
        <w:jc w:val="both"/>
        <w:ind w:left="8" w:hanging="8"/>
        <w:spacing w:after="0" w:line="287" w:lineRule="auto"/>
        <w:tabs>
          <w:tab w:leader="none" w:pos="26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auto"/>
        </w:rPr>
      </w:pPr>
    </w:p>
    <w:p>
      <w:pPr>
        <w:jc w:val="both"/>
        <w:ind w:left="8" w:hanging="8"/>
        <w:spacing w:after="0" w:line="277" w:lineRule="auto"/>
        <w:tabs>
          <w:tab w:leader="none" w:pos="27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8" w:hanging="8"/>
        <w:spacing w:after="0" w:line="293" w:lineRule="auto"/>
        <w:tabs>
          <w:tab w:leader="none" w:pos="22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auto"/>
        </w:rPr>
      </w:pPr>
    </w:p>
    <w:p>
      <w:pPr>
        <w:jc w:val="both"/>
        <w:ind w:left="8" w:hanging="8"/>
        <w:spacing w:after="0" w:line="272" w:lineRule="auto"/>
        <w:tabs>
          <w:tab w:leader="none" w:pos="34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auto"/>
        </w:rPr>
      </w:pPr>
    </w:p>
    <w:p>
      <w:pPr>
        <w:ind w:left="8" w:hanging="8"/>
        <w:spacing w:after="0" w:line="308" w:lineRule="auto"/>
        <w:tabs>
          <w:tab w:leader="none" w:pos="26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0" w:right="339" w:bottom="1440" w:gutter="0" w:footer="0" w:header="0"/>
        </w:sectPr>
      </w:pPr>
    </w:p>
    <w:bookmarkStart w:id="188" w:name="page189"/>
    <w:bookmarkEnd w:id="188"/>
    <w:p>
      <w:pPr>
        <w:jc w:val="both"/>
        <w:ind w:left="340" w:hanging="332"/>
        <w:spacing w:after="0" w:line="289" w:lineRule="auto"/>
        <w:tabs>
          <w:tab w:leader="none" w:pos="34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Notwithstanding any other provisions of this Agreement except for Section 27,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93" w:lineRule="exact"/>
        <w:rPr>
          <w:rFonts w:ascii="Arial" w:cs="Arial" w:eastAsia="Arial" w:hAnsi="Arial"/>
          <w:sz w:val="16"/>
          <w:szCs w:val="16"/>
          <w:b w:val="1"/>
          <w:bCs w:val="1"/>
          <w:color w:val="auto"/>
        </w:rPr>
      </w:pPr>
    </w:p>
    <w:p>
      <w:pPr>
        <w:jc w:val="both"/>
        <w:ind w:left="340" w:hanging="332"/>
        <w:spacing w:after="0" w:line="289" w:lineRule="auto"/>
        <w:tabs>
          <w:tab w:leader="none" w:pos="34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Notwithstanding any other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Section 27, to the 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7" w:lineRule="exact"/>
        <w:rPr>
          <w:rFonts w:ascii="Arial" w:cs="Arial" w:eastAsia="Arial" w:hAnsi="Arial"/>
          <w:sz w:val="16"/>
          <w:szCs w:val="16"/>
          <w:b w:val="1"/>
          <w:bCs w:val="1"/>
          <w:color w:val="auto"/>
        </w:rPr>
      </w:pPr>
    </w:p>
    <w:p>
      <w:pPr>
        <w:jc w:val="both"/>
        <w:ind w:left="340" w:hanging="332"/>
        <w:spacing w:after="0" w:line="269" w:lineRule="auto"/>
        <w:tabs>
          <w:tab w:leader="none" w:pos="34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05"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Notwithstanding any limitation in Sections 3, 4, 5 or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9" w:name="page190"/>
    <w:bookmarkEnd w:id="189"/>
    <w:p>
      <w:pPr>
        <w:ind w:left="340" w:hanging="332"/>
        <w:spacing w:after="0"/>
        <w:tabs>
          <w:tab w:leader="none" w:pos="3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96" w:lineRule="auto"/>
        <w:tabs>
          <w:tab w:leader="none" w:pos="62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auto"/>
        </w:rPr>
      </w:pPr>
    </w:p>
    <w:p>
      <w:pPr>
        <w:ind w:left="340" w:hanging="8"/>
        <w:spacing w:after="0" w:line="277" w:lineRule="auto"/>
        <w:tabs>
          <w:tab w:leader="none" w:pos="59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340" w:hanging="8"/>
        <w:spacing w:after="0" w:line="277" w:lineRule="auto"/>
        <w:tabs>
          <w:tab w:leader="none" w:pos="591"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auto"/>
        </w:rPr>
      </w:pPr>
    </w:p>
    <w:p>
      <w:pPr>
        <w:ind w:left="340" w:hanging="8"/>
        <w:spacing w:after="0" w:line="342" w:lineRule="auto"/>
        <w:tabs>
          <w:tab w:leader="none" w:pos="59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auto"/>
        </w:rPr>
      </w:pPr>
    </w:p>
    <w:p>
      <w:pPr>
        <w:ind w:left="340" w:right="20" w:hanging="8"/>
        <w:spacing w:after="0" w:line="277" w:lineRule="auto"/>
        <w:tabs>
          <w:tab w:leader="none" w:pos="59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auto"/>
        </w:rPr>
      </w:pPr>
    </w:p>
    <w:p>
      <w:pPr>
        <w:jc w:val="both"/>
        <w:ind w:left="340" w:hanging="8"/>
        <w:spacing w:after="0" w:line="257" w:lineRule="auto"/>
        <w:tabs>
          <w:tab w:leader="none" w:pos="6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5" w:val="left"/>
        </w:tabs>
        <w:numPr>
          <w:ilvl w:val="1"/>
          <w:numId w:val="161"/>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auto"/>
        </w:rPr>
      </w:pPr>
    </w:p>
    <w:p>
      <w:pPr>
        <w:ind w:left="580" w:hanging="248"/>
        <w:spacing w:after="0"/>
        <w:tabs>
          <w:tab w:leader="none" w:pos="5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left="340" w:hanging="8"/>
        <w:spacing w:after="0" w:line="308" w:lineRule="auto"/>
        <w:tabs>
          <w:tab w:leader="none" w:pos="593"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0" w:name="page191"/>
    <w:bookmarkEnd w:id="190"/>
    <w:p>
      <w:pPr>
        <w:ind w:left="340" w:hanging="332"/>
        <w:spacing w:after="0"/>
        <w:tabs>
          <w:tab w:leader="none" w:pos="3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59" w:lineRule="auto"/>
        <w:tabs>
          <w:tab w:leader="none" w:pos="60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auto"/>
        </w:rPr>
      </w:pPr>
    </w:p>
    <w:p>
      <w:pPr>
        <w:jc w:val="both"/>
        <w:ind w:left="340" w:hanging="8"/>
        <w:spacing w:after="0" w:line="259" w:lineRule="auto"/>
        <w:tabs>
          <w:tab w:leader="none" w:pos="62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76"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auto"/>
        </w:rPr>
      </w:pPr>
    </w:p>
    <w:p>
      <w:pPr>
        <w:jc w:val="both"/>
        <w:ind w:left="340" w:hanging="8"/>
        <w:spacing w:after="0" w:line="285" w:lineRule="auto"/>
        <w:tabs>
          <w:tab w:leader="none" w:pos="62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340" w:hanging="8"/>
        <w:spacing w:after="0" w:line="342" w:lineRule="auto"/>
        <w:tabs>
          <w:tab w:leader="none" w:pos="58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1" w:name="page192"/>
    <w:bookmarkEnd w:id="191"/>
    <w:p>
      <w:pPr>
        <w:ind w:left="340" w:hanging="332"/>
        <w:spacing w:after="0"/>
        <w:tabs>
          <w:tab w:leader="none" w:pos="3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71" w:lineRule="auto"/>
        <w:tabs>
          <w:tab w:leader="none" w:pos="59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left="340" w:hanging="8"/>
        <w:spacing w:after="0" w:line="271" w:lineRule="auto"/>
        <w:tabs>
          <w:tab w:leader="none" w:pos="63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left="340" w:hanging="8"/>
        <w:spacing w:after="0" w:line="257" w:lineRule="auto"/>
        <w:tabs>
          <w:tab w:leader="none" w:pos="59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jc w:val="both"/>
        <w:ind w:left="340" w:hanging="8"/>
        <w:spacing w:after="0" w:line="253" w:lineRule="auto"/>
        <w:tabs>
          <w:tab w:leader="none" w:pos="61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96" w:lineRule="exact"/>
        <w:rPr>
          <w:rFonts w:ascii="Arial" w:cs="Arial" w:eastAsia="Arial" w:hAnsi="Arial"/>
          <w:sz w:val="18"/>
          <w:szCs w:val="18"/>
          <w:color w:val="auto"/>
        </w:rPr>
      </w:pPr>
    </w:p>
    <w:p>
      <w:pPr>
        <w:ind w:left="340" w:right="20" w:hanging="8"/>
        <w:spacing w:after="0" w:line="308" w:lineRule="auto"/>
        <w:tabs>
          <w:tab w:leader="none" w:pos="592"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9" w:lineRule="auto"/>
        <w:tabs>
          <w:tab w:leader="none" w:pos="592"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2" w:name="page193"/>
    <w:bookmarkEnd w:id="192"/>
    <w:p>
      <w:pPr>
        <w:jc w:val="both"/>
        <w:ind w:left="340" w:hanging="8"/>
        <w:spacing w:after="0" w:line="289" w:lineRule="auto"/>
        <w:tabs>
          <w:tab w:leader="none" w:pos="64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auto"/>
        </w:rPr>
      </w:pPr>
    </w:p>
    <w:p>
      <w:pPr>
        <w:jc w:val="both"/>
        <w:ind w:left="340" w:hanging="8"/>
        <w:spacing w:after="0" w:line="259" w:lineRule="auto"/>
        <w:tabs>
          <w:tab w:leader="none" w:pos="59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left="340" w:hanging="8"/>
        <w:spacing w:after="0" w:line="263" w:lineRule="auto"/>
        <w:tabs>
          <w:tab w:leader="none" w:pos="63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left="340" w:hanging="8"/>
        <w:spacing w:after="0" w:line="271" w:lineRule="auto"/>
        <w:tabs>
          <w:tab w:leader="none" w:pos="608"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left="340" w:hanging="8"/>
        <w:spacing w:after="0" w:line="301" w:lineRule="auto"/>
        <w:tabs>
          <w:tab w:leader="none" w:pos="586"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87" w:lineRule="auto"/>
        <w:tabs>
          <w:tab w:leader="none" w:pos="586"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3" w:name="page194"/>
    <w:bookmarkEnd w:id="193"/>
    <w:p>
      <w:pPr>
        <w:jc w:val="both"/>
        <w:ind w:left="340" w:hanging="8"/>
        <w:spacing w:after="0" w:line="290" w:lineRule="auto"/>
        <w:tabs>
          <w:tab w:leader="none" w:pos="61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left="340" w:hanging="8"/>
        <w:spacing w:after="0" w:line="290" w:lineRule="auto"/>
        <w:tabs>
          <w:tab w:leader="none" w:pos="60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left="340" w:hanging="8"/>
        <w:spacing w:after="0" w:line="259" w:lineRule="auto"/>
        <w:tabs>
          <w:tab w:leader="none" w:pos="60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jc w:val="both"/>
        <w:ind w:left="340" w:hanging="8"/>
        <w:spacing w:after="0" w:line="270" w:lineRule="auto"/>
        <w:tabs>
          <w:tab w:leader="none" w:pos="60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auto"/>
        </w:rPr>
      </w:pPr>
    </w:p>
    <w:p>
      <w:pPr>
        <w:ind w:left="340" w:hanging="8"/>
        <w:spacing w:after="0" w:line="277" w:lineRule="auto"/>
        <w:tabs>
          <w:tab w:leader="none" w:pos="58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Underwriter, its affiliates or any other Person is secondary.</w:t>
      </w:r>
    </w:p>
    <w:p>
      <w:pPr>
        <w:spacing w:after="0" w:line="166" w:lineRule="exact"/>
        <w:rPr>
          <w:rFonts w:ascii="Arial" w:cs="Arial" w:eastAsia="Arial" w:hAnsi="Arial"/>
          <w:sz w:val="18"/>
          <w:szCs w:val="18"/>
          <w:color w:val="auto"/>
        </w:rPr>
      </w:pPr>
    </w:p>
    <w:p>
      <w:pPr>
        <w:jc w:val="both"/>
        <w:ind w:left="340" w:hanging="332"/>
        <w:spacing w:after="0" w:line="294" w:lineRule="auto"/>
        <w:tabs>
          <w:tab w:leader="none" w:pos="34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6" w:lineRule="exact"/>
        <w:rPr>
          <w:rFonts w:ascii="Arial" w:cs="Arial" w:eastAsia="Arial" w:hAnsi="Arial"/>
          <w:sz w:val="16"/>
          <w:szCs w:val="16"/>
          <w:b w:val="1"/>
          <w:bCs w:val="1"/>
          <w:color w:val="auto"/>
        </w:rPr>
      </w:pPr>
    </w:p>
    <w:p>
      <w:pPr>
        <w:jc w:val="both"/>
        <w:ind w:left="340" w:hanging="332"/>
        <w:spacing w:after="0" w:line="272" w:lineRule="auto"/>
        <w:tabs>
          <w:tab w:leader="none" w:pos="34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 (a)</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4" w:name="page195"/>
    <w:bookmarkEnd w:id="194"/>
    <w:p>
      <w:pPr>
        <w:ind w:left="340" w:hanging="332"/>
        <w:spacing w:after="0"/>
        <w:tabs>
          <w:tab w:leader="none" w:pos="3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340" w:hanging="8"/>
        <w:spacing w:after="0" w:line="263" w:lineRule="auto"/>
        <w:tabs>
          <w:tab w:leader="none" w:pos="58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2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auto"/>
        </w:rPr>
      </w:pPr>
    </w:p>
    <w:p>
      <w:pPr>
        <w:jc w:val="both"/>
        <w:ind w:left="340" w:hanging="8"/>
        <w:spacing w:after="0" w:line="273" w:lineRule="auto"/>
        <w:tabs>
          <w:tab w:leader="none" w:pos="593"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left="340" w:hanging="8"/>
        <w:spacing w:after="0" w:line="259" w:lineRule="auto"/>
        <w:tabs>
          <w:tab w:leader="none" w:pos="59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340" w:hanging="8"/>
        <w:spacing w:after="0" w:line="253" w:lineRule="auto"/>
        <w:tabs>
          <w:tab w:leader="none" w:pos="61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202"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auto"/>
        </w:rPr>
      </w:pPr>
    </w:p>
    <w:p>
      <w:pPr>
        <w:ind w:left="340" w:hanging="8"/>
        <w:spacing w:after="0" w:line="277" w:lineRule="auto"/>
        <w:tabs>
          <w:tab w:leader="none" w:pos="59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Claymont, DE 19703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Stephen N. Cannon, Chief Executive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95" w:name="page196"/>
    <w:bookmarkEnd w:id="195"/>
    <w:p>
      <w:pPr>
        <w:jc w:val="both"/>
        <w:ind w:left="340" w:hanging="332"/>
        <w:spacing w:after="0" w:line="254" w:lineRule="auto"/>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15"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20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of this Agreement are inserted for convenience only and shall not be deemed to constitute part of this Agreement or to affect the construction thereof.</w:t>
      </w:r>
    </w:p>
    <w:p>
      <w:pPr>
        <w:spacing w:after="0" w:line="202"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10"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undertakes to cause such act, resolution, approval or other procedure to be affected or adopted in a manner that will enable the Company to fulfill its obligations under this Agreement.</w:t>
      </w:r>
    </w:p>
    <w:p>
      <w:pPr>
        <w:spacing w:after="0" w:line="202"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214" w:lineRule="exact"/>
        <w:rPr>
          <w:rFonts w:ascii="Arial" w:cs="Arial" w:eastAsia="Arial" w:hAnsi="Arial"/>
          <w:sz w:val="18"/>
          <w:szCs w:val="18"/>
          <w:b w:val="1"/>
          <w:bCs w:val="1"/>
          <w:color w:val="auto"/>
        </w:rPr>
      </w:pPr>
    </w:p>
    <w:p>
      <w:pPr>
        <w:jc w:val="both"/>
        <w:ind w:left="340" w:hanging="332"/>
        <w:spacing w:after="0" w:line="273" w:lineRule="auto"/>
        <w:tabs>
          <w:tab w:leader="none" w:pos="34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Stephen N. Cannon</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Indemnity Agreement]</w:t>
      </w:r>
    </w:p>
    <w:p>
      <w:pPr>
        <w:spacing w:after="0" w:line="3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660" w:top="796" w:right="1079" w:bottom="1440" w:gutter="0" w:footer="0" w:header="0"/>
        </w:sectPr>
      </w:pPr>
    </w:p>
    <w:bookmarkStart w:id="197" w:name="page198"/>
    <w:bookmarkEnd w:id="197"/>
    <w:p>
      <w:pPr>
        <w:ind w:left="10320"/>
        <w:spacing w:after="0"/>
        <w:rPr>
          <w:sz w:val="20"/>
          <w:szCs w:val="20"/>
          <w:color w:val="auto"/>
        </w:rPr>
      </w:pPr>
      <w:r>
        <w:rPr>
          <w:rFonts w:ascii="Arial" w:cs="Arial" w:eastAsia="Arial" w:hAnsi="Arial"/>
          <w:sz w:val="16"/>
          <w:szCs w:val="16"/>
          <w:b w:val="1"/>
          <w:bCs w:val="1"/>
          <w:color w:val="auto"/>
        </w:rPr>
        <w:t>Exhibit 10.6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SUBSCRIPTION AGREEMENT FOR PRIVATE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ARCHIMEDES TECH SPAC SPONSORS LLC</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Archimedes Tech SPAC Partners Co. (“Corporation”), a blank check company formed for the purpose of acquiring one or more businesses or entities (a “Business Combination”), intends to register its securities under the Securities Act of 1933, as amended (“Securities Act”), in connection with its initial public offering (“IPO”). The Corporation currently anticipates selling units (“Unit”) in the IPO, each comprised of one subunit (“Subunit”) and one-quarter of a warrant (“Warrant”). Each subunit consists of one share of common stock, par value $0.0001 per share of the Corporation (“Common Stock”) and one-quarter of a Warrant. Each whole Warrant entitles the holder to purchase one share of Common Stock at a price of $11.50 per share.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undersigned hereby commits to purchase an aggregate of 330,000 units of the Corporation (“Initial Units”) at $10.00 per Initial Unit for an aggregate purchase price of $3,300,000 (the “Initial Purchase Price”). Additionally, if the underwriters in the IPO (“Underwriters”) exercise their over-allotment option in full or part, the undersigned further commits to purchase up to an additional 27,000 Units (“Additional Units” and together with the Initial Units, the “Private Units”) at $10.00 per Additional Unit, for an aggregate purchase price of up to $270,000 (the “Over-Allotment Purchase Price” and together with the Initial Purchase Price, the “Purchase Price”). At least 24 hours prior to the effective date (“Effective Date”) of the Corporation’s registration statement filed in connection with the IPO (“Registration Statement”), the undersigned will cause the Purchase Price to be delivered to the Trust Fund by wire transfer. Simultaneously with the consummation of all or any part of the over-allotment option, the undersigned shall deposit the pro-rata portion of the Over-Allotment Purchase Price, based upon the amount of the over-allotment option that has been exercised, without interest or deduction, into the Trust Fund. The undersigned agrees that if the size of the IPO is increased or decreased for any reason, the amount of the undersigned’s investment will be either increased or decreased, as applicable, so that the undersigned’s percentage of the aggregate investment in Private Units made by the undersigned and other investors of the Company remains the same. If the size of the offering is increased, the undersigned agrees that it will deliver the purchase price for such additional Private Units as promptly as is reasonably practicable following the increase if it is on the Effective Date. If the size of the offering is decreased, the unused portion of the Purchase Price shall be returned to the undersigned.</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consummation of the purchase and issuance of the Initial Units and Additional Units (if any) shall occur simultaneously with the consummation of the IPO and over-allotment option, respectively. If the Corporation does not complete the IPO within thirty (30) days from the Effective Date, the Purchase Price (without interest or deduction) will be returned to the undersigned.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Private Units, Subunits and underlying Warrants (“Private Subunits” and “Private Warrants”, respectively) will be identical to the units, subunits and warrants to be sold by the Corporation in the IPO, except that:</w:t>
      </w:r>
    </w:p>
    <w:p>
      <w:pPr>
        <w:spacing w:after="0" w:line="170" w:lineRule="exact"/>
        <w:rPr>
          <w:sz w:val="20"/>
          <w:szCs w:val="20"/>
          <w:color w:val="auto"/>
        </w:rPr>
      </w:pPr>
    </w:p>
    <w:p>
      <w:pPr>
        <w:ind w:left="660" w:hanging="328"/>
        <w:spacing w:after="0" w:line="27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undersigned agrees to vote the shares of Common Stock included in the Private Units (“Private Shares”) in favor of any proposed Business Combination;</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Private Warrants included in the Private Units and Private Subunits (i) will not be redeemable by the Corporation and (ii) may be exercised for cash or on a cashless basis, as described in the Registration Statement, in each case so long as they are held by the undersigned or any of its permitted transferees;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undersigned agrees not to seek conversion, or seek to sell such shares in any tender offer, in connection with any amendment to the Corporation’s charter documents or any proposed Business Combination with respect to the Private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ind w:left="660" w:hanging="328"/>
        <w:spacing w:after="0" w:line="342" w:lineRule="auto"/>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Private Units and underlying securities will not be transferable by the undersigned until the consummation of a Business Combination (subject to certain exceptions as described in the Registration Statement and set forth in the warrant agreement governing the Private Warrants);</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Private Units, Private Subunits and underlying securities will be subject to customary registration rights, pursuant to a registration rights agreement on terms agreed upon by the Corporation and the Underwriters to be filed as an exhibit to the Registration Statement;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Units, Private Subunits or the underlying securities (but will participate in liquidation distributions with respect to any units or shares of Common Stock purchased by the undersigned in the IPO or in the open market after the IPO) if the Corporation fails to consummate a Business Combination;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Private Units, Private Subunits and the underlying securities will include any additional terms or restrictions as is customary in other similarly structured blank check company offerings or as may be reasonably required by the Underwriters in order to consummate the IPO, which terms or restrictions will be described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it will execute agreements in form and substance typical for transactions of this nature necessary to effectuate the foregoing agreements and obligations prior to the consummation of the IPO as are reasonably acceptable to the undersigned, including but not limited to (i) an insider letter, (ii) an escrow agreement and (iii) a registration rights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 as applicable:</w:t>
      </w:r>
    </w:p>
    <w:p>
      <w:pPr>
        <w:spacing w:after="0" w:line="225"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it has been advised that the Private Units, Private Subunits and the underlying securities have not been registered under the Securities Act;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it is acquiring the Private Units and Private Subunits and the underlying securities for its account for investment purposes only;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it has no present intention of selling or otherwise disposing of the Private Units, Private Subunits or the underlying securities in violation of the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it has had both the opportunity to ask questions and receive answers from the officers and directors of the Corporation and all persons acting on its behalf concerning the terms and conditions of the offer made 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Corporation;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this letter constitutes a legal, valid and binding obligation, and is enforceable against it.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SPONSORS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Manager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Chief Executive Officer</w:t>
      </w:r>
    </w:p>
    <w:p>
      <w:pPr>
        <w:spacing w:after="0" w:line="319"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200" w:name="page201"/>
    <w:bookmarkEnd w:id="200"/>
    <w:p>
      <w:pPr>
        <w:ind w:left="10320"/>
        <w:spacing w:after="0"/>
        <w:rPr>
          <w:sz w:val="20"/>
          <w:szCs w:val="20"/>
          <w:color w:val="auto"/>
        </w:rPr>
      </w:pPr>
      <w:r>
        <w:rPr>
          <w:rFonts w:ascii="Arial" w:cs="Arial" w:eastAsia="Arial" w:hAnsi="Arial"/>
          <w:sz w:val="16"/>
          <w:szCs w:val="16"/>
          <w:b w:val="1"/>
          <w:bCs w:val="1"/>
          <w:color w:val="auto"/>
        </w:rPr>
        <w:t>Exhibit 10.7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 FOR PRIVATE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EARLYBIRDCAPITAL, INC</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Archimedes Tech SPAC Partners Co. (“Corporation”), a blank check company formed for the purpose of acquiring one or more businesses or entities (a “Business Combination”), intends to register its securities under the Securities Act of 1933, as amended (“Securities Act”), in connection with its initial public offering (“IPO”). The Corporation currently anticipates selling units (“Unit”) in the IPO, each comprised of one subunit (“Subunit”) and one-quarter of one warrant (“Warrant”). Each subunit consists of one share of common stock, par value $0.0001 per share of the Corporation (“Common Stock”) and one-quarter of one Warrant. Each whole Warrant entitles the holder to purchase one share of Common Stock at a price of $11.50 per share.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undersigned hereby commits to purchase an aggregate of 60,000 units of the Corporation (“Initial Units”) at $10.00 per Initial Unit for an aggregate purchase price of $600,000 (the “Initial Purchase Price”). Additionally, if the underwriters in the IPO (“Underwriters”) exercise their over-allotment option in full or part, the undersigned further commits to purchase up to an additional 9,000 Units (“Additional Units” and together with the Initial Units, the “Private Units”) at $10.00 per Additional Unit, for an aggregate purchase price of up to $90,000 (the “Over-Allotment Purchase Price” and together with the Initial Purchase Price, the “Purchase Price”). At least 24 hours prior to the effective date (“Effective Date”) of the Corporation’s registration statement filed in connection with the IPO (“Registration Statement”), the undersigned will cause the Purchase Price to be delivered to the Trust Fund by wire transfer. Simultaneously with the consummation of all or any part of the over-allotment option, the undersigned shall deposit the pro-rata portion of the Over-Allotment Purchase Price, based upon the amount of the over-allotment option that has been exercised, without interest or deduction, into the Trust Fund. The undersigned agrees that if the size of the IPO is increased or decreased for any reason, the amount of the undersigned’s investment will be either increased or decreased, as applicable, so that the undersigned’s percentage of the aggregate investment in Private Units made by the undersigned and other investors of the Company remains the same. If the size of the offering is increased, the undersigned agrees that it will deliver the purchase price for such additional Private Units as promptly as is reasonably practicable following the increase if it is on the Effective Date. If the size of the offering is decreased, the unused portion of the Purchase Price shall be returned to the undersigned.</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consummation of the purchase and issuance of the Initial Units and Additional Units (if any) shall occur simultaneously with the consummation of the IPO and over-allotment option, respectively. If the Corporation does not complete the IPO within thirty (30) days from the Effective Date, the Purchase Price (without interest or deduction) will be returned to the undersigned.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Private Units, Subunits and underlying Warrants (“Private Subunits” and “Private Warrants”, respectively) will be identical to the units, subunits and warrants to be sold by the Corporation in the IPO, except that:</w:t>
      </w:r>
    </w:p>
    <w:p>
      <w:pPr>
        <w:spacing w:after="0" w:line="170" w:lineRule="exact"/>
        <w:rPr>
          <w:sz w:val="20"/>
          <w:szCs w:val="20"/>
          <w:color w:val="auto"/>
        </w:rPr>
      </w:pPr>
    </w:p>
    <w:p>
      <w:pPr>
        <w:ind w:left="660" w:hanging="328"/>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undersigned agrees to vote the shares of Common Stock included in the Private Units (“Private Shares”) in favor of any proposed Business Combination;</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Private Warrants included in the Private Units and Private Subunits (i) will not be redeemable by the Corporation and (ii) may be exercised for cash or on a cashless basis, as described in the Registration Statement, in each case so long as they are held by the undersigned or any of its permitted transferees;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undersigned agrees not to seek conversion, or seek to sell such shares in any tender offer, in connection with any amendment to the Corporation’s charter documents or any proposed Business Combination with respect to the Private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ind w:left="660" w:hanging="328"/>
        <w:spacing w:after="0" w:line="342" w:lineRule="auto"/>
        <w:tabs>
          <w:tab w:leader="none" w:pos="6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Private Units and underlying securities will not be transferable by the undersigned until the consummation of a Business Combination (subject to certain exceptions as described in the Registration Statement and set forth in the warrant agreement governing the Private Warrants);</w:t>
      </w:r>
    </w:p>
    <w:p>
      <w:pPr>
        <w:spacing w:after="0" w:line="150"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Private Units, Private Subunits and underlying securities will be subject to customary registration rights, pursuant to a registration rights agreement on terms agreed upon by the Corporation and the Underwriters to be filed as an exhibit to the Registration Statement;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Units, Private Subunits or the underlying securities (but will participate in liquidation distributions with respect to any units or shares of Common Stock purchased by the undersigned in the IPO or in the open market after the IPO) if the Corporation fails to consummate a Business Combination;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Private Units, Private Subunits and the underlying securities will include any additional terms or restrictions as is customary in other similarly structured blank check company offerings or as may be reasonably required by the Underwriters in order to consummate the IPO, which terms or restrictions will be described in the Registration Statement.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it will execute agreements in form and substance typical for transactions of this nature necessary to effectuate the foregoing agreements and obligations prior to the consummation of the IPO as are reasonably acceptable to the undersigned, including but not limited to (i) an insider letter, (ii) an escrow agreement and (iii) a registration rights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 as applicable:</w:t>
      </w:r>
    </w:p>
    <w:p>
      <w:pPr>
        <w:spacing w:after="0" w:line="225"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it has been advised that the Private Units, Private Subunits and the underlying securities have not been registered under the Securities Act;</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is acquiring the Private Units and Private Subunits and the underlying securities for its account for investment purposes only;</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has no present intention of selling or otherwise disposing of the Private Units, Private Subunits or the underlying securities in violation of the securities;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has had both the opportunity to ask questions and receive answers from the officers and directors of the Corporation and all persons acting on its behalf concerning the terms and conditions of the offer made 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Corporation;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this letter constitutes a legal, valid and binding obligation, and is enforceable against it.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undersigned further acknowledges and agrees that the Private Units, Private Subunits and underlying securities and the related registration rights will be deemed compensation by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and will therefore, pursuant to Rule 5110(e)(1) of the FINRA Manual, be subject to lock-up for a period of 180 days immediately following the date of effectiveness or commencement of sales in the IPO, subject to FINRA Rule 5110(e)(2). Additionally, the Private Units, Private Subunits and underlying securities and the related registration rights may not be sold, transferred, assigned, pledged or hypothecated during the foregoing 180 day period following the effective date of the Registration Statement except to any underwriter or selected dealer participating in the IPO and the bona fide officers or partners of the undersigned and any such participating underwriter or selected dealer. Additionally, the Private Units, Private Subunits and underlying securities and the related registration rights will not be the subject of any hedging, short sale, derivative, put or call transaction that would result in the economic disposition of such securities by any person for a period of 180 days immediately following the date of effectiveness or commencement of sales in the IPO. Additionally, the undersigned may not exercise demand or piggyback rights with respect to the Private Units, Private Subunits and underlying securities after five (5) and seven (7) years, respectively, from the effective date of the Registration Statement and may not exercise demand rights on more than one occasion. Further, for as long as any warrants included in the Private Units are held by the undersigned and/or its designees or affiliates, they may not be exercised after five years from the effective date of the Registration Statement.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EARLYBIRDCAPITAL,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Mike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Mike Powell</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Senior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[Signature Page to EBC Subscription Agreement]</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SPAC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letter will confirm our agreement that, commencing on the effective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of the registration statement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Archimedes Tech SPAC Partners Co.’s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securities and continuing until the earlier of (i) the consummation by the Company of an initial business combination or (ii) the Company’s liquidation (in each case as described in the Registration Statement) (such earlier date hereinafter referred to as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SPAC Partners LLC shall make available to the Company certain office space, utilities and secretarial support as may be required by the Company from time to time, situated at 2093 Philadelphia Pike #1968, Claymont, DE 19703 (or any successor location). In exchange therefore, the Company shall pay SPAC Partners LLC the sum of $10,000 per month on the Effective Date and continuing monthly thereafter until the Termination Date. SPAC Partners LLC hereby agrees that it does not have any right, title, interest or claim of any kind in or to any monies that may be set aside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to be established upon the consummation of the IPO (the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Archimedes Tech SPAC Partners Co.</w:t>
      </w:r>
    </w:p>
    <w:p>
      <w:pPr>
        <w:spacing w:after="0" w:line="248"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jc w:val="right"/>
        <w:ind w:right="639"/>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SPAC Partners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Authorized Person</w:t>
      </w:r>
    </w:p>
    <w:p>
      <w:pPr>
        <w:spacing w:after="0" w:line="200" w:lineRule="exact"/>
        <w:rPr>
          <w:sz w:val="20"/>
          <w:szCs w:val="20"/>
          <w:color w:val="auto"/>
        </w:rPr>
      </w:pPr>
    </w:p>
    <w:p>
      <w:pPr>
        <w:spacing w:after="0" w:line="2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1."/>
      <w:numFmt w:val="decimal"/>
      <w:start w:val="1"/>
    </w:lvl>
  </w:abstractNum>
  <w:abstractNum w:abstractNumId="3">
    <w:nsid w:val="74DE0EE3"/>
    <w:multiLevelType w:val="hybridMultilevel"/>
    <w:lvl w:ilvl="0">
      <w:lvlJc w:val="left"/>
      <w:lvlText w:val="1.%1."/>
      <w:numFmt w:val="decimal"/>
      <w:start w:val="1"/>
    </w:lvl>
  </w:abstractNum>
  <w:abstractNum w:abstractNumId="4">
    <w:nsid w:val="68EBC550"/>
    <w:multiLevelType w:val="hybridMultilevel"/>
    <w:lvl w:ilvl="0">
      <w:lvlJc w:val="left"/>
      <w:lvlText w:val="%1."/>
      <w:numFmt w:val="decimal"/>
      <w:start w:val="2"/>
    </w:lvl>
  </w:abstractNum>
  <w:abstractNum w:abstractNumId="5">
    <w:nsid w:val="2DF6D648"/>
    <w:multiLevelType w:val="hybridMultilevel"/>
    <w:lvl w:ilvl="0">
      <w:lvlJc w:val="left"/>
      <w:lvlText w:val="2.%1."/>
      <w:numFmt w:val="decimal"/>
      <w:start w:val="1"/>
    </w:lvl>
  </w:abstractNum>
  <w:abstractNum w:abstractNumId="6">
    <w:nsid w:val="46B7D447"/>
    <w:multiLevelType w:val="hybridMultilevel"/>
    <w:lvl w:ilvl="0">
      <w:lvlJc w:val="left"/>
      <w:lvlText w:val="(%1)"/>
      <w:numFmt w:val="lowerRoman"/>
      <w:start w:val="1"/>
    </w:lvl>
  </w:abstractNum>
  <w:abstractNum w:abstractNumId="7">
    <w:nsid w:val="4A2AC315"/>
    <w:multiLevelType w:val="hybridMultilevel"/>
    <w:lvl w:ilvl="0">
      <w:lvlJc w:val="left"/>
      <w:lvlText w:val="%1."/>
      <w:numFmt w:val="decimal"/>
      <w:start w:val="405"/>
    </w:lvl>
  </w:abstractNum>
  <w:abstractNum w:abstractNumId="8">
    <w:nsid w:val="39EE015C"/>
    <w:multiLevelType w:val="hybridMultilevel"/>
    <w:lvl w:ilvl="0">
      <w:lvlJc w:val="left"/>
      <w:lvlText w:val="%1."/>
      <w:numFmt w:val="decimal"/>
      <w:start w:val="4"/>
    </w:lvl>
  </w:abstractNum>
  <w:abstractNum w:abstractNumId="9">
    <w:nsid w:val="57FC4FBB"/>
    <w:multiLevelType w:val="hybridMultilevel"/>
    <w:lvl w:ilvl="0">
      <w:lvlJc w:val="left"/>
      <w:lvlText w:val="(%1)"/>
      <w:numFmt w:val="lowerRoman"/>
      <w:start w:val="1"/>
    </w:lvl>
  </w:abstractNum>
  <w:abstractNum w:abstractNumId="10">
    <w:nsid w:val="CC1016F"/>
    <w:multiLevelType w:val="hybridMultilevel"/>
    <w:lvl w:ilvl="0">
      <w:lvlJc w:val="left"/>
      <w:lvlText w:val="(%1)"/>
      <w:numFmt w:val="lowerRoman"/>
      <w:start w:val="2"/>
    </w:lvl>
  </w:abstractNum>
  <w:abstractNum w:abstractNumId="11">
    <w:nsid w:val="43F18422"/>
    <w:multiLevelType w:val="hybridMultilevel"/>
    <w:lvl w:ilvl="0">
      <w:lvlJc w:val="left"/>
      <w:lvlText w:val="%1."/>
      <w:numFmt w:val="decimal"/>
      <w:start w:val="5"/>
    </w:lvl>
  </w:abstractNum>
  <w:abstractNum w:abstractNumId="12">
    <w:nsid w:val="60EF0119"/>
    <w:multiLevelType w:val="hybridMultilevel"/>
    <w:lvl w:ilvl="0">
      <w:lvlJc w:val="left"/>
      <w:lvlText w:val="%1."/>
      <w:numFmt w:val="decimal"/>
      <w:start w:val="6"/>
    </w:lvl>
  </w:abstractNum>
  <w:abstractNum w:abstractNumId="13">
    <w:nsid w:val="26F324BA"/>
    <w:multiLevelType w:val="hybridMultilevel"/>
    <w:lvl w:ilvl="0">
      <w:lvlJc w:val="left"/>
      <w:lvlText w:val="%1."/>
      <w:numFmt w:val="decimal"/>
      <w:start w:val="7"/>
    </w:lvl>
  </w:abstractNum>
  <w:abstractNum w:abstractNumId="14">
    <w:nsid w:val="7F01579B"/>
    <w:multiLevelType w:val="hybridMultilevel"/>
    <w:lvl w:ilvl="0">
      <w:lvlJc w:val="left"/>
      <w:lvlText w:val="%1."/>
      <w:numFmt w:val="decimal"/>
      <w:start w:val="8"/>
    </w:lvl>
  </w:abstractNum>
  <w:abstractNum w:abstractNumId="15">
    <w:nsid w:val="49DA307D"/>
    <w:multiLevelType w:val="hybridMultilevel"/>
    <w:lvl w:ilvl="0">
      <w:lvlJc w:val="left"/>
      <w:lvlText w:val="%1."/>
      <w:numFmt w:val="decimal"/>
      <w:start w:val="11"/>
    </w:lvl>
  </w:abstractNum>
  <w:abstractNum w:abstractNumId="16">
    <w:nsid w:val="7055A5F5"/>
    <w:multiLevelType w:val="hybridMultilevel"/>
    <w:lvl w:ilvl="0">
      <w:lvlJc w:val="left"/>
      <w:lvlText w:val="%1."/>
      <w:numFmt w:val="decimal"/>
      <w:start w:val="1"/>
    </w:lvl>
  </w:abstractNum>
  <w:abstractNum w:abstractNumId="17">
    <w:nsid w:val="5FB8370B"/>
    <w:multiLevelType w:val="hybridMultilevel"/>
    <w:lvl w:ilvl="0">
      <w:lvlJc w:val="left"/>
      <w:lvlText w:val="(%1)"/>
      <w:numFmt w:val="lowerRoman"/>
      <w:start w:val="2"/>
    </w:lvl>
    <w:lvl w:ilvl="1">
      <w:lvlJc w:val="left"/>
      <w:lvlText w:val="%2."/>
      <w:numFmt w:val="upperLetter"/>
      <w:start w:val="2"/>
    </w:lvl>
  </w:abstractNum>
  <w:abstractNum w:abstractNumId="18">
    <w:nsid w:val="50801EE1"/>
    <w:multiLevelType w:val="hybridMultilevel"/>
    <w:lvl w:ilvl="0">
      <w:lvlJc w:val="left"/>
      <w:lvlText w:val="%1."/>
      <w:numFmt w:val="decimal"/>
      <w:start w:val="1"/>
    </w:lvl>
  </w:abstractNum>
  <w:abstractNum w:abstractNumId="19">
    <w:nsid w:val="488AC1A"/>
    <w:multiLevelType w:val="hybridMultilevel"/>
    <w:lvl w:ilvl="0">
      <w:lvlJc w:val="left"/>
      <w:lvlText w:val="%1."/>
      <w:numFmt w:val="decimal"/>
      <w:start w:val="3"/>
    </w:lvl>
  </w:abstractNum>
  <w:abstractNum w:abstractNumId="20">
    <w:nsid w:val="5FB8011C"/>
    <w:multiLevelType w:val="hybridMultilevel"/>
    <w:lvl w:ilvl="0">
      <w:lvlJc w:val="left"/>
      <w:lvlText w:val="%1"/>
      <w:numFmt w:val="lowerLetter"/>
      <w:start w:val="1"/>
    </w:lvl>
    <w:lvl w:ilvl="1">
      <w:lvlJc w:val="left"/>
      <w:lvlText w:val="(%2)"/>
      <w:numFmt w:val="lowerLetter"/>
      <w:start w:val="1"/>
    </w:lvl>
  </w:abstractNum>
  <w:abstractNum w:abstractNumId="21">
    <w:nsid w:val="6AA78F7F"/>
    <w:multiLevelType w:val="hybridMultilevel"/>
    <w:lvl w:ilvl="0">
      <w:lvlJc w:val="left"/>
      <w:lvlText w:val="(%1)"/>
      <w:numFmt w:val="lowerLetter"/>
      <w:start w:val="24"/>
    </w:lvl>
    <w:lvl w:ilvl="1">
      <w:lvlJc w:val="left"/>
      <w:lvlText w:val="%2"/>
      <w:numFmt w:val="lowerLetter"/>
      <w:start w:val="1"/>
    </w:lvl>
  </w:abstractNum>
  <w:abstractNum w:abstractNumId="22">
    <w:nsid w:val="7672BD23"/>
    <w:multiLevelType w:val="hybridMultilevel"/>
    <w:lvl w:ilvl="0">
      <w:lvlJc w:val="left"/>
      <w:lvlText w:val="%1."/>
      <w:numFmt w:val="decimal"/>
      <w:start w:val="4"/>
    </w:lvl>
  </w:abstractNum>
  <w:abstractNum w:abstractNumId="23">
    <w:nsid w:val="6FC75AF8"/>
    <w:multiLevelType w:val="hybridMultilevel"/>
    <w:lvl w:ilvl="0">
      <w:lvlJc w:val="left"/>
      <w:lvlText w:val="(%1)"/>
      <w:numFmt w:val="lowerLetter"/>
      <w:start w:val="4"/>
    </w:lvl>
  </w:abstractNum>
  <w:abstractNum w:abstractNumId="24">
    <w:nsid w:val="6A5F7029"/>
    <w:multiLevelType w:val="hybridMultilevel"/>
    <w:lvl w:ilvl="0">
      <w:lvlJc w:val="left"/>
      <w:lvlText w:val="%1."/>
      <w:numFmt w:val="decimal"/>
      <w:start w:val="5"/>
    </w:lvl>
  </w:abstractNum>
  <w:abstractNum w:abstractNumId="25">
    <w:nsid w:val="7D5E18F8"/>
    <w:multiLevelType w:val="hybridMultilevel"/>
    <w:lvl w:ilvl="0">
      <w:lvlJc w:val="left"/>
      <w:lvlText w:val="(%1)"/>
      <w:numFmt w:val="lowerRoman"/>
      <w:start w:val="9"/>
    </w:lvl>
  </w:abstractNum>
  <w:abstractNum w:abstractNumId="26">
    <w:nsid w:val="5F3534A4"/>
    <w:multiLevelType w:val="hybridMultilevel"/>
    <w:lvl w:ilvl="0">
      <w:lvlJc w:val="left"/>
      <w:lvlText w:val="%1."/>
      <w:numFmt w:val="decimal"/>
      <w:start w:val="6"/>
    </w:lvl>
  </w:abstractNum>
  <w:abstractNum w:abstractNumId="27">
    <w:nsid w:val="73A1821B"/>
    <w:multiLevelType w:val="hybridMultilevel"/>
    <w:lvl w:ilvl="0">
      <w:lvlJc w:val="left"/>
      <w:lvlText w:val="%1."/>
      <w:numFmt w:val="decimal"/>
      <w:start w:val="7"/>
    </w:lvl>
  </w:abstractNum>
  <w:abstractNum w:abstractNumId="28">
    <w:nsid w:val="7DE67713"/>
    <w:multiLevelType w:val="hybridMultilevel"/>
    <w:lvl w:ilvl="0">
      <w:lvlJc w:val="left"/>
      <w:lvlText w:val="%1."/>
      <w:numFmt w:val="decimal"/>
      <w:start w:val="8"/>
    </w:lvl>
  </w:abstractNum>
  <w:abstractNum w:abstractNumId="29">
    <w:nsid w:val="555C55B5"/>
    <w:multiLevelType w:val="hybridMultilevel"/>
    <w:lvl w:ilvl="0">
      <w:lvlJc w:val="left"/>
      <w:lvlText w:val="%1."/>
      <w:numFmt w:val="decimal"/>
      <w:start w:val="9"/>
    </w:lvl>
  </w:abstractNum>
  <w:abstractNum w:abstractNumId="30">
    <w:nsid w:val="3FA62ACA"/>
    <w:multiLevelType w:val="hybridMultilevel"/>
    <w:lvl w:ilvl="0">
      <w:lvlJc w:val="left"/>
      <w:lvlText w:val="%1."/>
      <w:numFmt w:val="decimal"/>
      <w:start w:val="1"/>
    </w:lvl>
  </w:abstractNum>
  <w:abstractNum w:abstractNumId="31">
    <w:nsid w:val="14FCE74E"/>
    <w:multiLevelType w:val="hybridMultilevel"/>
    <w:lvl w:ilvl="0">
      <w:lvlJc w:val="left"/>
      <w:lvlText w:val="(%1)"/>
      <w:numFmt w:val="lowerLetter"/>
      <w:start w:val="2"/>
    </w:lvl>
  </w:abstractNum>
  <w:abstractNum w:abstractNumId="32">
    <w:nsid w:val="6A3DD3E8"/>
    <w:multiLevelType w:val="hybridMultilevel"/>
    <w:lvl w:ilvl="0">
      <w:lvlJc w:val="left"/>
      <w:lvlText w:val="%1."/>
      <w:numFmt w:val="decimal"/>
      <w:start w:val="3"/>
    </w:lvl>
  </w:abstractNum>
  <w:abstractNum w:abstractNumId="33">
    <w:nsid w:val="71C91298"/>
    <w:multiLevelType w:val="hybridMultilevel"/>
    <w:lvl w:ilvl="0">
      <w:lvlJc w:val="left"/>
      <w:lvlText w:val="(%1)"/>
      <w:numFmt w:val="lowerLetter"/>
      <w:start w:val="2"/>
    </w:lvl>
  </w:abstractNum>
  <w:abstractNum w:abstractNumId="34">
    <w:nsid w:val="9DAF632"/>
    <w:multiLevelType w:val="hybridMultilevel"/>
    <w:lvl w:ilvl="0">
      <w:lvlJc w:val="left"/>
      <w:lvlText w:val="%1."/>
      <w:numFmt w:val="decimal"/>
      <w:start w:val="6"/>
    </w:lvl>
  </w:abstractNum>
  <w:abstractNum w:abstractNumId="35">
    <w:nsid w:val="53299938"/>
    <w:multiLevelType w:val="hybridMultilevel"/>
    <w:lvl w:ilvl="0">
      <w:lvlJc w:val="left"/>
      <w:lvlText w:val="(%1)"/>
      <w:numFmt w:val="lowerLetter"/>
      <w:start w:val="2"/>
    </w:lvl>
  </w:abstractNum>
  <w:abstractNum w:abstractNumId="36">
    <w:nsid w:val="1FBFE8E0"/>
    <w:multiLevelType w:val="hybridMultilevel"/>
    <w:lvl w:ilvl="0">
      <w:lvlJc w:val="left"/>
      <w:lvlText w:val="%1."/>
      <w:numFmt w:val="decimal"/>
      <w:start w:val="7"/>
    </w:lvl>
  </w:abstractNum>
  <w:abstractNum w:abstractNumId="37">
    <w:nsid w:val="5092CA79"/>
    <w:multiLevelType w:val="hybridMultilevel"/>
    <w:lvl w:ilvl="0">
      <w:lvlJc w:val="left"/>
      <w:lvlText w:val="(%1)"/>
      <w:numFmt w:val="lowerLetter"/>
      <w:start w:val="1"/>
    </w:lvl>
  </w:abstractNum>
  <w:abstractNum w:abstractNumId="38">
    <w:nsid w:val="1D545C4D"/>
    <w:multiLevelType w:val="hybridMultilevel"/>
    <w:lvl w:ilvl="0">
      <w:lvlJc w:val="left"/>
      <w:lvlText w:val="(%1)"/>
      <w:numFmt w:val="lowerLetter"/>
      <w:start w:val="3"/>
    </w:lvl>
  </w:abstractNum>
  <w:abstractNum w:abstractNumId="39">
    <w:nsid w:val="59ADEA3D"/>
    <w:multiLevelType w:val="hybridMultilevel"/>
    <w:lvl w:ilvl="0">
      <w:lvlJc w:val="left"/>
      <w:lvlText w:val="(%1)"/>
      <w:numFmt w:val="lowerLetter"/>
      <w:start w:val="13"/>
    </w:lvl>
  </w:abstractNum>
  <w:abstractNum w:abstractNumId="40">
    <w:nsid w:val="288F1A34"/>
    <w:multiLevelType w:val="hybridMultilevel"/>
    <w:lvl w:ilvl="0">
      <w:lvlJc w:val="left"/>
      <w:lvlText w:val="%1."/>
      <w:numFmt w:val="decimal"/>
      <w:start w:val="8"/>
    </w:lvl>
  </w:abstractNum>
  <w:abstractNum w:abstractNumId="41">
    <w:nsid w:val="2A155DBC"/>
    <w:multiLevelType w:val="hybridMultilevel"/>
    <w:lvl w:ilvl="0">
      <w:lvlJc w:val="left"/>
      <w:lvlText w:val="%1."/>
      <w:numFmt w:val="decimal"/>
      <w:start w:val="10"/>
    </w:lvl>
  </w:abstractNum>
  <w:abstractNum w:abstractNumId="42">
    <w:nsid w:val="1D9F6E5F"/>
    <w:multiLevelType w:val="hybridMultilevel"/>
    <w:lvl w:ilvl="0">
      <w:lvlJc w:val="left"/>
      <w:lvlText w:val="%1."/>
      <w:numFmt w:val="decimal"/>
      <w:start w:val="1"/>
    </w:lvl>
    <w:lvl w:ilvl="1">
      <w:lvlJc w:val="left"/>
      <w:lvlText w:val="(%2)"/>
      <w:numFmt w:val="lowerLetter"/>
      <w:start w:val="1"/>
    </w:lvl>
  </w:abstractNum>
  <w:abstractNum w:abstractNumId="43">
    <w:nsid w:val="97E1B4E"/>
    <w:multiLevelType w:val="hybridMultilevel"/>
    <w:lvl w:ilvl="0">
      <w:lvlJc w:val="left"/>
      <w:lvlText w:val="%1"/>
      <w:numFmt w:val="decimal"/>
      <w:start w:val="1"/>
    </w:lvl>
    <w:lvl w:ilvl="1">
      <w:lvlJc w:val="left"/>
      <w:lvlText w:val="(%2)"/>
      <w:numFmt w:val="lowerLetter"/>
      <w:start w:val="5"/>
    </w:lvl>
  </w:abstractNum>
  <w:abstractNum w:abstractNumId="44">
    <w:nsid w:val="51088277"/>
    <w:multiLevelType w:val="hybridMultilevel"/>
    <w:lvl w:ilvl="0">
      <w:lvlJc w:val="left"/>
      <w:lvlText w:val="%1."/>
      <w:numFmt w:val="decimal"/>
      <w:start w:val="2"/>
    </w:lvl>
    <w:lvl w:ilvl="1">
      <w:lvlJc w:val="left"/>
      <w:lvlText w:val="(%2)"/>
      <w:numFmt w:val="lowerLetter"/>
      <w:start w:val="1"/>
    </w:lvl>
  </w:abstractNum>
  <w:abstractNum w:abstractNumId="45">
    <w:nsid w:val="1CA0C5FA"/>
    <w:multiLevelType w:val="hybridMultilevel"/>
    <w:lvl w:ilvl="0">
      <w:lvlJc w:val="left"/>
      <w:lvlText w:val="%1"/>
      <w:numFmt w:val="decimal"/>
      <w:start w:val="1"/>
    </w:lvl>
    <w:lvl w:ilvl="1">
      <w:lvlJc w:val="left"/>
      <w:lvlText w:val="(%2)"/>
      <w:numFmt w:val="lowerLetter"/>
      <w:start w:val="2"/>
    </w:lvl>
  </w:abstractNum>
  <w:abstractNum w:abstractNumId="46">
    <w:nsid w:val="53584BCB"/>
    <w:multiLevelType w:val="hybridMultilevel"/>
    <w:lvl w:ilvl="0">
      <w:lvlJc w:val="left"/>
      <w:lvlText w:val="%1."/>
      <w:numFmt w:val="decimal"/>
      <w:start w:val="4"/>
    </w:lvl>
    <w:lvl w:ilvl="1">
      <w:lvlJc w:val="left"/>
      <w:lvlText w:val="(%2)"/>
      <w:numFmt w:val="lowerLetter"/>
      <w:start w:val="1"/>
    </w:lvl>
  </w:abstractNum>
  <w:abstractNum w:abstractNumId="47">
    <w:nsid w:val="415E286C"/>
    <w:multiLevelType w:val="hybridMultilevel"/>
    <w:lvl w:ilvl="0">
      <w:lvlJc w:val="left"/>
      <w:lvlText w:val="%1"/>
      <w:numFmt w:val="decimal"/>
      <w:start w:val="1"/>
    </w:lvl>
    <w:lvl w:ilvl="1">
      <w:lvlJc w:val="left"/>
      <w:lvlText w:val="(%2)"/>
      <w:numFmt w:val="lowerLetter"/>
      <w:start w:val="6"/>
    </w:lvl>
  </w:abstractNum>
  <w:abstractNum w:abstractNumId="48">
    <w:nsid w:val="7C58FD05"/>
    <w:multiLevelType w:val="hybridMultilevel"/>
    <w:lvl w:ilvl="0">
      <w:lvlJc w:val="left"/>
      <w:lvlText w:val="%1."/>
      <w:numFmt w:val="decimal"/>
      <w:start w:val="5"/>
    </w:lvl>
    <w:lvl w:ilvl="1">
      <w:lvlJc w:val="left"/>
      <w:lvlText w:val="(%2)"/>
      <w:numFmt w:val="lowerLetter"/>
      <w:start w:val="1"/>
    </w:lvl>
  </w:abstractNum>
  <w:abstractNum w:abstractNumId="49">
    <w:nsid w:val="23D86AAC"/>
    <w:multiLevelType w:val="hybridMultilevel"/>
    <w:lvl w:ilvl="0">
      <w:lvlJc w:val="left"/>
      <w:lvlText w:val="%1."/>
      <w:numFmt w:val="decimal"/>
      <w:start w:val="7"/>
    </w:lvl>
    <w:lvl w:ilvl="1">
      <w:lvlJc w:val="left"/>
      <w:lvlText w:val="(%2)"/>
      <w:numFmt w:val="lowerLetter"/>
      <w:start w:val="1"/>
    </w:lvl>
  </w:abstractNum>
  <w:abstractNum w:abstractNumId="50">
    <w:nsid w:val="45E6D486"/>
    <w:multiLevelType w:val="hybridMultilevel"/>
    <w:lvl w:ilvl="0">
      <w:lvlJc w:val="left"/>
      <w:lvlText w:val="(%1)"/>
      <w:numFmt w:val="lowerLetter"/>
      <w:start w:val="6"/>
    </w:lvl>
  </w:abstractNum>
  <w:abstractNum w:abstractNumId="51">
    <w:nsid w:val="5C10FE21"/>
    <w:multiLevelType w:val="hybridMultilevel"/>
    <w:lvl w:ilvl="0">
      <w:lvlJc w:val="left"/>
      <w:lvlText w:val="%1."/>
      <w:numFmt w:val="decimal"/>
      <w:start w:val="1"/>
    </w:lvl>
  </w:abstractNum>
  <w:abstractNum w:abstractNumId="52">
    <w:nsid w:val="E7FFA2B"/>
    <w:multiLevelType w:val="hybridMultilevel"/>
    <w:lvl w:ilvl="0">
      <w:lvlJc w:val="left"/>
      <w:lvlText w:val="%1."/>
      <w:numFmt w:val="decimal"/>
      <w:start w:val="4"/>
    </w:lvl>
  </w:abstractNum>
  <w:abstractNum w:abstractNumId="53">
    <w:nsid w:val="3C5991AA"/>
    <w:multiLevelType w:val="hybridMultilevel"/>
    <w:lvl w:ilvl="0">
      <w:lvlJc w:val="left"/>
      <w:lvlText w:val="(%1)"/>
      <w:numFmt w:val="lowerRoman"/>
      <w:start w:val="7"/>
    </w:lvl>
  </w:abstractNum>
  <w:abstractNum w:abstractNumId="54">
    <w:nsid w:val="4BD8591A"/>
    <w:multiLevelType w:val="hybridMultilevel"/>
    <w:lvl w:ilvl="0">
      <w:lvlJc w:val="left"/>
      <w:lvlText w:val="%1."/>
      <w:numFmt w:val="decimal"/>
      <w:start w:val="5"/>
    </w:lvl>
  </w:abstractNum>
  <w:abstractNum w:abstractNumId="55">
    <w:nsid w:val="78DF6A55"/>
    <w:multiLevelType w:val="hybridMultilevel"/>
    <w:lvl w:ilvl="0">
      <w:lvlJc w:val="left"/>
      <w:lvlText w:val="%1."/>
      <w:numFmt w:val="decimal"/>
      <w:start w:val="6"/>
    </w:lvl>
  </w:abstractNum>
  <w:abstractNum w:abstractNumId="56">
    <w:nsid w:val="39B7AAA2"/>
    <w:multiLevelType w:val="hybridMultilevel"/>
    <w:lvl w:ilvl="0">
      <w:lvlJc w:val="left"/>
      <w:lvlText w:val="%1."/>
      <w:numFmt w:val="decimal"/>
      <w:start w:val="2"/>
    </w:lvl>
  </w:abstractNum>
  <w:abstractNum w:abstractNumId="57">
    <w:nsid w:val="2B0D8DBE"/>
    <w:multiLevelType w:val="hybridMultilevel"/>
    <w:lvl w:ilvl="0">
      <w:lvlJc w:val="left"/>
      <w:lvlText w:val="(%1)"/>
      <w:numFmt w:val="decimal"/>
      <w:start w:val="10"/>
    </w:lvl>
  </w:abstractNum>
  <w:abstractNum w:abstractNumId="58">
    <w:nsid w:val="6C80EC70"/>
    <w:multiLevelType w:val="hybridMultilevel"/>
    <w:lvl w:ilvl="0">
      <w:lvlJc w:val="left"/>
      <w:lvlText w:val="%1)"/>
      <w:numFmt w:val="lowerLetter"/>
      <w:start w:val="1"/>
    </w:lvl>
  </w:abstractNum>
  <w:abstractNum w:abstractNumId="59">
    <w:nsid w:val="379E21B5"/>
    <w:multiLevelType w:val="hybridMultilevel"/>
    <w:lvl w:ilvl="0">
      <w:lvlJc w:val="left"/>
      <w:lvlText w:val="%1)"/>
      <w:numFmt w:val="lowerLetter"/>
      <w:start w:val="2"/>
    </w:lvl>
  </w:abstractNum>
  <w:abstractNum w:abstractNumId="60">
    <w:nsid w:val="69E373"/>
    <w:multiLevelType w:val="hybridMultilevel"/>
    <w:lvl w:ilvl="0">
      <w:lvlJc w:val="left"/>
      <w:lvlText w:val="%1."/>
      <w:numFmt w:val="decimal"/>
      <w:start w:val="3"/>
    </w:lvl>
  </w:abstractNum>
  <w:abstractNum w:abstractNumId="61">
    <w:nsid w:val="2C27173B"/>
    <w:multiLevelType w:val="hybridMultilevel"/>
    <w:lvl w:ilvl="0">
      <w:lvlJc w:val="left"/>
      <w:lvlText w:val="%1."/>
      <w:numFmt w:val="decimal"/>
      <w:start w:val="4"/>
    </w:lvl>
  </w:abstractNum>
  <w:abstractNum w:abstractNumId="62">
    <w:nsid w:val="4C9B0904"/>
    <w:multiLevelType w:val="hybridMultilevel"/>
    <w:lvl w:ilvl="0">
      <w:lvlJc w:val="left"/>
      <w:lvlText w:val="%1."/>
      <w:numFmt w:val="decimal"/>
      <w:start w:val="5"/>
    </w:lvl>
  </w:abstractNum>
  <w:abstractNum w:abstractNumId="63">
    <w:nsid w:val="6AA7B75C"/>
    <w:multiLevelType w:val="hybridMultilevel"/>
    <w:lvl w:ilvl="0">
      <w:lvlJc w:val="left"/>
      <w:lvlText w:val="%1."/>
      <w:numFmt w:val="decimal"/>
      <w:start w:val="6"/>
    </w:lvl>
  </w:abstractNum>
  <w:abstractNum w:abstractNumId="64">
    <w:nsid w:val="1DF029D3"/>
    <w:multiLevelType w:val="hybridMultilevel"/>
    <w:lvl w:ilvl="0">
      <w:lvlJc w:val="left"/>
      <w:lvlText w:val="%1."/>
      <w:numFmt w:val="decimal"/>
      <w:start w:val="1"/>
    </w:lvl>
  </w:abstractNum>
  <w:abstractNum w:abstractNumId="65">
    <w:nsid w:val="5675FF3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6">
    <w:nsid w:val="3DD15094"/>
    <w:multiLevelType w:val="hybridMultilevel"/>
    <w:lvl w:ilvl="0">
      <w:lvlJc w:val="left"/>
      <w:lvlText w:val="(%1)"/>
      <w:numFmt w:val="lowerLetter"/>
      <w:start w:val="6"/>
    </w:lvl>
  </w:abstractNum>
  <w:abstractNum w:abstractNumId="67">
    <w:nsid w:val="3DB012B3"/>
    <w:multiLevelType w:val="hybridMultilevel"/>
    <w:lvl w:ilvl="0">
      <w:lvlJc w:val="left"/>
      <w:lvlText w:val="(%1)"/>
      <w:numFmt w:val="lowerLetter"/>
      <w:start w:val="35"/>
    </w:lvl>
  </w:abstractNum>
  <w:abstractNum w:abstractNumId="68">
    <w:nsid w:val="2708C9AF"/>
    <w:multiLevelType w:val="hybridMultilevel"/>
    <w:lvl w:ilvl="0">
      <w:lvlJc w:val="left"/>
      <w:lvlText w:val="(%1)"/>
      <w:numFmt w:val="lowerLetter"/>
      <w:start w:val="12"/>
    </w:lvl>
  </w:abstractNum>
  <w:abstractNum w:abstractNumId="69">
    <w:nsid w:val="5B25ACE2"/>
    <w:multiLevelType w:val="hybridMultilevel"/>
    <w:lvl w:ilvl="0">
      <w:lvlJc w:val="left"/>
      <w:lvlText w:val="%1."/>
      <w:numFmt w:val="decimal"/>
      <w:start w:val="3"/>
    </w:lvl>
  </w:abstractNum>
  <w:abstractNum w:abstractNumId="70">
    <w:nsid w:val="175DFCF0"/>
    <w:multiLevelType w:val="hybridMultilevel"/>
    <w:lvl w:ilvl="0">
      <w:lvlJc w:val="left"/>
      <w:lvlText w:val="%1."/>
      <w:numFmt w:val="decimal"/>
      <w:start w:val="8"/>
    </w:lvl>
    <w:lvl w:ilvl="1">
      <w:lvlJc w:val="left"/>
      <w:lvlText w:val="(%2)"/>
      <w:numFmt w:val="lowerLetter"/>
      <w:start w:val="1"/>
    </w:lvl>
  </w:abstractNum>
  <w:abstractNum w:abstractNumId="71">
    <w:nsid w:val="4F97E3E4"/>
    <w:multiLevelType w:val="hybridMultilevel"/>
    <w:lvl w:ilvl="0">
      <w:lvlJc w:val="left"/>
      <w:lvlText w:val="%1."/>
      <w:numFmt w:val="decimal"/>
      <w:start w:val="11"/>
    </w:lvl>
    <w:lvl w:ilvl="1">
      <w:lvlJc w:val="left"/>
      <w:lvlText w:val="(%2)"/>
      <w:numFmt w:val="lowerLetter"/>
      <w:start w:val="1"/>
    </w:lvl>
  </w:abstractNum>
  <w:abstractNum w:abstractNumId="72">
    <w:nsid w:val="53B0A9E"/>
    <w:multiLevelType w:val="hybridMultilevel"/>
    <w:lvl w:ilvl="0">
      <w:lvlJc w:val="left"/>
      <w:lvlText w:val="%1."/>
      <w:numFmt w:val="decimal"/>
      <w:start w:val="13"/>
    </w:lvl>
    <w:lvl w:ilvl="1">
      <w:lvlJc w:val="left"/>
      <w:lvlText w:val="(%2)"/>
      <w:numFmt w:val="lowerLetter"/>
      <w:start w:val="1"/>
    </w:lvl>
  </w:abstractNum>
  <w:abstractNum w:abstractNumId="73">
    <w:nsid w:val="34FD6B4F"/>
    <w:multiLevelType w:val="hybridMultilevel"/>
    <w:lvl w:ilvl="0">
      <w:lvlJc w:val="left"/>
      <w:lvlText w:val="%1"/>
      <w:numFmt w:val="decimal"/>
      <w:start w:val="1"/>
    </w:lvl>
    <w:lvl w:ilvl="1">
      <w:lvlJc w:val="left"/>
      <w:lvlText w:val="(%2)"/>
      <w:numFmt w:val="lowerLetter"/>
      <w:start w:val="2"/>
    </w:lvl>
  </w:abstractNum>
  <w:abstractNum w:abstractNumId="74">
    <w:nsid w:val="5915FF32"/>
    <w:multiLevelType w:val="hybridMultilevel"/>
    <w:lvl w:ilvl="0">
      <w:lvlJc w:val="left"/>
      <w:lvlText w:val="%1."/>
      <w:numFmt w:val="decimal"/>
      <w:start w:val="15"/>
    </w:lvl>
    <w:lvl w:ilvl="1">
      <w:lvlJc w:val="left"/>
      <w:lvlText w:val="(%2)"/>
      <w:numFmt w:val="lowerLetter"/>
      <w:start w:val="1"/>
    </w:lvl>
  </w:abstractNum>
  <w:abstractNum w:abstractNumId="75">
    <w:nsid w:val="56438D15"/>
    <w:multiLevelType w:val="hybridMultilevel"/>
    <w:lvl w:ilvl="0">
      <w:lvlJc w:val="left"/>
      <w:lvlText w:val="%1"/>
      <w:numFmt w:val="decimal"/>
      <w:start w:val="1"/>
    </w:lvl>
    <w:lvl w:ilvl="1">
      <w:lvlJc w:val="left"/>
      <w:lvlText w:val="(%2)"/>
      <w:numFmt w:val="lowerLetter"/>
      <w:start w:val="2"/>
    </w:lvl>
  </w:abstractNum>
  <w:abstractNum w:abstractNumId="76">
    <w:nsid w:val="519E3149"/>
    <w:multiLevelType w:val="hybridMultilevel"/>
    <w:lvl w:ilvl="0">
      <w:lvlJc w:val="left"/>
      <w:lvlText w:val="%1."/>
      <w:numFmt w:val="decimal"/>
      <w:start w:val="17"/>
    </w:lvl>
    <w:lvl w:ilvl="1">
      <w:lvlJc w:val="left"/>
      <w:lvlText w:val="%2"/>
      <w:numFmt w:val="lowerLetter"/>
      <w:start w:val="1"/>
    </w:lvl>
  </w:abstractNum>
  <w:abstractNum w:abstractNumId="77">
    <w:nsid w:val="2C6E4AFD"/>
    <w:multiLevelType w:val="hybridMultilevel"/>
    <w:lvl w:ilvl="0">
      <w:lvlJc w:val="left"/>
      <w:lvlText w:val="%1."/>
      <w:numFmt w:val="decimal"/>
      <w:start w:val="19"/>
    </w:lvl>
    <w:lvl w:ilvl="1">
      <w:lvlJc w:val="left"/>
      <w:lvlText w:val="(%2)"/>
      <w:numFmt w:val="lowerLetter"/>
      <w:start w:val="1"/>
    </w:lvl>
  </w:abstractNum>
  <w:abstractNum w:abstractNumId="78">
    <w:nsid w:val="17A1B582"/>
    <w:multiLevelType w:val="hybridMultilevel"/>
    <w:lvl w:ilvl="0">
      <w:lvlJc w:val="left"/>
      <w:lvlText w:val="%1."/>
      <w:numFmt w:val="decimal"/>
      <w:start w:val="22"/>
    </w:lvl>
  </w:abstractNum>
  <w:abstractNum w:abstractNumId="79">
    <w:nsid w:val="4DF72E4E"/>
    <w:multiLevelType w:val="hybridMultilevel"/>
    <w:lvl w:ilvl="0">
      <w:lvlJc w:val="left"/>
      <w:lvlText w:val="%1."/>
      <w:numFmt w:val="decimal"/>
      <w:start w:val="1"/>
    </w:lvl>
  </w:abstractNum>
  <w:abstractNum w:abstractNumId="80">
    <w:nsid w:val="5046B5A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1">
    <w:nsid w:val="5D888A08"/>
    <w:multiLevelType w:val="hybridMultilevel"/>
    <w:lvl w:ilvl="0">
      <w:lvlJc w:val="left"/>
      <w:lvlText w:val="(%1)"/>
      <w:numFmt w:val="lowerLetter"/>
      <w:start w:val="6"/>
    </w:lvl>
  </w:abstractNum>
  <w:abstractNum w:abstractNumId="82">
    <w:nsid w:val="2A082C70"/>
    <w:multiLevelType w:val="hybridMultilevel"/>
    <w:lvl w:ilvl="0">
      <w:lvlJc w:val="left"/>
      <w:lvlText w:val="(%1)"/>
      <w:numFmt w:val="lowerLetter"/>
      <w:start w:val="35"/>
    </w:lvl>
  </w:abstractNum>
  <w:abstractNum w:abstractNumId="83">
    <w:nsid w:val="5EC6AFD4"/>
    <w:multiLevelType w:val="hybridMultilevel"/>
    <w:lvl w:ilvl="0">
      <w:lvlJc w:val="left"/>
      <w:lvlText w:val="(%1)"/>
      <w:numFmt w:val="lowerLetter"/>
      <w:start w:val="12"/>
    </w:lvl>
  </w:abstractNum>
  <w:abstractNum w:abstractNumId="84">
    <w:nsid w:val="19E21BB2"/>
    <w:multiLevelType w:val="hybridMultilevel"/>
    <w:lvl w:ilvl="0">
      <w:lvlJc w:val="left"/>
      <w:lvlText w:val="%1."/>
      <w:numFmt w:val="decimal"/>
      <w:start w:val="3"/>
    </w:lvl>
  </w:abstractNum>
  <w:abstractNum w:abstractNumId="85">
    <w:nsid w:val="75E0858A"/>
    <w:multiLevelType w:val="hybridMultilevel"/>
    <w:lvl w:ilvl="0">
      <w:lvlJc w:val="left"/>
      <w:lvlText w:val="%1."/>
      <w:numFmt w:val="decimal"/>
      <w:start w:val="8"/>
    </w:lvl>
    <w:lvl w:ilvl="1">
      <w:lvlJc w:val="left"/>
      <w:lvlText w:val="(%2)"/>
      <w:numFmt w:val="lowerLetter"/>
      <w:start w:val="1"/>
    </w:lvl>
  </w:abstractNum>
  <w:abstractNum w:abstractNumId="86">
    <w:nsid w:val="57A61A29"/>
    <w:multiLevelType w:val="hybridMultilevel"/>
    <w:lvl w:ilvl="0">
      <w:lvlJc w:val="left"/>
      <w:lvlText w:val="%1."/>
      <w:numFmt w:val="decimal"/>
      <w:start w:val="11"/>
    </w:lvl>
    <w:lvl w:ilvl="1">
      <w:lvlJc w:val="left"/>
      <w:lvlText w:val="(%2)"/>
      <w:numFmt w:val="lowerLetter"/>
      <w:start w:val="1"/>
    </w:lvl>
  </w:abstractNum>
  <w:abstractNum w:abstractNumId="87">
    <w:nsid w:val="5399C654"/>
    <w:multiLevelType w:val="hybridMultilevel"/>
    <w:lvl w:ilvl="0">
      <w:lvlJc w:val="left"/>
      <w:lvlText w:val="%1."/>
      <w:numFmt w:val="decimal"/>
      <w:start w:val="13"/>
    </w:lvl>
    <w:lvl w:ilvl="1">
      <w:lvlJc w:val="left"/>
      <w:lvlText w:val="(%2)"/>
      <w:numFmt w:val="lowerLetter"/>
      <w:start w:val="1"/>
    </w:lvl>
  </w:abstractNum>
  <w:abstractNum w:abstractNumId="88">
    <w:nsid w:val="20EE1348"/>
    <w:multiLevelType w:val="hybridMultilevel"/>
    <w:lvl w:ilvl="0">
      <w:lvlJc w:val="left"/>
      <w:lvlText w:val="%1"/>
      <w:numFmt w:val="decimal"/>
      <w:start w:val="1"/>
    </w:lvl>
    <w:lvl w:ilvl="1">
      <w:lvlJc w:val="left"/>
      <w:lvlText w:val="(%2)"/>
      <w:numFmt w:val="lowerLetter"/>
      <w:start w:val="2"/>
    </w:lvl>
  </w:abstractNum>
  <w:abstractNum w:abstractNumId="89">
    <w:nsid w:val="4427069A"/>
    <w:multiLevelType w:val="hybridMultilevel"/>
    <w:lvl w:ilvl="0">
      <w:lvlJc w:val="left"/>
      <w:lvlText w:val="%1."/>
      <w:numFmt w:val="decimal"/>
      <w:start w:val="15"/>
    </w:lvl>
    <w:lvl w:ilvl="1">
      <w:lvlJc w:val="left"/>
      <w:lvlText w:val="(%2)"/>
      <w:numFmt w:val="lowerLetter"/>
      <w:start w:val="1"/>
    </w:lvl>
  </w:abstractNum>
  <w:abstractNum w:abstractNumId="90">
    <w:nsid w:val="B37E80A"/>
    <w:multiLevelType w:val="hybridMultilevel"/>
    <w:lvl w:ilvl="0">
      <w:lvlJc w:val="left"/>
      <w:lvlText w:val="%1"/>
      <w:numFmt w:val="decimal"/>
      <w:start w:val="1"/>
    </w:lvl>
    <w:lvl w:ilvl="1">
      <w:lvlJc w:val="left"/>
      <w:lvlText w:val="(%2)"/>
      <w:numFmt w:val="lowerLetter"/>
      <w:start w:val="2"/>
    </w:lvl>
  </w:abstractNum>
  <w:abstractNum w:abstractNumId="91">
    <w:nsid w:val="2157F6BC"/>
    <w:multiLevelType w:val="hybridMultilevel"/>
    <w:lvl w:ilvl="0">
      <w:lvlJc w:val="left"/>
      <w:lvlText w:val="%1."/>
      <w:numFmt w:val="decimal"/>
      <w:start w:val="17"/>
    </w:lvl>
    <w:lvl w:ilvl="1">
      <w:lvlJc w:val="left"/>
      <w:lvlText w:val="%2"/>
      <w:numFmt w:val="lowerLetter"/>
      <w:start w:val="1"/>
    </w:lvl>
  </w:abstractNum>
  <w:abstractNum w:abstractNumId="92">
    <w:nsid w:val="704E1DD5"/>
    <w:multiLevelType w:val="hybridMultilevel"/>
    <w:lvl w:ilvl="0">
      <w:lvlJc w:val="left"/>
      <w:lvlText w:val="%1."/>
      <w:numFmt w:val="decimal"/>
      <w:start w:val="19"/>
    </w:lvl>
    <w:lvl w:ilvl="1">
      <w:lvlJc w:val="left"/>
      <w:lvlText w:val="(%2)"/>
      <w:numFmt w:val="lowerLetter"/>
      <w:start w:val="1"/>
    </w:lvl>
  </w:abstractNum>
  <w:abstractNum w:abstractNumId="93">
    <w:nsid w:val="57D2F10E"/>
    <w:multiLevelType w:val="hybridMultilevel"/>
    <w:lvl w:ilvl="0">
      <w:lvlJc w:val="left"/>
      <w:lvlText w:val="%1."/>
      <w:numFmt w:val="decimal"/>
      <w:start w:val="22"/>
    </w:lvl>
  </w:abstractNum>
  <w:abstractNum w:abstractNumId="94">
    <w:nsid w:val="BFFAE18"/>
    <w:multiLevelType w:val="hybridMultilevel"/>
    <w:lvl w:ilvl="0">
      <w:lvlJc w:val="left"/>
      <w:lvlText w:val="%1."/>
      <w:numFmt w:val="decimal"/>
      <w:start w:val="1"/>
    </w:lvl>
  </w:abstractNum>
  <w:abstractNum w:abstractNumId="95">
    <w:nsid w:val="E3E47A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6">
    <w:nsid w:val="2E48F044"/>
    <w:multiLevelType w:val="hybridMultilevel"/>
    <w:lvl w:ilvl="0">
      <w:lvlJc w:val="left"/>
      <w:lvlText w:val="(%1)"/>
      <w:numFmt w:val="lowerLetter"/>
      <w:start w:val="6"/>
    </w:lvl>
  </w:abstractNum>
  <w:abstractNum w:abstractNumId="97">
    <w:nsid w:val="49D0FEAC"/>
    <w:multiLevelType w:val="hybridMultilevel"/>
    <w:lvl w:ilvl="0">
      <w:lvlJc w:val="left"/>
      <w:lvlText w:val="(%1)"/>
      <w:numFmt w:val="lowerLetter"/>
      <w:start w:val="35"/>
    </w:lvl>
  </w:abstractNum>
  <w:abstractNum w:abstractNumId="98">
    <w:nsid w:val="4BEE5A5B"/>
    <w:multiLevelType w:val="hybridMultilevel"/>
    <w:lvl w:ilvl="0">
      <w:lvlJc w:val="left"/>
      <w:lvlText w:val="(%1)"/>
      <w:numFmt w:val="lowerLetter"/>
      <w:start w:val="12"/>
    </w:lvl>
  </w:abstractNum>
  <w:abstractNum w:abstractNumId="99">
    <w:nsid w:val="5551B9F3"/>
    <w:multiLevelType w:val="hybridMultilevel"/>
    <w:lvl w:ilvl="0">
      <w:lvlJc w:val="left"/>
      <w:lvlText w:val="%1."/>
      <w:numFmt w:val="decimal"/>
      <w:start w:val="3"/>
    </w:lvl>
  </w:abstractNum>
  <w:abstractNum w:abstractNumId="100">
    <w:nsid w:val="24F6AB8E"/>
    <w:multiLevelType w:val="hybridMultilevel"/>
    <w:lvl w:ilvl="0">
      <w:lvlJc w:val="left"/>
      <w:lvlText w:val="%1."/>
      <w:numFmt w:val="decimal"/>
      <w:start w:val="8"/>
    </w:lvl>
    <w:lvl w:ilvl="1">
      <w:lvlJc w:val="left"/>
      <w:lvlText w:val="(%2)"/>
      <w:numFmt w:val="lowerLetter"/>
      <w:start w:val="1"/>
    </w:lvl>
  </w:abstractNum>
  <w:abstractNum w:abstractNumId="101">
    <w:nsid w:val="634C574C"/>
    <w:multiLevelType w:val="hybridMultilevel"/>
    <w:lvl w:ilvl="0">
      <w:lvlJc w:val="left"/>
      <w:lvlText w:val="%1."/>
      <w:numFmt w:val="decimal"/>
      <w:start w:val="11"/>
    </w:lvl>
    <w:lvl w:ilvl="1">
      <w:lvlJc w:val="left"/>
      <w:lvlText w:val="(%2)"/>
      <w:numFmt w:val="lowerLetter"/>
      <w:start w:val="1"/>
    </w:lvl>
  </w:abstractNum>
  <w:abstractNum w:abstractNumId="102">
    <w:nsid w:val="24E99DD7"/>
    <w:multiLevelType w:val="hybridMultilevel"/>
    <w:lvl w:ilvl="0">
      <w:lvlJc w:val="left"/>
      <w:lvlText w:val="%1."/>
      <w:numFmt w:val="decimal"/>
      <w:start w:val="13"/>
    </w:lvl>
    <w:lvl w:ilvl="1">
      <w:lvlJc w:val="left"/>
      <w:lvlText w:val="(%2)"/>
      <w:numFmt w:val="lowerLetter"/>
      <w:start w:val="1"/>
    </w:lvl>
  </w:abstractNum>
  <w:abstractNum w:abstractNumId="103">
    <w:nsid w:val="2A31B62D"/>
    <w:multiLevelType w:val="hybridMultilevel"/>
    <w:lvl w:ilvl="0">
      <w:lvlJc w:val="left"/>
      <w:lvlText w:val="%1"/>
      <w:numFmt w:val="decimal"/>
      <w:start w:val="1"/>
    </w:lvl>
    <w:lvl w:ilvl="1">
      <w:lvlJc w:val="left"/>
      <w:lvlText w:val="(%2)"/>
      <w:numFmt w:val="lowerLetter"/>
      <w:start w:val="2"/>
    </w:lvl>
  </w:abstractNum>
  <w:abstractNum w:abstractNumId="104">
    <w:nsid w:val="1849C29B"/>
    <w:multiLevelType w:val="hybridMultilevel"/>
    <w:lvl w:ilvl="0">
      <w:lvlJc w:val="left"/>
      <w:lvlText w:val="%1."/>
      <w:numFmt w:val="decimal"/>
      <w:start w:val="15"/>
    </w:lvl>
    <w:lvl w:ilvl="1">
      <w:lvlJc w:val="left"/>
      <w:lvlText w:val="(%2)"/>
      <w:numFmt w:val="lowerLetter"/>
      <w:start w:val="1"/>
    </w:lvl>
  </w:abstractNum>
  <w:abstractNum w:abstractNumId="105">
    <w:nsid w:val="7DFF9D09"/>
    <w:multiLevelType w:val="hybridMultilevel"/>
    <w:lvl w:ilvl="0">
      <w:lvlJc w:val="left"/>
      <w:lvlText w:val="%1"/>
      <w:numFmt w:val="decimal"/>
      <w:start w:val="1"/>
    </w:lvl>
    <w:lvl w:ilvl="1">
      <w:lvlJc w:val="left"/>
      <w:lvlText w:val="(%2)"/>
      <w:numFmt w:val="lowerLetter"/>
      <w:start w:val="2"/>
    </w:lvl>
  </w:abstractNum>
  <w:abstractNum w:abstractNumId="106">
    <w:nsid w:val="754342"/>
    <w:multiLevelType w:val="hybridMultilevel"/>
    <w:lvl w:ilvl="0">
      <w:lvlJc w:val="left"/>
      <w:lvlText w:val="%1."/>
      <w:numFmt w:val="decimal"/>
      <w:start w:val="17"/>
    </w:lvl>
    <w:lvl w:ilvl="1">
      <w:lvlJc w:val="left"/>
      <w:lvlText w:val="%2"/>
      <w:numFmt w:val="lowerLetter"/>
      <w:start w:val="1"/>
    </w:lvl>
  </w:abstractNum>
  <w:abstractNum w:abstractNumId="107">
    <w:nsid w:val="69E7F3E5"/>
    <w:multiLevelType w:val="hybridMultilevel"/>
    <w:lvl w:ilvl="0">
      <w:lvlJc w:val="left"/>
      <w:lvlText w:val="%1."/>
      <w:numFmt w:val="decimal"/>
      <w:start w:val="19"/>
    </w:lvl>
    <w:lvl w:ilvl="1">
      <w:lvlJc w:val="left"/>
      <w:lvlText w:val="(%2)"/>
      <w:numFmt w:val="lowerLetter"/>
      <w:start w:val="1"/>
    </w:lvl>
  </w:abstractNum>
  <w:abstractNum w:abstractNumId="108">
    <w:nsid w:val="2A6DE806"/>
    <w:multiLevelType w:val="hybridMultilevel"/>
    <w:lvl w:ilvl="0">
      <w:lvlJc w:val="left"/>
      <w:lvlText w:val="%1."/>
      <w:numFmt w:val="decimal"/>
      <w:start w:val="22"/>
    </w:lvl>
  </w:abstractNum>
  <w:abstractNum w:abstractNumId="109">
    <w:nsid w:val="1816F8C4"/>
    <w:multiLevelType w:val="hybridMultilevel"/>
    <w:lvl w:ilvl="0">
      <w:lvlJc w:val="left"/>
      <w:lvlText w:val="%1."/>
      <w:numFmt w:val="decimal"/>
      <w:start w:val="1"/>
    </w:lvl>
  </w:abstractNum>
  <w:abstractNum w:abstractNumId="110">
    <w:nsid w:val="37DF223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1">
    <w:nsid w:val="7AB49DAF"/>
    <w:multiLevelType w:val="hybridMultilevel"/>
    <w:lvl w:ilvl="0">
      <w:lvlJc w:val="left"/>
      <w:lvlText w:val="(%1)"/>
      <w:numFmt w:val="lowerLetter"/>
      <w:start w:val="6"/>
    </w:lvl>
  </w:abstractNum>
  <w:abstractNum w:abstractNumId="112">
    <w:nsid w:val="759F82CD"/>
    <w:multiLevelType w:val="hybridMultilevel"/>
    <w:lvl w:ilvl="0">
      <w:lvlJc w:val="left"/>
      <w:lvlText w:val="(%1)"/>
      <w:numFmt w:val="lowerLetter"/>
      <w:start w:val="35"/>
    </w:lvl>
  </w:abstractNum>
  <w:abstractNum w:abstractNumId="113">
    <w:nsid w:val="61E74EA3"/>
    <w:multiLevelType w:val="hybridMultilevel"/>
    <w:lvl w:ilvl="0">
      <w:lvlJc w:val="left"/>
      <w:lvlText w:val="(%1)"/>
      <w:numFmt w:val="lowerLetter"/>
      <w:start w:val="12"/>
    </w:lvl>
  </w:abstractNum>
  <w:abstractNum w:abstractNumId="114">
    <w:nsid w:val="597B4D84"/>
    <w:multiLevelType w:val="hybridMultilevel"/>
    <w:lvl w:ilvl="0">
      <w:lvlJc w:val="left"/>
      <w:lvlText w:val="%1."/>
      <w:numFmt w:val="decimal"/>
      <w:start w:val="3"/>
    </w:lvl>
  </w:abstractNum>
  <w:abstractNum w:abstractNumId="115">
    <w:nsid w:val="F819E7F"/>
    <w:multiLevelType w:val="hybridMultilevel"/>
    <w:lvl w:ilvl="0">
      <w:lvlJc w:val="left"/>
      <w:lvlText w:val="%1."/>
      <w:numFmt w:val="decimal"/>
      <w:start w:val="8"/>
    </w:lvl>
    <w:lvl w:ilvl="1">
      <w:lvlJc w:val="left"/>
      <w:lvlText w:val="(%2)"/>
      <w:numFmt w:val="lowerLetter"/>
      <w:start w:val="1"/>
    </w:lvl>
  </w:abstractNum>
  <w:abstractNum w:abstractNumId="116">
    <w:nsid w:val="57C7D42D"/>
    <w:multiLevelType w:val="hybridMultilevel"/>
    <w:lvl w:ilvl="0">
      <w:lvlJc w:val="left"/>
      <w:lvlText w:val="%1."/>
      <w:numFmt w:val="decimal"/>
      <w:start w:val="11"/>
    </w:lvl>
    <w:lvl w:ilvl="1">
      <w:lvlJc w:val="left"/>
      <w:lvlText w:val="(%2)"/>
      <w:numFmt w:val="lowerLetter"/>
      <w:start w:val="1"/>
    </w:lvl>
  </w:abstractNum>
  <w:abstractNum w:abstractNumId="117">
    <w:nsid w:val="312167AD"/>
    <w:multiLevelType w:val="hybridMultilevel"/>
    <w:lvl w:ilvl="0">
      <w:lvlJc w:val="left"/>
      <w:lvlText w:val="%1."/>
      <w:numFmt w:val="decimal"/>
      <w:start w:val="13"/>
    </w:lvl>
    <w:lvl w:ilvl="1">
      <w:lvlJc w:val="left"/>
      <w:lvlText w:val="(%2)"/>
      <w:numFmt w:val="lowerLetter"/>
      <w:start w:val="1"/>
    </w:lvl>
  </w:abstractNum>
  <w:abstractNum w:abstractNumId="118">
    <w:nsid w:val="631B64D4"/>
    <w:multiLevelType w:val="hybridMultilevel"/>
    <w:lvl w:ilvl="0">
      <w:lvlJc w:val="left"/>
      <w:lvlText w:val="%1"/>
      <w:numFmt w:val="decimal"/>
      <w:start w:val="1"/>
    </w:lvl>
    <w:lvl w:ilvl="1">
      <w:lvlJc w:val="left"/>
      <w:lvlText w:val="(%2)"/>
      <w:numFmt w:val="lowerLetter"/>
      <w:start w:val="2"/>
    </w:lvl>
  </w:abstractNum>
  <w:abstractNum w:abstractNumId="119">
    <w:nsid w:val="78B5E776"/>
    <w:multiLevelType w:val="hybridMultilevel"/>
    <w:lvl w:ilvl="0">
      <w:lvlJc w:val="left"/>
      <w:lvlText w:val="%1."/>
      <w:numFmt w:val="decimal"/>
      <w:start w:val="15"/>
    </w:lvl>
    <w:lvl w:ilvl="1">
      <w:lvlJc w:val="left"/>
      <w:lvlText w:val="(%2)"/>
      <w:numFmt w:val="lowerLetter"/>
      <w:start w:val="1"/>
    </w:lvl>
  </w:abstractNum>
  <w:abstractNum w:abstractNumId="120">
    <w:nsid w:val="75486E47"/>
    <w:multiLevelType w:val="hybridMultilevel"/>
    <w:lvl w:ilvl="0">
      <w:lvlJc w:val="left"/>
      <w:lvlText w:val="%1"/>
      <w:numFmt w:val="decimal"/>
      <w:start w:val="1"/>
    </w:lvl>
    <w:lvl w:ilvl="1">
      <w:lvlJc w:val="left"/>
      <w:lvlText w:val="(%2)"/>
      <w:numFmt w:val="lowerLetter"/>
      <w:start w:val="2"/>
    </w:lvl>
  </w:abstractNum>
  <w:abstractNum w:abstractNumId="121">
    <w:nsid w:val="6E534CDE"/>
    <w:multiLevelType w:val="hybridMultilevel"/>
    <w:lvl w:ilvl="0">
      <w:lvlJc w:val="left"/>
      <w:lvlText w:val="%1."/>
      <w:numFmt w:val="decimal"/>
      <w:start w:val="17"/>
    </w:lvl>
    <w:lvl w:ilvl="1">
      <w:lvlJc w:val="left"/>
      <w:lvlText w:val="%2"/>
      <w:numFmt w:val="lowerLetter"/>
      <w:start w:val="1"/>
    </w:lvl>
  </w:abstractNum>
  <w:abstractNum w:abstractNumId="122">
    <w:nsid w:val="1A0DDE32"/>
    <w:multiLevelType w:val="hybridMultilevel"/>
    <w:lvl w:ilvl="0">
      <w:lvlJc w:val="left"/>
      <w:lvlText w:val="%1."/>
      <w:numFmt w:val="decimal"/>
      <w:start w:val="19"/>
    </w:lvl>
    <w:lvl w:ilvl="1">
      <w:lvlJc w:val="left"/>
      <w:lvlText w:val="(%2)"/>
      <w:numFmt w:val="lowerLetter"/>
      <w:start w:val="1"/>
    </w:lvl>
  </w:abstractNum>
  <w:abstractNum w:abstractNumId="123">
    <w:nsid w:val="65968C1C"/>
    <w:multiLevelType w:val="hybridMultilevel"/>
    <w:lvl w:ilvl="0">
      <w:lvlJc w:val="left"/>
      <w:lvlText w:val="%1."/>
      <w:numFmt w:val="decimal"/>
      <w:start w:val="22"/>
    </w:lvl>
  </w:abstractNum>
  <w:abstractNum w:abstractNumId="124">
    <w:nsid w:val="46263DEC"/>
    <w:multiLevelType w:val="hybridMultilevel"/>
    <w:lvl w:ilvl="0">
      <w:lvlJc w:val="left"/>
      <w:lvlText w:val="%1."/>
      <w:numFmt w:val="decimal"/>
      <w:start w:val="1"/>
    </w:lvl>
  </w:abstractNum>
  <w:abstractNum w:abstractNumId="125">
    <w:nsid w:val="260D8C4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6">
    <w:nsid w:val="73D4D3C4"/>
    <w:multiLevelType w:val="hybridMultilevel"/>
    <w:lvl w:ilvl="0">
      <w:lvlJc w:val="left"/>
      <w:lvlText w:val="(%1)"/>
      <w:numFmt w:val="lowerLetter"/>
      <w:start w:val="6"/>
    </w:lvl>
  </w:abstractNum>
  <w:abstractNum w:abstractNumId="127">
    <w:nsid w:val="746F2E30"/>
    <w:multiLevelType w:val="hybridMultilevel"/>
    <w:lvl w:ilvl="0">
      <w:lvlJc w:val="left"/>
      <w:lvlText w:val="(%1)"/>
      <w:numFmt w:val="lowerLetter"/>
      <w:start w:val="35"/>
    </w:lvl>
  </w:abstractNum>
  <w:abstractNum w:abstractNumId="128">
    <w:nsid w:val="6FDE8AF6"/>
    <w:multiLevelType w:val="hybridMultilevel"/>
    <w:lvl w:ilvl="0">
      <w:lvlJc w:val="left"/>
      <w:lvlText w:val="(%1)"/>
      <w:numFmt w:val="lowerLetter"/>
      <w:start w:val="12"/>
    </w:lvl>
  </w:abstractNum>
  <w:abstractNum w:abstractNumId="129">
    <w:nsid w:val="3FC32E20"/>
    <w:multiLevelType w:val="hybridMultilevel"/>
    <w:lvl w:ilvl="0">
      <w:lvlJc w:val="left"/>
      <w:lvlText w:val="%1."/>
      <w:numFmt w:val="decimal"/>
      <w:start w:val="3"/>
    </w:lvl>
  </w:abstractNum>
  <w:abstractNum w:abstractNumId="130">
    <w:nsid w:val="49C0E823"/>
    <w:multiLevelType w:val="hybridMultilevel"/>
    <w:lvl w:ilvl="0">
      <w:lvlJc w:val="left"/>
      <w:lvlText w:val="%1."/>
      <w:numFmt w:val="decimal"/>
      <w:start w:val="8"/>
    </w:lvl>
    <w:lvl w:ilvl="1">
      <w:lvlJc w:val="left"/>
      <w:lvlText w:val="(%2)"/>
      <w:numFmt w:val="lowerLetter"/>
      <w:start w:val="1"/>
    </w:lvl>
  </w:abstractNum>
  <w:abstractNum w:abstractNumId="131">
    <w:nsid w:val="14D53685"/>
    <w:multiLevelType w:val="hybridMultilevel"/>
    <w:lvl w:ilvl="0">
      <w:lvlJc w:val="left"/>
      <w:lvlText w:val="%1."/>
      <w:numFmt w:val="decimal"/>
      <w:start w:val="11"/>
    </w:lvl>
    <w:lvl w:ilvl="1">
      <w:lvlJc w:val="left"/>
      <w:lvlText w:val="(%2)"/>
      <w:numFmt w:val="lowerLetter"/>
      <w:start w:val="1"/>
    </w:lvl>
  </w:abstractNum>
  <w:abstractNum w:abstractNumId="132">
    <w:nsid w:val="230F856C"/>
    <w:multiLevelType w:val="hybridMultilevel"/>
    <w:lvl w:ilvl="0">
      <w:lvlJc w:val="left"/>
      <w:lvlText w:val="%1."/>
      <w:numFmt w:val="decimal"/>
      <w:start w:val="13"/>
    </w:lvl>
    <w:lvl w:ilvl="1">
      <w:lvlJc w:val="left"/>
      <w:lvlText w:val="(%2)"/>
      <w:numFmt w:val="lowerLetter"/>
      <w:start w:val="1"/>
    </w:lvl>
  </w:abstractNum>
  <w:abstractNum w:abstractNumId="133">
    <w:nsid w:val="6EAA85FB"/>
    <w:multiLevelType w:val="hybridMultilevel"/>
    <w:lvl w:ilvl="0">
      <w:lvlJc w:val="left"/>
      <w:lvlText w:val="%1"/>
      <w:numFmt w:val="decimal"/>
      <w:start w:val="1"/>
    </w:lvl>
    <w:lvl w:ilvl="1">
      <w:lvlJc w:val="left"/>
      <w:lvlText w:val="(%2)"/>
      <w:numFmt w:val="lowerLetter"/>
      <w:start w:val="2"/>
    </w:lvl>
  </w:abstractNum>
  <w:abstractNum w:abstractNumId="134">
    <w:nsid w:val="3F06ECB2"/>
    <w:multiLevelType w:val="hybridMultilevel"/>
    <w:lvl w:ilvl="0">
      <w:lvlJc w:val="left"/>
      <w:lvlText w:val="%1."/>
      <w:numFmt w:val="decimal"/>
      <w:start w:val="15"/>
    </w:lvl>
    <w:lvl w:ilvl="1">
      <w:lvlJc w:val="left"/>
      <w:lvlText w:val="(%2)"/>
      <w:numFmt w:val="lowerLetter"/>
      <w:start w:val="1"/>
    </w:lvl>
  </w:abstractNum>
  <w:abstractNum w:abstractNumId="135">
    <w:nsid w:val="3B594807"/>
    <w:multiLevelType w:val="hybridMultilevel"/>
    <w:lvl w:ilvl="0">
      <w:lvlJc w:val="left"/>
      <w:lvlText w:val="%1"/>
      <w:numFmt w:val="decimal"/>
      <w:start w:val="1"/>
    </w:lvl>
    <w:lvl w:ilvl="1">
      <w:lvlJc w:val="left"/>
      <w:lvlText w:val="(%2)"/>
      <w:numFmt w:val="lowerLetter"/>
      <w:start w:val="2"/>
    </w:lvl>
  </w:abstractNum>
  <w:abstractNum w:abstractNumId="136">
    <w:nsid w:val="6CAA2304"/>
    <w:multiLevelType w:val="hybridMultilevel"/>
    <w:lvl w:ilvl="0">
      <w:lvlJc w:val="left"/>
      <w:lvlText w:val="%1."/>
      <w:numFmt w:val="decimal"/>
      <w:start w:val="17"/>
    </w:lvl>
    <w:lvl w:ilvl="1">
      <w:lvlJc w:val="left"/>
      <w:lvlText w:val="%2"/>
      <w:numFmt w:val="lowerLetter"/>
      <w:start w:val="1"/>
    </w:lvl>
  </w:abstractNum>
  <w:abstractNum w:abstractNumId="137">
    <w:nsid w:val="3F7C2FF4"/>
    <w:multiLevelType w:val="hybridMultilevel"/>
    <w:lvl w:ilvl="0">
      <w:lvlJc w:val="left"/>
      <w:lvlText w:val="%1."/>
      <w:numFmt w:val="decimal"/>
      <w:start w:val="19"/>
    </w:lvl>
    <w:lvl w:ilvl="1">
      <w:lvlJc w:val="left"/>
      <w:lvlText w:val="(%2)"/>
      <w:numFmt w:val="lowerLetter"/>
      <w:start w:val="1"/>
    </w:lvl>
  </w:abstractNum>
  <w:abstractNum w:abstractNumId="138">
    <w:nsid w:val="25413BEC"/>
    <w:multiLevelType w:val="hybridMultilevel"/>
    <w:lvl w:ilvl="0">
      <w:lvlJc w:val="left"/>
      <w:lvlText w:val="%1."/>
      <w:numFmt w:val="decimal"/>
      <w:start w:val="22"/>
    </w:lvl>
  </w:abstractNum>
  <w:abstractNum w:abstractNumId="139">
    <w:nsid w:val="17180B0B"/>
    <w:multiLevelType w:val="hybridMultilevel"/>
    <w:lvl w:ilvl="0">
      <w:lvlJc w:val="left"/>
      <w:lvlText w:val="%1."/>
      <w:numFmt w:val="decimal"/>
      <w:start w:val="1"/>
    </w:lvl>
  </w:abstractNum>
  <w:abstractNum w:abstractNumId="140">
    <w:nsid w:val="579328B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1">
    <w:nsid w:val="5D205E20"/>
    <w:multiLevelType w:val="hybridMultilevel"/>
    <w:lvl w:ilvl="0">
      <w:lvlJc w:val="left"/>
      <w:lvlText w:val="(%1)"/>
      <w:numFmt w:val="lowerLetter"/>
      <w:start w:val="6"/>
    </w:lvl>
  </w:abstractNum>
  <w:abstractNum w:abstractNumId="142">
    <w:nsid w:val="11CCA8BA"/>
    <w:multiLevelType w:val="hybridMultilevel"/>
    <w:lvl w:ilvl="0">
      <w:lvlJc w:val="left"/>
      <w:lvlText w:val="(%1)"/>
      <w:numFmt w:val="lowerLetter"/>
      <w:start w:val="35"/>
    </w:lvl>
  </w:abstractNum>
  <w:abstractNum w:abstractNumId="143">
    <w:nsid w:val="4D32AB86"/>
    <w:multiLevelType w:val="hybridMultilevel"/>
    <w:lvl w:ilvl="0">
      <w:lvlJc w:val="left"/>
      <w:lvlText w:val="(%1)"/>
      <w:numFmt w:val="lowerLetter"/>
      <w:start w:val="12"/>
    </w:lvl>
  </w:abstractNum>
  <w:abstractNum w:abstractNumId="144">
    <w:nsid w:val="3F07ACC3"/>
    <w:multiLevelType w:val="hybridMultilevel"/>
    <w:lvl w:ilvl="0">
      <w:lvlJc w:val="left"/>
      <w:lvlText w:val="%1."/>
      <w:numFmt w:val="decimal"/>
      <w:start w:val="3"/>
    </w:lvl>
  </w:abstractNum>
  <w:abstractNum w:abstractNumId="145">
    <w:nsid w:val="6B47F63E"/>
    <w:multiLevelType w:val="hybridMultilevel"/>
    <w:lvl w:ilvl="0">
      <w:lvlJc w:val="left"/>
      <w:lvlText w:val="%1."/>
      <w:numFmt w:val="decimal"/>
      <w:start w:val="8"/>
    </w:lvl>
    <w:lvl w:ilvl="1">
      <w:lvlJc w:val="left"/>
      <w:lvlText w:val="(%2)"/>
      <w:numFmt w:val="lowerLetter"/>
      <w:start w:val="1"/>
    </w:lvl>
  </w:abstractNum>
  <w:abstractNum w:abstractNumId="146">
    <w:nsid w:val="5CB44A05"/>
    <w:multiLevelType w:val="hybridMultilevel"/>
    <w:lvl w:ilvl="0">
      <w:lvlJc w:val="left"/>
      <w:lvlText w:val="%1."/>
      <w:numFmt w:val="decimal"/>
      <w:start w:val="11"/>
    </w:lvl>
    <w:lvl w:ilvl="1">
      <w:lvlJc w:val="left"/>
      <w:lvlText w:val="(%2)"/>
      <w:numFmt w:val="lowerLetter"/>
      <w:start w:val="1"/>
    </w:lvl>
  </w:abstractNum>
  <w:abstractNum w:abstractNumId="147">
    <w:nsid w:val="16CF80F1"/>
    <w:multiLevelType w:val="hybridMultilevel"/>
    <w:lvl w:ilvl="0">
      <w:lvlJc w:val="left"/>
      <w:lvlText w:val="%1."/>
      <w:numFmt w:val="decimal"/>
      <w:start w:val="13"/>
    </w:lvl>
    <w:lvl w:ilvl="1">
      <w:lvlJc w:val="left"/>
      <w:lvlText w:val="(%2)"/>
      <w:numFmt w:val="lowerLetter"/>
      <w:start w:val="1"/>
    </w:lvl>
  </w:abstractNum>
  <w:abstractNum w:abstractNumId="148">
    <w:nsid w:val="1C695DEC"/>
    <w:multiLevelType w:val="hybridMultilevel"/>
    <w:lvl w:ilvl="0">
      <w:lvlJc w:val="left"/>
      <w:lvlText w:val="%1"/>
      <w:numFmt w:val="decimal"/>
      <w:start w:val="1"/>
    </w:lvl>
    <w:lvl w:ilvl="1">
      <w:lvlJc w:val="left"/>
      <w:lvlText w:val="(%2)"/>
      <w:numFmt w:val="lowerLetter"/>
      <w:start w:val="2"/>
    </w:lvl>
  </w:abstractNum>
  <w:abstractNum w:abstractNumId="149">
    <w:nsid w:val="3FCFAED9"/>
    <w:multiLevelType w:val="hybridMultilevel"/>
    <w:lvl w:ilvl="0">
      <w:lvlJc w:val="left"/>
      <w:lvlText w:val="%1."/>
      <w:numFmt w:val="decimal"/>
      <w:start w:val="15"/>
    </w:lvl>
    <w:lvl w:ilvl="1">
      <w:lvlJc w:val="left"/>
      <w:lvlText w:val="(%2)"/>
      <w:numFmt w:val="lowerLetter"/>
      <w:start w:val="1"/>
    </w:lvl>
  </w:abstractNum>
  <w:abstractNum w:abstractNumId="150">
    <w:nsid w:val="F856867"/>
    <w:multiLevelType w:val="hybridMultilevel"/>
    <w:lvl w:ilvl="0">
      <w:lvlJc w:val="left"/>
      <w:lvlText w:val="%1"/>
      <w:numFmt w:val="decimal"/>
      <w:start w:val="1"/>
    </w:lvl>
    <w:lvl w:ilvl="1">
      <w:lvlJc w:val="left"/>
      <w:lvlText w:val="(%2)"/>
      <w:numFmt w:val="lowerLetter"/>
      <w:start w:val="2"/>
    </w:lvl>
  </w:abstractNum>
  <w:abstractNum w:abstractNumId="151">
    <w:nsid w:val="11B1CC33"/>
    <w:multiLevelType w:val="hybridMultilevel"/>
    <w:lvl w:ilvl="0">
      <w:lvlJc w:val="left"/>
      <w:lvlText w:val="%1."/>
      <w:numFmt w:val="decimal"/>
      <w:start w:val="17"/>
    </w:lvl>
    <w:lvl w:ilvl="1">
      <w:lvlJc w:val="left"/>
      <w:lvlText w:val="%2"/>
      <w:numFmt w:val="lowerLetter"/>
      <w:start w:val="1"/>
    </w:lvl>
  </w:abstractNum>
  <w:abstractNum w:abstractNumId="152">
    <w:nsid w:val="2E22FBB7"/>
    <w:multiLevelType w:val="hybridMultilevel"/>
    <w:lvl w:ilvl="0">
      <w:lvlJc w:val="left"/>
      <w:lvlText w:val="%1."/>
      <w:numFmt w:val="decimal"/>
      <w:start w:val="19"/>
    </w:lvl>
    <w:lvl w:ilvl="1">
      <w:lvlJc w:val="left"/>
      <w:lvlText w:val="(%2)"/>
      <w:numFmt w:val="lowerLetter"/>
      <w:start w:val="1"/>
    </w:lvl>
  </w:abstractNum>
  <w:abstractNum w:abstractNumId="153">
    <w:nsid w:val="29934699"/>
    <w:multiLevelType w:val="hybridMultilevel"/>
    <w:lvl w:ilvl="0">
      <w:lvlJc w:val="left"/>
      <w:lvlText w:val="%1."/>
      <w:numFmt w:val="decimal"/>
      <w:start w:val="22"/>
    </w:lvl>
  </w:abstractNum>
  <w:abstractNum w:abstractNumId="154">
    <w:nsid w:val="77485850"/>
    <w:multiLevelType w:val="hybridMultilevel"/>
    <w:lvl w:ilvl="0">
      <w:lvlJc w:val="left"/>
      <w:lvlText w:val="%1."/>
      <w:numFmt w:val="decimal"/>
      <w:start w:val="1"/>
    </w:lvl>
  </w:abstractNum>
  <w:abstractNum w:abstractNumId="155">
    <w:nsid w:val="744939A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6">
    <w:nsid w:val="4FA0D2E3"/>
    <w:multiLevelType w:val="hybridMultilevel"/>
    <w:lvl w:ilvl="0">
      <w:lvlJc w:val="left"/>
      <w:lvlText w:val="(%1)"/>
      <w:numFmt w:val="lowerLetter"/>
      <w:start w:val="6"/>
    </w:lvl>
  </w:abstractNum>
  <w:abstractNum w:abstractNumId="157">
    <w:nsid w:val="6B1D2C14"/>
    <w:multiLevelType w:val="hybridMultilevel"/>
    <w:lvl w:ilvl="0">
      <w:lvlJc w:val="left"/>
      <w:lvlText w:val="(%1)"/>
      <w:numFmt w:val="lowerLetter"/>
      <w:start w:val="35"/>
    </w:lvl>
  </w:abstractNum>
  <w:abstractNum w:abstractNumId="158">
    <w:nsid w:val="68B867D3"/>
    <w:multiLevelType w:val="hybridMultilevel"/>
    <w:lvl w:ilvl="0">
      <w:lvlJc w:val="left"/>
      <w:lvlText w:val="(%1)"/>
      <w:numFmt w:val="lowerLetter"/>
      <w:start w:val="12"/>
    </w:lvl>
  </w:abstractNum>
  <w:abstractNum w:abstractNumId="159">
    <w:nsid w:val="3F7F5DD9"/>
    <w:multiLevelType w:val="hybridMultilevel"/>
    <w:lvl w:ilvl="0">
      <w:lvlJc w:val="left"/>
      <w:lvlText w:val="%1."/>
      <w:numFmt w:val="decimal"/>
      <w:start w:val="3"/>
    </w:lvl>
  </w:abstractNum>
  <w:abstractNum w:abstractNumId="160">
    <w:nsid w:val="2AE05A34"/>
    <w:multiLevelType w:val="hybridMultilevel"/>
    <w:lvl w:ilvl="0">
      <w:lvlJc w:val="left"/>
      <w:lvlText w:val="%1."/>
      <w:numFmt w:val="decimal"/>
      <w:start w:val="8"/>
    </w:lvl>
    <w:lvl w:ilvl="1">
      <w:lvlJc w:val="left"/>
      <w:lvlText w:val="(%2)"/>
      <w:numFmt w:val="lowerLetter"/>
      <w:start w:val="1"/>
    </w:lvl>
  </w:abstractNum>
  <w:abstractNum w:abstractNumId="161">
    <w:nsid w:val="32794FF7"/>
    <w:multiLevelType w:val="hybridMultilevel"/>
    <w:lvl w:ilvl="0">
      <w:lvlJc w:val="left"/>
      <w:lvlText w:val="%1."/>
      <w:numFmt w:val="decimal"/>
      <w:start w:val="11"/>
    </w:lvl>
    <w:lvl w:ilvl="1">
      <w:lvlJc w:val="left"/>
      <w:lvlText w:val="(%2)"/>
      <w:numFmt w:val="lowerLetter"/>
      <w:start w:val="1"/>
    </w:lvl>
  </w:abstractNum>
  <w:abstractNum w:abstractNumId="162">
    <w:nsid w:val="5454945E"/>
    <w:multiLevelType w:val="hybridMultilevel"/>
    <w:lvl w:ilvl="0">
      <w:lvlJc w:val="left"/>
      <w:lvlText w:val="%1."/>
      <w:numFmt w:val="decimal"/>
      <w:start w:val="13"/>
    </w:lvl>
    <w:lvl w:ilvl="1">
      <w:lvlJc w:val="left"/>
      <w:lvlText w:val="(%2)"/>
      <w:numFmt w:val="lowerLetter"/>
      <w:start w:val="1"/>
    </w:lvl>
  </w:abstractNum>
  <w:abstractNum w:abstractNumId="163">
    <w:nsid w:val="4DEFDFA0"/>
    <w:multiLevelType w:val="hybridMultilevel"/>
    <w:lvl w:ilvl="0">
      <w:lvlJc w:val="left"/>
      <w:lvlText w:val="%1"/>
      <w:numFmt w:val="decimal"/>
      <w:start w:val="1"/>
    </w:lvl>
    <w:lvl w:ilvl="1">
      <w:lvlJc w:val="left"/>
      <w:lvlText w:val="(%2)"/>
      <w:numFmt w:val="lowerLetter"/>
      <w:start w:val="2"/>
    </w:lvl>
  </w:abstractNum>
  <w:abstractNum w:abstractNumId="164">
    <w:nsid w:val="2123D5F2"/>
    <w:multiLevelType w:val="hybridMultilevel"/>
    <w:lvl w:ilvl="0">
      <w:lvlJc w:val="left"/>
      <w:lvlText w:val="%1."/>
      <w:numFmt w:val="decimal"/>
      <w:start w:val="15"/>
    </w:lvl>
    <w:lvl w:ilvl="1">
      <w:lvlJc w:val="left"/>
      <w:lvlText w:val="(%2)"/>
      <w:numFmt w:val="lowerLetter"/>
      <w:start w:val="1"/>
    </w:lvl>
  </w:abstractNum>
  <w:abstractNum w:abstractNumId="165">
    <w:nsid w:val="135B8110"/>
    <w:multiLevelType w:val="hybridMultilevel"/>
    <w:lvl w:ilvl="0">
      <w:lvlJc w:val="left"/>
      <w:lvlText w:val="%1"/>
      <w:numFmt w:val="decimal"/>
      <w:start w:val="1"/>
    </w:lvl>
    <w:lvl w:ilvl="1">
      <w:lvlJc w:val="left"/>
      <w:lvlText w:val="(%2)"/>
      <w:numFmt w:val="lowerLetter"/>
      <w:start w:val="2"/>
    </w:lvl>
  </w:abstractNum>
  <w:abstractNum w:abstractNumId="166">
    <w:nsid w:val="94927A8"/>
    <w:multiLevelType w:val="hybridMultilevel"/>
    <w:lvl w:ilvl="0">
      <w:lvlJc w:val="left"/>
      <w:lvlText w:val="%1."/>
      <w:numFmt w:val="decimal"/>
      <w:start w:val="17"/>
    </w:lvl>
    <w:lvl w:ilvl="1">
      <w:lvlJc w:val="left"/>
      <w:lvlText w:val="%2"/>
      <w:numFmt w:val="lowerLetter"/>
      <w:start w:val="1"/>
    </w:lvl>
  </w:abstractNum>
  <w:abstractNum w:abstractNumId="167">
    <w:nsid w:val="DCDF8F6"/>
    <w:multiLevelType w:val="hybridMultilevel"/>
    <w:lvl w:ilvl="0">
      <w:lvlJc w:val="left"/>
      <w:lvlText w:val="%1."/>
      <w:numFmt w:val="decimal"/>
      <w:start w:val="19"/>
    </w:lvl>
    <w:lvl w:ilvl="1">
      <w:lvlJc w:val="left"/>
      <w:lvlText w:val="(%2)"/>
      <w:numFmt w:val="lowerLetter"/>
      <w:start w:val="1"/>
    </w:lvl>
  </w:abstractNum>
  <w:abstractNum w:abstractNumId="168">
    <w:nsid w:val="52D7B105"/>
    <w:multiLevelType w:val="hybridMultilevel"/>
    <w:lvl w:ilvl="0">
      <w:lvlJc w:val="left"/>
      <w:lvlText w:val="%1."/>
      <w:numFmt w:val="decimal"/>
      <w:start w:val="22"/>
    </w:lvl>
  </w:abstractNum>
  <w:abstractNum w:abstractNumId="169">
    <w:nsid w:val="2E8A6394"/>
    <w:multiLevelType w:val="hybridMultilevel"/>
    <w:lvl w:ilvl="0">
      <w:lvlJc w:val="left"/>
      <w:lvlText w:val="●"/>
      <w:numFmt w:val="bullet"/>
      <w:start w:val="1"/>
    </w:lvl>
  </w:abstractNum>
  <w:abstractNum w:abstractNumId="170">
    <w:nsid w:val="24E60401"/>
    <w:multiLevelType w:val="hybridMultilevel"/>
    <w:lvl w:ilvl="0">
      <w:lvlJc w:val="left"/>
      <w:lvlText w:val="●"/>
      <w:numFmt w:val="bullet"/>
      <w:start w:val="1"/>
    </w:lvl>
  </w:abstractNum>
  <w:abstractNum w:abstractNumId="171">
    <w:nsid w:val="2A6AD9BE"/>
    <w:multiLevelType w:val="hybridMultilevel"/>
    <w:lvl w:ilvl="0">
      <w:lvlJc w:val="left"/>
      <w:lvlText w:val="(%1)"/>
      <w:numFmt w:val="lowerLetter"/>
      <w:start w:val="1"/>
    </w:lvl>
  </w:abstractNum>
  <w:abstractNum w:abstractNumId="172">
    <w:nsid w:val="BAAC1B4"/>
    <w:multiLevelType w:val="hybridMultilevel"/>
    <w:lvl w:ilvl="0">
      <w:lvlJc w:val="left"/>
      <w:lvlText w:val="●"/>
      <w:numFmt w:val="bullet"/>
      <w:start w:val="1"/>
    </w:lvl>
  </w:abstractNum>
  <w:abstractNum w:abstractNumId="173">
    <w:nsid w:val="36B2ACBC"/>
    <w:multiLevelType w:val="hybridMultilevel"/>
    <w:lvl w:ilvl="0">
      <w:lvlJc w:val="left"/>
      <w:lvlText w:val="●"/>
      <w:numFmt w:val="bullet"/>
      <w:start w:val="1"/>
    </w:lvl>
  </w:abstractNum>
  <w:abstractNum w:abstractNumId="174">
    <w:nsid w:val="779D854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2021-03-16T14:35:24Z</dcterms:created>
  <dcterms:modified xsi:type="dcterms:W3CDTF">2021-03-16T14:35:24Z</dcterms:modified>
</cp:coreProperties>
</file>