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2882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28828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MARCUS LAWRENCE</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2105 WOODSIDE 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SOUNDHOUND AI,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SOUN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12/23/2024</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WOODSIDE</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94062</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34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20" w:type="dxa"/>
            <w:vAlign w:val="bottom"/>
          </w:tcPr>
          <w:p>
            <w:pPr>
              <w:ind w:left="20"/>
              <w:spacing w:after="0"/>
              <w:rPr>
                <w:sz w:val="20"/>
                <w:szCs w:val="20"/>
                <w:color w:val="auto"/>
              </w:rPr>
            </w:pPr>
            <w:r>
              <w:rPr>
                <w:rFonts w:ascii="Arial" w:cs="Arial" w:eastAsia="Arial" w:hAnsi="Arial"/>
                <w:sz w:val="12"/>
                <w:szCs w:val="12"/>
                <w:b w:val="1"/>
                <w:bCs w:val="1"/>
                <w:color w:val="auto"/>
                <w:w w:val="79"/>
              </w:rPr>
              <w:t>3.</w:t>
            </w:r>
          </w:p>
        </w:tc>
        <w:tc>
          <w:tcPr>
            <w:tcW w:w="620" w:type="dxa"/>
            <w:vAlign w:val="bottom"/>
          </w:tcPr>
          <w:p>
            <w:pPr>
              <w:spacing w:after="0"/>
              <w:rPr>
                <w:sz w:val="13"/>
                <w:szCs w:val="13"/>
                <w:color w:val="auto"/>
              </w:rPr>
            </w:pP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34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74"/>
              </w:rPr>
              <w:t>8)</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4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Marcus</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940" w:type="dxa"/>
            <w:vAlign w:val="bottom"/>
            <w:gridSpan w:val="3"/>
            <w:vMerge w:val="restart"/>
          </w:tcPr>
          <w:p>
            <w:pPr>
              <w:ind w:left="440"/>
              <w:spacing w:after="0"/>
              <w:rPr>
                <w:sz w:val="20"/>
                <w:szCs w:val="20"/>
                <w:color w:val="auto"/>
              </w:rPr>
            </w:pPr>
            <w:r>
              <w:rPr>
                <w:rFonts w:ascii="Times New Roman" w:cs="Times New Roman" w:eastAsia="Times New Roman" w:hAnsi="Times New Roman"/>
                <w:sz w:val="17"/>
                <w:szCs w:val="17"/>
                <w:color w:val="0000FF"/>
              </w:rPr>
              <w:t>12/23/2024</w:t>
            </w: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S</w:t>
            </w:r>
          </w:p>
        </w:tc>
        <w:tc>
          <w:tcPr>
            <w:tcW w:w="84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20,000</w:t>
            </w:r>
          </w:p>
        </w:tc>
        <w:tc>
          <w:tcPr>
            <w:tcW w:w="44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920" w:type="dxa"/>
            <w:vAlign w:val="bottom"/>
            <w:gridSpan w:val="3"/>
            <w:vMerge w:val="restart"/>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20.4718</w:t>
            </w:r>
            <w:r>
              <w:rPr>
                <w:rFonts w:ascii="Times New Roman" w:cs="Times New Roman" w:eastAsia="Times New Roman" w:hAnsi="Times New Roman"/>
                <w:sz w:val="22"/>
                <w:szCs w:val="22"/>
                <w:color w:val="008000"/>
                <w:vertAlign w:val="superscript"/>
              </w:rPr>
              <w:t>(1)</w:t>
            </w:r>
          </w:p>
        </w:tc>
        <w:tc>
          <w:tcPr>
            <w:tcW w:w="11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7"/>
                <w:szCs w:val="17"/>
                <w:color w:val="0000FF"/>
              </w:rPr>
              <w:t>108,117</w:t>
            </w:r>
          </w:p>
        </w:tc>
        <w:tc>
          <w:tcPr>
            <w:tcW w:w="92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940" w:type="dxa"/>
            <w:vAlign w:val="bottom"/>
            <w:gridSpan w:val="3"/>
            <w:vMerge w:val="continue"/>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920" w:type="dxa"/>
            <w:vAlign w:val="bottom"/>
            <w:gridSpan w:val="3"/>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Dated</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20"/>
                <w:szCs w:val="20"/>
                <w:color w:val="auto"/>
              </w:rPr>
            </w:pPr>
            <w:r>
              <w:rPr>
                <w:rFonts w:ascii="Times New Roman" w:cs="Times New Roman" w:eastAsia="Times New Roman" w:hAnsi="Times New Roman"/>
                <w:sz w:val="17"/>
                <w:szCs w:val="17"/>
                <w:color w:val="0000FF"/>
              </w:rPr>
              <w:t>7/8/04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2240" w:type="dxa"/>
            <w:vAlign w:val="bottom"/>
            <w:tcBorders>
              <w:bottom w:val="single" w:sz="8" w:color="2C2C2C"/>
            </w:tcBorders>
            <w:gridSpan w:val="2"/>
          </w:tcPr>
          <w:p>
            <w:pPr>
              <w:spacing w:after="0"/>
              <w:rPr>
                <w:sz w:val="8"/>
                <w:szCs w:val="8"/>
                <w:color w:val="auto"/>
              </w:rPr>
            </w:pPr>
          </w:p>
        </w:tc>
        <w:tc>
          <w:tcPr>
            <w:tcW w:w="1380" w:type="dxa"/>
            <w:vAlign w:val="bottom"/>
            <w:tcBorders>
              <w:bottom w:val="single" w:sz="8" w:color="2C2C2C"/>
            </w:tcBorders>
            <w:gridSpan w:val="3"/>
          </w:tcPr>
          <w:p>
            <w:pPr>
              <w:spacing w:after="0"/>
              <w:rPr>
                <w:sz w:val="8"/>
                <w:szCs w:val="8"/>
                <w:color w:val="auto"/>
              </w:rPr>
            </w:pPr>
          </w:p>
        </w:tc>
        <w:tc>
          <w:tcPr>
            <w:tcW w:w="2700" w:type="dxa"/>
            <w:vAlign w:val="bottom"/>
            <w:tcBorders>
              <w:bottom w:val="single" w:sz="8" w:color="2C2C2C"/>
            </w:tcBorders>
            <w:gridSpan w:val="6"/>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14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20" w:type="dxa"/>
            <w:vAlign w:val="bottom"/>
          </w:tcPr>
          <w:p>
            <w:pPr>
              <w:spacing w:after="0"/>
              <w:rPr>
                <w:sz w:val="14"/>
                <w:szCs w:val="14"/>
                <w:color w:val="auto"/>
              </w:rPr>
            </w:pPr>
          </w:p>
        </w:tc>
        <w:tc>
          <w:tcPr>
            <w:tcW w:w="146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5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during the day at prices ranging from $20.44 to $20.52. The weighted-average price is reported above. The reporting person hereby undertakes to provide upon request to the SEC staff, the issuer or a security holder of the issuer full information regarding the number of shares and prices at which the transactions were effected.</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/Warren Heit, attorney-in-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2433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4333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fact for MARCUS</w:t>
      </w:r>
      <w:r>
        <w:rPr>
          <w:sz w:val="20"/>
          <w:szCs w:val="20"/>
          <w:color w:val="auto"/>
        </w:rPr>
        <w:tab/>
      </w:r>
      <w:r>
        <w:rPr>
          <w:rFonts w:ascii="Times New Roman" w:cs="Times New Roman" w:eastAsia="Times New Roman" w:hAnsi="Times New Roman"/>
          <w:sz w:val="17"/>
          <w:szCs w:val="17"/>
          <w:color w:val="0000FF"/>
        </w:rPr>
        <w:t>12/26/2024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8128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81280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-12700</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LAWRENCE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6019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60198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ind w:right="3539"/>
        <w:spacing w:after="0" w:line="373" w:lineRule="auto"/>
        <w:rPr>
          <w:sz w:val="20"/>
          <w:szCs w:val="20"/>
          <w:color w:val="auto"/>
        </w:rPr>
      </w:pPr>
      <w:r>
        <w:rPr>
          <w:rFonts w:ascii="Courier New" w:cs="Courier New" w:eastAsia="Courier New" w:hAnsi="Courier New"/>
          <w:sz w:val="17"/>
          <w:szCs w:val="17"/>
          <w:color w:val="auto"/>
        </w:rPr>
        <w:t>LIMITED POWER OF ATTORNEY FOR REPORTING UNDER SECTION 16(a) OF THE SECURITIES EXCHANGE ACT OF 1934, AS AMENDED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MARCUS LAWRENCE - CIK # 0001248294</w:t>
      </w:r>
    </w:p>
    <w:p>
      <w:pPr>
        <w:spacing w:after="0" w:line="207" w:lineRule="exact"/>
        <w:rPr>
          <w:sz w:val="20"/>
          <w:szCs w:val="20"/>
          <w:color w:val="auto"/>
        </w:rPr>
      </w:pPr>
    </w:p>
    <w:p>
      <w:pPr>
        <w:ind w:right="3539" w:firstLine="520"/>
        <w:spacing w:after="0" w:line="259"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Warren Heit, Nitesh Sharan, or Keyvan Mohajer, signing singly, the undersigned's true and lawful attorney-in-fact to:</w:t>
      </w:r>
    </w:p>
    <w:p>
      <w:pPr>
        <w:ind w:right="3539" w:firstLine="526"/>
        <w:spacing w:after="0" w:line="249" w:lineRule="auto"/>
        <w:tabs>
          <w:tab w:leader="none" w:pos="935"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any Form 3, 4, or 5 in accordance with Section 16(a) of the Securities Exchange Act of 1934, as amended, and the rules thereunder;</w:t>
      </w:r>
    </w:p>
    <w:p>
      <w:pPr>
        <w:ind w:right="3019" w:firstLine="526"/>
        <w:spacing w:after="0" w:line="250" w:lineRule="auto"/>
        <w:tabs>
          <w:tab w:leader="none" w:pos="935"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any such form with the United States Securities and Exchange Commission and any stock exchange or similar authority, including completing and executing a Uniform Application for Access Codes to File on Edgar on Form ID; and</w:t>
      </w:r>
    </w:p>
    <w:p>
      <w:pPr>
        <w:spacing w:after="0" w:line="194" w:lineRule="exact"/>
        <w:rPr>
          <w:rFonts w:ascii="Courier New" w:cs="Courier New" w:eastAsia="Courier New" w:hAnsi="Courier New"/>
          <w:sz w:val="17"/>
          <w:szCs w:val="17"/>
          <w:color w:val="auto"/>
        </w:rPr>
      </w:pPr>
    </w:p>
    <w:p>
      <w:pPr>
        <w:ind w:right="2919" w:firstLine="526"/>
        <w:spacing w:after="0" w:line="249" w:lineRule="auto"/>
        <w:tabs>
          <w:tab w:leader="none" w:pos="935"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ind w:right="2819" w:firstLine="520"/>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w:t>
      </w:r>
    </w:p>
    <w:p>
      <w:pPr>
        <w:ind w:right="271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do or cause to be done by virtue of this power of attorney and the rights and powers herein granted. The undersigned acknowledges that the foregoing attorneys-in-fact, in serving in such capacity at the request of the undersigned, are not assuming, any of the undersigned's responsibilities to comply with Section 16 of the Securities Exchange Act of 1934.</w:t>
      </w:r>
    </w:p>
    <w:p>
      <w:pPr>
        <w:ind w:right="2499" w:firstLine="520"/>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 shall remain in full force and effect until the undersigned is no longer required to file Form 3, 4, or 5, or unless earlier revoked by the undersigned in a signed writing delivered to the foregoing attorney-in-fact.</w:t>
      </w:r>
    </w:p>
    <w:p>
      <w:pPr>
        <w:ind w:right="3239" w:firstLine="520"/>
        <w:spacing w:after="0" w:line="333"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 WITNESS WHEREOF, the undersigned has caused this Power of Attorney to be executed as of this 22 day of April, 2022.</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Lawrence Marcus</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w:t>
      </w:r>
    </w:p>
    <w:p>
      <w:pPr>
        <w:spacing w:after="0" w:line="37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Lawrence Marcus</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248294" TargetMode="External"/><Relationship Id="rId14" Type="http://schemas.openxmlformats.org/officeDocument/2006/relationships/hyperlink" Target="http://www.sec.gov/cgi-bin/browse-edgar?action=getcompany&amp;CIK=000184085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2024-12-26T16:39:35Z</dcterms:created>
  <dcterms:modified xsi:type="dcterms:W3CDTF">2024-12-26T16:39:35Z</dcterms:modified>
</cp:coreProperties>
</file>