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HOM JAMES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07/30/2026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400,000</w:t>
            </w:r>
            <w:r>
              <w:rPr>
                <w:rFonts w:ascii="Times;serif" w:hAnsi="Times;serif"/>
                <w:color w:val="008000"/>
                <w:position w:val="7"/>
                <w:sz w:val="16"/>
                <w:sz w:val="20"/>
                <w:shd w:fill="FFFFFF" w:val="clear"/>
              </w:rPr>
              <w:t>(2)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1,144,285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amends the Form 4 filed on August 3, 2026, to (i) correct the grant date of the restricted stock units reported herein from July 31,2026, to July 30, 2026 and (ii) include 764 shares of common stock acquired in May 2026 through the SoundHound AI, Inc. 2022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restricted stock units under the SoundHound AI, Inc. 2022 Incentive Award Plan. These restricted stock units vest in 36 equal monthly installments.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HOM JAMES MING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481"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3529</Characters>
  <CharactersWithSpaces>4117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