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UNITED STATES</w:t>
      </w:r>
    </w:p>
    <w:p>
      <w:pPr>
        <w:pStyle w:val="TextBody"/>
        <w:bidi w:val="0"/>
        <w:spacing w:lineRule="auto" w:line="288" w:before="0" w:after="0"/>
        <w:jc w:val="center"/>
        <w:rPr>
          <w:rFonts w:ascii="Times New Roman;sans-serif" w:hAnsi="Times New Roman;sans-serif"/>
          <w:b/>
          <w:color w:val="212529"/>
          <w:sz w:val="22"/>
        </w:rPr>
      </w:pPr>
      <w:r>
        <w:rPr>
          <w:rFonts w:ascii="Times New Roman;sans-serif" w:hAnsi="Times New Roman;sans-serif"/>
          <w:b/>
          <w:color w:val="212529"/>
          <w:sz w:val="22"/>
        </w:rPr>
        <w:t>SECURITIES AND EXCHANGE COMMISSION</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200" w:after="283"/>
        <w:jc w:val="center"/>
        <w:rPr>
          <w:rFonts w:ascii="Times New Roman;sans-serif" w:hAnsi="Times New Roman;sans-serif"/>
          <w:b/>
          <w:color w:val="212529"/>
          <w:sz w:val="24"/>
        </w:rPr>
      </w:pPr>
      <w:r>
        <w:rPr>
          <w:rFonts w:ascii="Times New Roman;sans-serif" w:hAnsi="Times New Roman;sans-serif"/>
          <w:b/>
          <w:color w:val="212529"/>
          <w:sz w:val="24"/>
        </w:rPr>
        <w:t>FORM 8-K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CURRENT REPORT</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Pursuant to Section 13 or 15(d)</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of the Securities Exchange Act of 1934</w:t>
      </w:r>
    </w:p>
    <w:p>
      <w:pPr>
        <w:pStyle w:val="TextBody"/>
        <w:bidi w:val="0"/>
        <w:spacing w:lineRule="auto" w:line="288" w:before="120" w:after="283"/>
        <w:jc w:val="center"/>
        <w:rPr/>
      </w:pPr>
      <w:r>
        <w:rPr>
          <w:rFonts w:ascii="Times New Roman;sans-serif" w:hAnsi="Times New Roman;sans-serif"/>
          <w:b w:val="false"/>
          <w:color w:val="212529"/>
          <w:sz w:val="20"/>
        </w:rPr>
        <w:t>Date of Report (Date of earliest event reported): </w:t>
      </w:r>
      <w:r>
        <w:rPr>
          <w:rFonts w:ascii="Times New Roman;sans-serif" w:hAnsi="Times New Roman;sans-serif"/>
          <w:b/>
          <w:color w:val="212529"/>
          <w:sz w:val="20"/>
        </w:rPr>
        <w:t>August 8,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SOUNDHOUND AI, INC.</w:t>
      </w:r>
    </w:p>
    <w:p>
      <w:pPr>
        <w:pStyle w:val="TextBody"/>
        <w:bidi w:val="0"/>
        <w:spacing w:lineRule="auto" w:line="288" w:before="0" w:after="0"/>
        <w:jc w:val="center"/>
        <w:rPr>
          <w:rFonts w:ascii="Times New Roman;sans-serif" w:hAnsi="Times New Roman;sans-serif"/>
          <w:b w:val="false"/>
          <w:color w:val="212529"/>
          <w:sz w:val="20"/>
        </w:rPr>
      </w:pPr>
      <w:r>
        <w:rPr>
          <w:rFonts w:ascii="Times New Roman;sans-serif" w:hAnsi="Times New Roman;sans-serif"/>
          <w:b w:val="false"/>
          <w:color w:val="212529"/>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85-1286799</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5400 Betsy Ross Drive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95054</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Registrant’s telephone number, including area code: (408) 441-3200</w:t>
      </w:r>
    </w:p>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(Former name or former address,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rP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212529"/>
          <w:sz w:val="20"/>
        </w:rPr>
        <w:t>Emerging growth company </w:t>
      </w:r>
      <w:r>
        <w:rPr>
          <w:color w:val="212529"/>
        </w:rPr>
        <w:t>☐</w:t>
      </w:r>
    </w:p>
    <w:p>
      <w:pPr>
        <w:pStyle w:val="TextBody"/>
        <w:bidi w:val="0"/>
        <w:spacing w:lineRule="auto" w:line="288" w:before="120" w:after="283"/>
        <w:jc w:val="both"/>
        <w:rPr/>
      </w:pPr>
      <w:r>
        <w:rPr>
          <w:rFonts w:ascii="Times New Roman;sans-serif" w:hAnsi="Times New Roman;sans-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00" w:after="283"/>
        <w:jc w:val="both"/>
        <w:rPr>
          <w:rFonts w:ascii="Times New Roman;sans-serif" w:hAnsi="Times New Roman;sans-serif"/>
          <w:b w:val="false"/>
          <w:color w:val="212529"/>
          <w:sz w:val="20"/>
        </w:rPr>
      </w:pPr>
      <w:r>
        <w:rPr>
          <w:rFonts w:ascii="Times New Roman;sans-serif" w:hAnsi="Times New Roman;sans-serif"/>
          <w:b w:val="false"/>
          <w:color w:val="212529"/>
          <w:sz w:val="20"/>
        </w:rPr>
        <w:t>On August 8, 2024, SoundHound AI, Inc. (the “Company”) issued a press release announcing financial results and operational highlights for the second quarter ended June 30, 2024. A copy of the press release is furnished as Exhibit 99.1 to this current report on Form 8-K. The Company is also furnishing as Exhibit 99.2 to this current report on Form 8-K the condensed consolidated balance sheets of the Company as of June 30, 2024, and the related condensed consolidated statements of operations and comprehensive loss and condensed consolidated statements of cash flows for the period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 and Exhibits.</w:t>
      </w:r>
    </w:p>
    <w:tbl>
      <w:tblPr>
        <w:tblW w:w="683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468"/>
        <w:gridCol w:w="1468"/>
        <w:gridCol w:w="208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oun-20240808ex991earnings.htm">
              <w:r>
                <w:rPr>
                  <w:rStyle w:val="InternetLink"/>
                  <w:rFonts w:ascii="Times New Roman;sans-serif" w:hAnsi="Times New Roman;sans-serif"/>
                  <w:b w:val="false"/>
                  <w:color w:val="0000FF"/>
                  <w:sz w:val="20"/>
                  <w:u w:val="single"/>
                </w:rPr>
                <w:t>Press Release, dated August 8, 2024</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oun-20240808ex992financia.htm">
              <w:r>
                <w:rPr>
                  <w:rStyle w:val="InternetLink"/>
                  <w:rFonts w:ascii="Times New Roman;sans-serif" w:hAnsi="Times New Roman;sans-serif"/>
                  <w:b w:val="false"/>
                  <w:color w:val="0000FF"/>
                  <w:sz w:val="20"/>
                  <w:u w:val="single"/>
                </w:rPr>
                <w:t>Financial statements for the period ended June 30, 2024</w:t>
              </w:r>
            </w:hyperlink>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212529"/>
          <w:sz w:val="20"/>
        </w:rPr>
      </w:pPr>
      <w:r>
        <w:rPr>
          <w:rFonts w:ascii="Times New Roman;sans-serif" w:hAnsi="Times New Roman;sans-serif"/>
          <w:b/>
          <w:color w:val="212529"/>
          <w:sz w:val="20"/>
        </w:rPr>
        <w:t>SIGNATURE</w:t>
      </w:r>
    </w:p>
    <w:p>
      <w:pPr>
        <w:pStyle w:val="TextBody"/>
        <w:bidi w:val="0"/>
        <w:spacing w:lineRule="auto" w:line="288" w:before="200" w:after="283"/>
        <w:jc w:val="both"/>
        <w:rPr>
          <w:rFonts w:ascii="Times New Roman;sans-serif" w:hAnsi="Times New Roman;sans-serif"/>
          <w:b w:val="false"/>
          <w:color w:val="212529"/>
          <w:sz w:val="20"/>
        </w:rPr>
      </w:pPr>
      <w:r>
        <w:rPr>
          <w:rFonts w:ascii="Times New Roman;sans-serif" w:hAnsi="Times New Roman;sans-serif"/>
          <w:b w:val="false"/>
          <w:color w:val="212529"/>
          <w:sz w:val="20"/>
        </w:rPr>
        <w:t>Pursuant to the requirements of the Securities Exchange Act of 1934, the registrant has duly caused this Current Report on Form 8-K to be signed on its behalf by the undersigned hereunto duly authorized.</w:t>
      </w:r>
    </w:p>
    <w:tbl>
      <w:tblPr>
        <w:tblW w:w="5420" w:type="dxa"/>
        <w:jc w:val="left"/>
        <w:tblInd w:w="0" w:type="dxa"/>
        <w:tblLayout w:type="fixed"/>
        <w:tblCellMar>
          <w:top w:w="28" w:type="dxa"/>
          <w:left w:w="28" w:type="dxa"/>
          <w:bottom w:w="28" w:type="dxa"/>
          <w:right w:w="28" w:type="dxa"/>
        </w:tblCellMar>
      </w:tblPr>
      <w:tblGrid>
        <w:gridCol w:w="705"/>
        <w:gridCol w:w="619"/>
        <w:gridCol w:w="625"/>
        <w:gridCol w:w="196"/>
        <w:gridCol w:w="196"/>
        <w:gridCol w:w="196"/>
        <w:gridCol w:w="271"/>
        <w:gridCol w:w="271"/>
        <w:gridCol w:w="271"/>
        <w:gridCol w:w="597"/>
        <w:gridCol w:w="597"/>
        <w:gridCol w:w="87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2024</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SoundHound AI,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Keyvan Mohajer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Keyvan Mohajer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00" w:after="283"/>
        <w:jc w:val="both"/>
        <w:rPr/>
      </w:pPr>
      <w:r>
        <w:rPr>
          <w:rFonts w:ascii="Times New Roman;sans-serif" w:hAnsi="Times New Roman;sans-serif"/>
          <w:b/>
          <w:color w:val="000000"/>
          <w:sz w:val="24"/>
          <w:shd w:fill="FEFEFE" w:val="clear"/>
        </w:rPr>
        <w:t xml:space="preserve">SoundHound AI Reports </w:t>
      </w:r>
      <w:r>
        <w:rPr>
          <w:rFonts w:ascii="Times New Roman;sans-serif" w:hAnsi="Times New Roman;sans-serif"/>
          <w:b/>
          <w:color w:val="000000"/>
          <w:sz w:val="24"/>
        </w:rPr>
        <w:t>54%</w:t>
      </w:r>
      <w:r>
        <w:rPr>
          <w:color w:val="000000"/>
          <w:shd w:fill="FEFEFE" w:val="clear"/>
        </w:rPr>
        <w:t xml:space="preserve"> </w:t>
      </w:r>
      <w:r>
        <w:rPr>
          <w:rFonts w:ascii="Times New Roman;sans-serif" w:hAnsi="Times New Roman;sans-serif"/>
          <w:b/>
          <w:color w:val="000000"/>
          <w:sz w:val="24"/>
          <w:shd w:fill="FEFEFE" w:val="clear"/>
        </w:rPr>
        <w:t xml:space="preserve">Growth and Record Q2 Revenue of </w:t>
      </w:r>
      <w:r>
        <w:rPr>
          <w:rFonts w:ascii="Times New Roman;sans-serif" w:hAnsi="Times New Roman;sans-serif"/>
          <w:b/>
          <w:color w:val="000000"/>
          <w:sz w:val="24"/>
        </w:rPr>
        <w:t>$13.5 Million</w:t>
      </w:r>
      <w:r>
        <w:rPr>
          <w:rFonts w:ascii="Times New Roman;sans-serif" w:hAnsi="Times New Roman;sans-serif"/>
          <w:b/>
          <w:color w:val="000000"/>
          <w:sz w:val="24"/>
          <w:shd w:fill="FEFEFE" w:val="clear"/>
        </w:rPr>
        <w:t>; Closes Quarter With Over $200 Million in Cash</w:t>
      </w:r>
    </w:p>
    <w:p>
      <w:pPr>
        <w:pStyle w:val="TextBody"/>
        <w:bidi w:val="0"/>
        <w:spacing w:lineRule="auto" w:line="288" w:before="0" w:after="360"/>
        <w:jc w:val="both"/>
        <w:rPr>
          <w:rFonts w:ascii="Times New Roman;sans-serif" w:hAnsi="Times New Roman;sans-serif"/>
          <w:b w:val="false"/>
          <w:color w:val="000000"/>
          <w:sz w:val="24"/>
        </w:rPr>
      </w:pPr>
      <w:r>
        <w:rPr>
          <w:rFonts w:ascii="Times New Roman;sans-serif" w:hAnsi="Times New Roman;sans-serif"/>
          <w:b w:val="false"/>
          <w:color w:val="000000"/>
          <w:sz w:val="24"/>
        </w:rPr>
        <w:t>Acquires Amelia, an enterprise conversational AI leader, to significantly expand to new verticals across finance, insurance, and healthcare</w:t>
      </w:r>
    </w:p>
    <w:p>
      <w:pPr>
        <w:pStyle w:val="TextBody"/>
        <w:bidi w:val="0"/>
        <w:spacing w:lineRule="auto" w:line="288" w:before="100" w:after="360"/>
        <w:jc w:val="both"/>
        <w:rPr/>
      </w:pPr>
      <w:r>
        <w:rPr>
          <w:rFonts w:ascii="Times New Roman;sans-serif" w:hAnsi="Times New Roman;sans-serif"/>
          <w:b w:val="false"/>
          <w:color w:val="000000"/>
          <w:sz w:val="24"/>
          <w:shd w:fill="FEFEFE" w:val="clear"/>
        </w:rPr>
        <w:t>SANTA CLARA, Calif.--</w:t>
      </w:r>
      <w:r>
        <w:rPr>
          <w:rFonts w:ascii="Times New Roman;sans-serif" w:hAnsi="Times New Roman;sans-serif"/>
          <w:b w:val="false"/>
          <w:color w:val="444444"/>
          <w:sz w:val="24"/>
          <w:shd w:fill="FEFEFE" w:val="clear"/>
        </w:rPr>
        <w:t>(</w:t>
      </w:r>
      <w:r>
        <w:rPr>
          <w:rFonts w:ascii="Times New Roman;sans-serif" w:hAnsi="Times New Roman;sans-serif"/>
          <w:b w:val="false"/>
          <w:color w:val="000000"/>
          <w:sz w:val="24"/>
          <w:u w:val="single"/>
          <w:shd w:fill="FFFFFF" w:val="clear"/>
        </w:rPr>
        <w:t>BUSINESS WIRE</w:t>
      </w:r>
      <w:r>
        <w:rPr>
          <w:rFonts w:ascii="Times New Roman;sans-serif" w:hAnsi="Times New Roman;sans-serif"/>
          <w:b w:val="false"/>
          <w:color w:val="444444"/>
          <w:sz w:val="24"/>
          <w:shd w:fill="FEFEFE" w:val="clear"/>
        </w:rPr>
        <w:t>)</w:t>
      </w:r>
      <w:r>
        <w:rPr>
          <w:rFonts w:ascii="Times New Roman;sans-serif" w:hAnsi="Times New Roman;sans-serif"/>
          <w:b w:val="false"/>
          <w:color w:val="000000"/>
          <w:sz w:val="24"/>
          <w:shd w:fill="FEFEFE" w:val="clear"/>
        </w:rPr>
        <w:t xml:space="preserve">--SoundHound AI, Inc. (Nasdaq: SOUN), a global leader in voice artificial intelligence, today reported its financial results for the second quarter 2024. </w:t>
      </w:r>
    </w:p>
    <w:p>
      <w:pPr>
        <w:pStyle w:val="TextBody"/>
        <w:bidi w:val="0"/>
        <w:spacing w:lineRule="auto" w:line="276" w:before="100" w:after="360"/>
        <w:jc w:val="both"/>
        <w:rPr/>
      </w:pPr>
      <w:r>
        <w:rPr>
          <w:color w:val="000000"/>
          <w:shd w:fill="FEFEFE" w:val="clear"/>
        </w:rPr>
        <w:t>“</w:t>
      </w:r>
      <w:r>
        <w:rPr>
          <w:rFonts w:ascii="Times New Roman;sans-serif" w:hAnsi="Times New Roman;sans-serif"/>
          <w:b w:val="false"/>
          <w:i/>
          <w:color w:val="000000"/>
          <w:sz w:val="24"/>
          <w:shd w:fill="FEFEFE" w:val="clear"/>
        </w:rPr>
        <w:t xml:space="preserve">This has been a milestone quarter, with strong customer momentum across all of our key industries </w:t>
      </w:r>
      <w:r>
        <w:rPr>
          <w:color w:val="000000"/>
        </w:rPr>
        <w:t xml:space="preserve">– </w:t>
      </w:r>
      <w:r>
        <w:rPr>
          <w:rFonts w:ascii="Times New Roman;sans-serif" w:hAnsi="Times New Roman;sans-serif"/>
          <w:b w:val="false"/>
          <w:i/>
          <w:color w:val="000000"/>
          <w:sz w:val="24"/>
        </w:rPr>
        <w:t>including several new global brands,</w:t>
      </w:r>
      <w:r>
        <w:rPr>
          <w:color w:val="000000"/>
          <w:shd w:fill="FEFEFE" w:val="clear"/>
        </w:rPr>
        <w:t xml:space="preserve">” </w:t>
      </w:r>
      <w:r>
        <w:rPr>
          <w:rFonts w:ascii="Times New Roman;sans-serif" w:hAnsi="Times New Roman;sans-serif"/>
          <w:b w:val="false"/>
          <w:color w:val="000000"/>
          <w:sz w:val="24"/>
          <w:shd w:fill="FEFEFE" w:val="clear"/>
        </w:rPr>
        <w:t xml:space="preserve">said Keyvan Mohajer, CEO and Co-Founder of SoundHound AI. </w:t>
      </w:r>
      <w:r>
        <w:rPr>
          <w:color w:val="000000"/>
          <w:shd w:fill="FEFEFE" w:val="clear"/>
        </w:rPr>
        <w:t>“</w:t>
      </w:r>
      <w:r>
        <w:rPr>
          <w:rFonts w:ascii="Times New Roman;sans-serif" w:hAnsi="Times New Roman;sans-serif"/>
          <w:b w:val="false"/>
          <w:i/>
          <w:color w:val="000000"/>
          <w:sz w:val="24"/>
          <w:shd w:fill="FEFEFE" w:val="clear"/>
        </w:rPr>
        <w:t>And today we announced a significant acquisition that will expand SoundHound’s reach across multiple new enterprise verticals. We believe the demand for voice and conversational AI is increasing and are committed to strengthening our leadership position in this growing market.”</w:t>
      </w:r>
    </w:p>
    <w:p>
      <w:pPr>
        <w:pStyle w:val="TextBody"/>
        <w:bidi w:val="0"/>
        <w:spacing w:lineRule="auto" w:line="288" w:before="100" w:after="360"/>
        <w:jc w:val="both"/>
        <w:rPr>
          <w:rFonts w:ascii="Times New Roman;sans-serif" w:hAnsi="Times New Roman;sans-serif"/>
          <w:b/>
          <w:color w:val="1D2228"/>
          <w:sz w:val="24"/>
          <w:shd w:fill="FEFEFE" w:val="clear"/>
        </w:rPr>
      </w:pPr>
      <w:r>
        <w:rPr>
          <w:rFonts w:ascii="Times New Roman;sans-serif" w:hAnsi="Times New Roman;sans-serif"/>
          <w:b/>
          <w:color w:val="1D2228"/>
          <w:sz w:val="24"/>
          <w:shd w:fill="FEFEFE" w:val="clear"/>
        </w:rPr>
        <w:t>Second Quarter Financial Highlights</w:t>
      </w:r>
    </w:p>
    <w:p>
      <w:pPr>
        <w:pStyle w:val="TextBody"/>
        <w:bidi w:val="0"/>
        <w:spacing w:lineRule="auto" w:line="288" w:before="0" w:after="0"/>
        <w:ind w:left="0" w:right="0" w:hanging="360"/>
        <w:jc w:val="both"/>
        <w:rPr/>
      </w:pPr>
      <w:r>
        <w:rPr>
          <w:color w:val="1D2228"/>
        </w:rPr>
        <w:t>•</w:t>
      </w:r>
      <w:r>
        <w:rPr>
          <w:rFonts w:ascii="Times New Roman;sans-serif" w:hAnsi="Times New Roman;sans-serif"/>
          <w:b w:val="false"/>
          <w:color w:val="1D2228"/>
          <w:sz w:val="24"/>
          <w:shd w:fill="FEFEFE" w:val="clear"/>
        </w:rPr>
        <w:t>R</w:t>
      </w:r>
      <w:r>
        <w:rPr>
          <w:rFonts w:ascii="Times New Roman;sans-serif" w:hAnsi="Times New Roman;sans-serif"/>
          <w:b w:val="false"/>
          <w:color w:val="000000"/>
          <w:sz w:val="24"/>
        </w:rPr>
        <w:t>eported revenue was $13.5 million, an increase of 54% year-over-year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GAAP gross margin was 63%; non-GAAP gross margin was 67%</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GAAP earnings per share was a loss of ($0.11); non-GAAP earnings per share was a loss of ($0.04)</w:t>
      </w:r>
    </w:p>
    <w:p>
      <w:pPr>
        <w:pStyle w:val="TextBody"/>
        <w:bidi w:val="0"/>
        <w:spacing w:lineRule="auto" w:line="288" w:before="0" w:after="0"/>
        <w:ind w:left="0" w:right="0" w:hanging="360"/>
        <w:jc w:val="both"/>
        <w:rPr/>
      </w:pPr>
      <w:r>
        <w:rPr>
          <w:color w:val="1D2228"/>
        </w:rPr>
        <w:t>•</w:t>
      </w:r>
      <w:r>
        <w:rPr>
          <w:rFonts w:ascii="Times New Roman;sans-serif" w:hAnsi="Times New Roman;sans-serif"/>
          <w:b w:val="false"/>
          <w:color w:val="000000"/>
          <w:sz w:val="24"/>
        </w:rPr>
        <w:t>GAAP net loss was ($37.3) million; non-GAAP net loss was ($14.8) million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Adjusted EBITDA was ($13.8) million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Cumulative subscriptions &amp; bookings backlog</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customer metric was $723 million and roughly doubled year-over-year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Annual run rate of over 5 billion queries, second quarter up approximately 90% year-over-year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Completed conversion of all preferred equity into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Prepaid $100 million debt in the quarter; saving over $55 million in interest and fees over the remaining life of the loan</w:t>
      </w:r>
    </w:p>
    <w:p>
      <w:pPr>
        <w:pStyle w:val="TextBody"/>
        <w:bidi w:val="0"/>
        <w:spacing w:lineRule="auto" w:line="288" w:before="0" w:after="360"/>
        <w:ind w:left="0" w:right="0" w:hanging="360"/>
        <w:jc w:val="both"/>
        <w:rPr/>
      </w:pPr>
      <w:r>
        <w:rPr>
          <w:color w:val="000000"/>
        </w:rPr>
        <w:t>•</w:t>
      </w:r>
      <w:r>
        <w:rPr>
          <w:rFonts w:ascii="Times New Roman;sans-serif" w:hAnsi="Times New Roman;sans-serif"/>
          <w:b w:val="false"/>
          <w:color w:val="000000"/>
          <w:sz w:val="24"/>
        </w:rPr>
        <w:t>Strong cash balance of $201 million at the end of the second quarter</w:t>
      </w:r>
    </w:p>
    <w:p>
      <w:pPr>
        <w:pStyle w:val="TextBody"/>
        <w:bidi w:val="0"/>
        <w:spacing w:lineRule="auto" w:line="276" w:before="0" w:after="0"/>
        <w:jc w:val="both"/>
        <w:rPr/>
      </w:pPr>
      <w:r>
        <w:rPr>
          <w:color w:val="000000"/>
        </w:rPr>
        <w:t>“</w:t>
      </w:r>
      <w:r>
        <w:rPr>
          <w:rFonts w:ascii="Times New Roman;sans-serif" w:hAnsi="Times New Roman;sans-serif"/>
          <w:b w:val="false"/>
          <w:i/>
          <w:color w:val="000000"/>
          <w:sz w:val="24"/>
        </w:rPr>
        <w:t xml:space="preserve">We continued to realize strong growth in the second quarter while meaningfully improving our capital structure," </w:t>
      </w:r>
      <w:r>
        <w:rPr>
          <w:rFonts w:ascii="Times New Roman;sans-serif" w:hAnsi="Times New Roman;sans-serif"/>
          <w:b w:val="false"/>
          <w:color w:val="000000"/>
          <w:sz w:val="24"/>
        </w:rPr>
        <w:t>said Nitesh Sharan, CFO of SoundHound AI.</w:t>
      </w:r>
      <w:r>
        <w:rPr>
          <w:color w:val="000000"/>
        </w:rPr>
        <w:t xml:space="preserve"> </w:t>
      </w:r>
      <w:r>
        <w:rPr>
          <w:rFonts w:ascii="Times New Roman;sans-serif" w:hAnsi="Times New Roman;sans-serif"/>
          <w:b w:val="false"/>
          <w:i/>
          <w:color w:val="000000"/>
          <w:sz w:val="24"/>
        </w:rPr>
        <w:t>"This is allowing us to further accelerate our organic business while capitalizing on high-impact M&amp;A. Today’s acquisition of Amelia is a key step towards harnessing the huge growth potential in conversational AI and helps us scale even faster.”</w:t>
      </w:r>
    </w:p>
    <w:p>
      <w:pPr>
        <w:pStyle w:val="TextBody"/>
        <w:bidi w:val="0"/>
        <w:spacing w:before="10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3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Business Highlights</w:t>
      </w:r>
    </w:p>
    <w:p>
      <w:pPr>
        <w:pStyle w:val="TextBody"/>
        <w:bidi w:val="0"/>
        <w:spacing w:lineRule="auto" w:line="288" w:before="100" w:after="16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Customer Service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4"/>
        </w:rPr>
        <w:t>Acquired Amelia to accelerate and scale SoundHound AI’s customer service offering. The combined companies will bring together decades of experience in conversational AI to offer best-in-class customer service support to a broad range of new verticals. These include some of the very largest multinational enterprise brands, top 15 global banks, and Fortune 500 organizations, with the combined company spanning nearly 200 marquee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Signed one of the largest pizza chains in the world on an AI roadmap to introduce SoundHound’s phone ordering services to thousands of stores.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Beef ‘O’ Brady’s rolled out SoundHound’s voice AI ordering system to all corporate locations, and opened it up to franchisees with plans for the family sports bar and grill chain to go live with customers in more than 20 states across the U.S.</w:t>
      </w:r>
    </w:p>
    <w:p>
      <w:pPr>
        <w:pStyle w:val="TextBody"/>
        <w:bidi w:val="0"/>
        <w:spacing w:lineRule="auto" w:line="288" w:before="0" w:after="0"/>
        <w:ind w:left="0" w:right="0" w:hanging="360"/>
        <w:jc w:val="both"/>
        <w:rPr/>
      </w:pPr>
      <w:r>
        <w:rPr>
          <w:color w:val="1D2228"/>
        </w:rPr>
        <w:t>•</w:t>
      </w:r>
      <w:r>
        <w:rPr>
          <w:rFonts w:ascii="Times New Roman;sans-serif" w:hAnsi="Times New Roman;sans-serif"/>
          <w:b w:val="false"/>
          <w:color w:val="1D2228"/>
          <w:sz w:val="24"/>
          <w:shd w:fill="FEFEFE" w:val="clear"/>
        </w:rPr>
        <w:t xml:space="preserve">Dynamic Interaction, SoundHound’s next generation drive-thru AI interface, launched with multiple top global QSR brands. </w:t>
      </w:r>
    </w:p>
    <w:p>
      <w:pPr>
        <w:pStyle w:val="TextBody"/>
        <w:bidi w:val="0"/>
        <w:spacing w:lineRule="auto" w:line="288" w:before="0" w:after="0"/>
        <w:ind w:left="0" w:right="0" w:hanging="360"/>
        <w:jc w:val="both"/>
        <w:rPr/>
      </w:pPr>
      <w:r>
        <w:rPr>
          <w:color w:val="1D2228"/>
        </w:rPr>
        <w:t>•</w:t>
      </w:r>
      <w:r>
        <w:rPr>
          <w:rFonts w:ascii="Times New Roman;sans-serif" w:hAnsi="Times New Roman;sans-serif"/>
          <w:b w:val="false"/>
          <w:color w:val="1D2228"/>
          <w:sz w:val="24"/>
          <w:shd w:fill="FEFEFE" w:val="clear"/>
        </w:rPr>
        <w:t>Employee Assist, SoundHound’s voice AI offering for back-of-house staff, added customers with multiple brands – including two prominent coffee shop chains.</w:t>
      </w:r>
    </w:p>
    <w:p>
      <w:pPr>
        <w:pStyle w:val="TextBody"/>
        <w:bidi w:val="0"/>
        <w:spacing w:lineRule="auto" w:line="288" w:before="0" w:after="0"/>
        <w:ind w:left="0" w:right="0" w:hanging="360"/>
        <w:jc w:val="both"/>
        <w:rPr/>
      </w:pPr>
      <w:r>
        <w:rPr>
          <w:color w:val="1D2228"/>
        </w:rPr>
        <w:t>•</w:t>
      </w:r>
      <w:r>
        <w:rPr>
          <w:rFonts w:ascii="Times New Roman;sans-serif" w:hAnsi="Times New Roman;sans-serif"/>
          <w:b w:val="false"/>
          <w:color w:val="1D2228"/>
          <w:sz w:val="24"/>
          <w:shd w:fill="FEFEFE" w:val="clear"/>
        </w:rPr>
        <w:t>SoundHound’s Smart Answering has extended the company’s customer service offering beyond restaurants, and signed up a number of customers in various verticals with multi-location brands.</w:t>
      </w:r>
    </w:p>
    <w:p>
      <w:pPr>
        <w:pStyle w:val="TextBody"/>
        <w:bidi w:val="0"/>
        <w:spacing w:lineRule="auto" w:line="288" w:before="0" w:after="160"/>
        <w:ind w:left="0" w:right="0" w:hanging="360"/>
        <w:jc w:val="both"/>
        <w:rPr/>
      </w:pPr>
      <w:r>
        <w:rPr>
          <w:color w:val="1D2228"/>
        </w:rPr>
        <w:t>•</w:t>
      </w:r>
      <w:r>
        <w:rPr>
          <w:rFonts w:ascii="Times New Roman;sans-serif" w:hAnsi="Times New Roman;sans-serif"/>
          <w:b w:val="false"/>
          <w:color w:val="000000"/>
          <w:sz w:val="24"/>
        </w:rPr>
        <w:t xml:space="preserve">Acquired Allset to fast-track the company's vision of a voice commerce ecosystem. A food ordering platform, with nearly 7,000 restaurant partners, Allset is designed for local pick-up, allowing consumers and restaurants to bypass delivery app fees. </w:t>
      </w:r>
    </w:p>
    <w:p>
      <w:pPr>
        <w:pStyle w:val="TextBody"/>
        <w:bidi w:val="0"/>
        <w:spacing w:lineRule="auto" w:line="288" w:before="100" w:after="160"/>
        <w:jc w:val="both"/>
        <w:rPr>
          <w:rFonts w:ascii="Times New Roman;sans-serif" w:hAnsi="Times New Roman;sans-serif"/>
          <w:b w:val="false"/>
          <w:i/>
          <w:color w:val="1D2228"/>
          <w:sz w:val="24"/>
          <w:shd w:fill="FEFEFE" w:val="clear"/>
        </w:rPr>
      </w:pPr>
      <w:r>
        <w:rPr>
          <w:rFonts w:ascii="Times New Roman;sans-serif" w:hAnsi="Times New Roman;sans-serif"/>
          <w:b w:val="false"/>
          <w:i/>
          <w:color w:val="1D2228"/>
          <w:sz w:val="24"/>
          <w:shd w:fill="FEFEFE" w:val="clear"/>
        </w:rPr>
        <w:t>Automotive</w:t>
      </w:r>
    </w:p>
    <w:p>
      <w:pPr>
        <w:pStyle w:val="TextBody"/>
        <w:bidi w:val="0"/>
        <w:spacing w:lineRule="auto" w:line="288" w:before="0" w:after="0"/>
        <w:ind w:left="0" w:right="0" w:hanging="360"/>
        <w:jc w:val="both"/>
        <w:rPr/>
      </w:pPr>
      <w:r>
        <w:rPr>
          <w:color w:val="1D2228"/>
        </w:rPr>
        <w:t>•</w:t>
      </w:r>
      <w:r>
        <w:rPr>
          <w:rFonts w:ascii="Times New Roman;sans-serif" w:hAnsi="Times New Roman;sans-serif"/>
          <w:b w:val="false"/>
          <w:color w:val="000000"/>
          <w:sz w:val="24"/>
        </w:rPr>
        <w:t>Peugeot, Vauxhall, Opel, Citröen, and Alfa Romeo all went into full production with SoundHound Chat AI across multiple markets and languages. In total, six Stellantis brands are now in production with SoundHound’s voice assistant with generative AI.</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U.S. EV manufacturer will soon go into production with the SoundHound Chat AI voice assistant across its full fleet of market-leading vehicles – the first U.S. OEM to integrate an assistant with generative AI capabilities.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In partnership with Stellantis, SoundHound has signed a new contract to provide the voice assistant for three of their brands in Latin America.</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4"/>
        </w:rPr>
        <w:t>Expanded on an existing customer relationship with a growing EV manufacturer in Europe to add SoundHound Chat AI to their digital assistant.</w:t>
      </w:r>
    </w:p>
    <w:p>
      <w:pPr>
        <w:pStyle w:val="TextBody"/>
        <w:bidi w:val="0"/>
        <w:spacing w:lineRule="auto" w:line="288" w:before="100" w:after="160"/>
        <w:jc w:val="both"/>
        <w:rPr>
          <w:rFonts w:ascii="Times New Roman;sans-serif" w:hAnsi="Times New Roman;sans-serif"/>
          <w:b w:val="false"/>
          <w:i/>
          <w:color w:val="1D2228"/>
          <w:sz w:val="24"/>
          <w:shd w:fill="FEFEFE" w:val="clear"/>
        </w:rPr>
      </w:pPr>
      <w:r>
        <w:rPr>
          <w:rFonts w:ascii="Times New Roman;sans-serif" w:hAnsi="Times New Roman;sans-serif"/>
          <w:b w:val="false"/>
          <w:i/>
          <w:color w:val="1D2228"/>
          <w:sz w:val="24"/>
          <w:shd w:fill="FEFEFE" w:val="clear"/>
        </w:rPr>
        <w:t xml:space="preserve">Partnerships </w:t>
      </w:r>
    </w:p>
    <w:p>
      <w:pPr>
        <w:pStyle w:val="TextBody"/>
        <w:bidi w:val="0"/>
        <w:spacing w:lineRule="auto" w:line="288"/>
        <w:ind w:left="0" w:right="0" w:hanging="360"/>
        <w:jc w:val="both"/>
        <w:rPr/>
      </w:pPr>
      <w:r>
        <w:rPr>
          <w:color w:val="1D2228"/>
        </w:rPr>
        <w:t>•</w:t>
      </w:r>
      <w:r>
        <w:rPr>
          <w:rFonts w:ascii="Times New Roman;sans-serif" w:hAnsi="Times New Roman;sans-serif"/>
          <w:b w:val="false"/>
          <w:color w:val="000000"/>
          <w:sz w:val="24"/>
        </w:rPr>
        <w:t xml:space="preserve">SoundHound partnered with Perplexity to bring cutting-edge online LLMs to SoundHound Chat AI. Users can now ask a more complex set of questions and the assistant is able to answer across multiple channels including phones, cars, and smart devices.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hanging="360"/>
        <w:jc w:val="both"/>
        <w:rPr/>
      </w:pPr>
      <w:r>
        <w:rPr>
          <w:color w:val="1D2228"/>
        </w:rPr>
        <w:t>•</w:t>
      </w:r>
      <w:r>
        <w:rPr>
          <w:rFonts w:ascii="Times New Roman;sans-serif" w:hAnsi="Times New Roman;sans-serif"/>
          <w:b w:val="false"/>
          <w:color w:val="000000"/>
          <w:sz w:val="24"/>
        </w:rPr>
        <w:t>Connex2X, an innovative aftermarket connected vehicle company, partnered with SoundHound to integrate leading voice AI technology into its connected vehicle products.</w:t>
      </w:r>
    </w:p>
    <w:p>
      <w:pPr>
        <w:pStyle w:val="TextBody"/>
        <w:bidi w:val="0"/>
        <w:spacing w:lineRule="auto" w:line="288" w:before="100" w:after="360"/>
        <w:ind w:left="0" w:right="0" w:hanging="360"/>
        <w:jc w:val="both"/>
        <w:rPr/>
      </w:pPr>
      <w:r>
        <w:rPr>
          <w:rFonts w:ascii="Times New Roman;sans-serif" w:hAnsi="Times New Roman;sans-serif"/>
          <w:b w:val="false"/>
          <w:color w:val="000000"/>
          <w:sz w:val="14"/>
        </w:rPr>
        <w:t>1)</w:t>
      </w:r>
      <w:r>
        <w:rPr>
          <w:rFonts w:ascii="Times New Roman;sans-serif" w:hAnsi="Times New Roman;sans-serif"/>
          <w:b w:val="false"/>
          <w:color w:val="000000"/>
          <w:sz w:val="14"/>
          <w:shd w:fill="FEFEFE" w:val="clear"/>
        </w:rPr>
        <w:t>See section ‘Certain Defined Terms’ at the end of this press release for additional information.</w:t>
      </w:r>
    </w:p>
    <w:p>
      <w:pPr>
        <w:pStyle w:val="TextBody"/>
        <w:bidi w:val="0"/>
        <w:spacing w:lineRule="auto" w:line="288" w:before="100" w:after="160"/>
        <w:jc w:val="both"/>
        <w:rPr/>
      </w:pPr>
      <w:r>
        <w:rPr>
          <w:rFonts w:ascii="Times New Roman;sans-serif" w:hAnsi="Times New Roman;sans-serif"/>
          <w:b/>
          <w:color w:val="000000"/>
          <w:sz w:val="24"/>
          <w:shd w:fill="FEFEFE" w:val="clear"/>
        </w:rPr>
        <w:t>Second Quarter 2024 Financial Measures</w:t>
      </w:r>
      <w:r>
        <w:rPr>
          <w:rFonts w:ascii="Times New Roman;sans-serif" w:hAnsi="Times New Roman;sans-serif"/>
          <w:b w:val="false"/>
          <w:color w:val="000000"/>
          <w:sz w:val="16"/>
        </w:rPr>
        <w:t>1</w:t>
      </w:r>
    </w:p>
    <w:tbl>
      <w:tblPr>
        <w:tblW w:w="9392" w:type="dxa"/>
        <w:jc w:val="left"/>
        <w:tblInd w:w="0" w:type="dxa"/>
        <w:tblLayout w:type="fixed"/>
        <w:tblCellMar>
          <w:top w:w="28" w:type="dxa"/>
          <w:left w:w="28" w:type="dxa"/>
          <w:bottom w:w="28" w:type="dxa"/>
          <w:right w:w="28" w:type="dxa"/>
        </w:tblCellMar>
      </w:tblPr>
      <w:tblGrid>
        <w:gridCol w:w="1260"/>
        <w:gridCol w:w="1107"/>
        <w:gridCol w:w="1112"/>
        <w:gridCol w:w="109"/>
        <w:gridCol w:w="109"/>
        <w:gridCol w:w="109"/>
        <w:gridCol w:w="439"/>
        <w:gridCol w:w="214"/>
        <w:gridCol w:w="214"/>
        <w:gridCol w:w="243"/>
        <w:gridCol w:w="243"/>
        <w:gridCol w:w="240"/>
        <w:gridCol w:w="109"/>
        <w:gridCol w:w="109"/>
        <w:gridCol w:w="109"/>
        <w:gridCol w:w="439"/>
        <w:gridCol w:w="214"/>
        <w:gridCol w:w="214"/>
        <w:gridCol w:w="243"/>
        <w:gridCol w:w="243"/>
        <w:gridCol w:w="240"/>
        <w:gridCol w:w="109"/>
        <w:gridCol w:w="109"/>
        <w:gridCol w:w="109"/>
        <w:gridCol w:w="270"/>
        <w:gridCol w:w="130"/>
        <w:gridCol w:w="130"/>
        <w:gridCol w:w="337"/>
        <w:gridCol w:w="338"/>
        <w:gridCol w:w="541"/>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6"/>
            <w:tcBorders/>
            <w:tcMar>
              <w:top w:w="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p>
          <w:p>
            <w:pPr>
              <w:pStyle w:val="TableContents"/>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Change</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54"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54"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54 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5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5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(16.1)</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4"/>
              </w:rPr>
              <w:t>pp</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5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5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28 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(13.5)</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pp</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(21,985)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(16,483)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(13,848)</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(10,082)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37 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(37,322)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(23,307)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60 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(14,821)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(16,069)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(0.11)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(0.11)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35"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(0.04)</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(0.07)</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35"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0.03 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360"/>
        <w:ind w:left="0" w:right="0" w:hanging="360"/>
        <w:jc w:val="both"/>
        <w:rPr/>
      </w:pPr>
      <w:r>
        <w:rPr>
          <w:rFonts w:ascii="Times New Roman;sans-serif" w:hAnsi="Times New Roman;sans-serif"/>
          <w:b w:val="false"/>
          <w:color w:val="000000"/>
          <w:sz w:val="14"/>
        </w:rPr>
        <w:t>1)</w:t>
      </w:r>
      <w:r>
        <w:rPr>
          <w:rFonts w:ascii="Times New Roman;sans-serif" w:hAnsi="Times New Roman;sans-serif"/>
          <w:b w:val="false"/>
          <w:color w:val="000000"/>
          <w:sz w:val="14"/>
          <w:shd w:fill="FFFFFF" w:val="clear"/>
        </w:rPr>
        <w:t xml:space="preserve">Please see tables below for a reconciliation from GAAP to non-GAAP. </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Liquidity and Cash Flows</w:t>
      </w:r>
    </w:p>
    <w:p>
      <w:pPr>
        <w:pStyle w:val="TextBody"/>
        <w:bidi w:val="0"/>
        <w:spacing w:lineRule="auto" w:line="288" w:before="100" w:after="360"/>
        <w:jc w:val="both"/>
        <w:rPr/>
      </w:pPr>
      <w:r>
        <w:rPr>
          <w:rFonts w:ascii="Times New Roman;sans-serif" w:hAnsi="Times New Roman;sans-serif"/>
          <w:b w:val="false"/>
          <w:color w:val="000000"/>
          <w:sz w:val="24"/>
          <w:shd w:fill="FEFEFE" w:val="clear"/>
        </w:rPr>
        <w:t xml:space="preserve">The company’s total cash was </w:t>
      </w:r>
      <w:r>
        <w:rPr>
          <w:rFonts w:ascii="Times New Roman;sans-serif" w:hAnsi="Times New Roman;sans-serif"/>
          <w:b w:val="false"/>
          <w:color w:val="000000"/>
          <w:sz w:val="24"/>
        </w:rPr>
        <w:t>$201 million</w:t>
      </w:r>
      <w:r>
        <w:rPr>
          <w:color w:val="000000"/>
          <w:shd w:fill="FEFEFE" w:val="clear"/>
        </w:rPr>
        <w:t xml:space="preserve"> </w:t>
      </w:r>
      <w:r>
        <w:rPr>
          <w:rFonts w:ascii="Times New Roman;sans-serif" w:hAnsi="Times New Roman;sans-serif"/>
          <w:b w:val="false"/>
          <w:color w:val="000000"/>
          <w:sz w:val="24"/>
          <w:shd w:fill="FEFEFE" w:val="clear"/>
        </w:rPr>
        <w:t xml:space="preserve">at </w:t>
      </w:r>
      <w:r>
        <w:rPr>
          <w:rFonts w:ascii="Times New Roman;sans-serif" w:hAnsi="Times New Roman;sans-serif"/>
          <w:b w:val="false"/>
          <w:color w:val="000000"/>
          <w:sz w:val="24"/>
        </w:rPr>
        <w:t>June 30, 2024</w:t>
      </w:r>
      <w:r>
        <w:rPr>
          <w:rFonts w:ascii="Times New Roman;sans-serif" w:hAnsi="Times New Roman;sans-serif"/>
          <w:b w:val="false"/>
          <w:color w:val="000000"/>
          <w:sz w:val="24"/>
          <w:shd w:fill="FEFEFE" w:val="clear"/>
        </w:rPr>
        <w:t xml:space="preserve">. </w:t>
      </w:r>
    </w:p>
    <w:p>
      <w:pPr>
        <w:pStyle w:val="TextBody"/>
        <w:bidi w:val="0"/>
        <w:spacing w:lineRule="auto" w:line="288" w:before="100" w:after="160"/>
        <w:jc w:val="both"/>
        <w:rPr>
          <w:rFonts w:ascii="Times New Roman;sans-serif" w:hAnsi="Times New Roman;sans-serif"/>
          <w:b/>
          <w:color w:val="1D2228"/>
          <w:sz w:val="24"/>
          <w:shd w:fill="FEFEFE" w:val="clear"/>
        </w:rPr>
      </w:pPr>
      <w:r>
        <w:rPr>
          <w:rFonts w:ascii="Times New Roman;sans-serif" w:hAnsi="Times New Roman;sans-serif"/>
          <w:b/>
          <w:color w:val="1D2228"/>
          <w:sz w:val="24"/>
          <w:shd w:fill="FEFEFE" w:val="clear"/>
        </w:rPr>
        <w:t>Condensed Cash Flow Statement</w:t>
      </w:r>
    </w:p>
    <w:tbl>
      <w:tblPr>
        <w:tblW w:w="9015" w:type="dxa"/>
        <w:jc w:val="left"/>
        <w:tblInd w:w="0" w:type="dxa"/>
        <w:tblLayout w:type="fixed"/>
        <w:tblCellMar>
          <w:top w:w="28" w:type="dxa"/>
          <w:left w:w="28" w:type="dxa"/>
          <w:bottom w:w="28" w:type="dxa"/>
          <w:right w:w="28" w:type="dxa"/>
        </w:tblCellMar>
      </w:tblPr>
      <w:tblGrid>
        <w:gridCol w:w="1514"/>
        <w:gridCol w:w="1331"/>
        <w:gridCol w:w="1340"/>
        <w:gridCol w:w="109"/>
        <w:gridCol w:w="109"/>
        <w:gridCol w:w="109"/>
        <w:gridCol w:w="439"/>
        <w:gridCol w:w="229"/>
        <w:gridCol w:w="229"/>
        <w:gridCol w:w="480"/>
        <w:gridCol w:w="466"/>
        <w:gridCol w:w="212"/>
        <w:gridCol w:w="109"/>
        <w:gridCol w:w="109"/>
        <w:gridCol w:w="109"/>
        <w:gridCol w:w="428"/>
        <w:gridCol w:w="228"/>
        <w:gridCol w:w="228"/>
        <w:gridCol w:w="470"/>
        <w:gridCol w:w="476"/>
        <w:gridCol w:w="291"/>
      </w:tblGrid>
      <w:tr>
        <w:trPr/>
        <w:tc>
          <w:tcPr>
            <w:tcW w:w="1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Six Months Ended</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June 30, 2023</w:t>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40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(40,440)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40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(34,201)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(4,788)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(293)</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137,030 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154,558 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130 </w:t>
            </w:r>
          </w:p>
        </w:tc>
        <w:tc>
          <w:tcPr>
            <w:tcW w:w="2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404"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4"/>
              </w:rPr>
              <w:t>91,932</w:t>
            </w:r>
            <w:r>
              <w:rPr>
                <w:color w:val="000000"/>
              </w:rPr>
              <w:t>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402"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4"/>
              </w:rPr>
              <w:t>120,064</w:t>
            </w:r>
            <w:r>
              <w:rPr>
                <w:color w:val="000000"/>
              </w:rPr>
              <w:t>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Business Outlook</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60"/>
        <w:jc w:val="both"/>
        <w:rPr>
          <w:rFonts w:ascii="Times New Roman;sans-serif" w:hAnsi="Times New Roman;sans-serif"/>
          <w:b w:val="false"/>
          <w:color w:val="000000"/>
          <w:sz w:val="24"/>
        </w:rPr>
      </w:pPr>
      <w:r>
        <w:rPr>
          <w:rFonts w:ascii="Times New Roman;sans-serif" w:hAnsi="Times New Roman;sans-serif"/>
          <w:b w:val="false"/>
          <w:color w:val="000000"/>
          <w:sz w:val="24"/>
        </w:rPr>
        <w:t>Incorporating today’s announcement of the acquisition of Amelia, SoundHound is updating its revenue outlook for 2024 and 2025. SoundHound now expects its full year 2024 revenue to exceed $80 million and its 2025 revenue outlook to exceed $150 million.</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Additional Information</w:t>
      </w:r>
    </w:p>
    <w:p>
      <w:pPr>
        <w:pStyle w:val="TextBody"/>
        <w:bidi w:val="0"/>
        <w:spacing w:lineRule="auto" w:line="288" w:before="100" w:after="160"/>
        <w:jc w:val="both"/>
        <w:rPr/>
      </w:pPr>
      <w:r>
        <w:rPr>
          <w:rFonts w:ascii="Times New Roman;sans-serif" w:hAnsi="Times New Roman;sans-serif"/>
          <w:b w:val="false"/>
          <w:color w:val="000000"/>
          <w:sz w:val="24"/>
          <w:shd w:fill="FEFEFE" w:val="clear"/>
        </w:rPr>
        <w:t xml:space="preserve">For more information please see the company’s SEC filings which can be obtained on the company’s website at </w:t>
      </w:r>
      <w:r>
        <w:rPr>
          <w:rFonts w:ascii="Times New Roman;sans-serif" w:hAnsi="Times New Roman;sans-serif"/>
          <w:b w:val="false"/>
          <w:color w:val="000000"/>
          <w:sz w:val="24"/>
          <w:u w:val="single"/>
          <w:shd w:fill="FFFFFF" w:val="clear"/>
        </w:rPr>
        <w:t>investors.soundhound.com</w:t>
      </w:r>
      <w:r>
        <w:rPr>
          <w:rFonts w:ascii="Times New Roman;sans-serif" w:hAnsi="Times New Roman;sans-serif"/>
          <w:b w:val="false"/>
          <w:color w:val="000000"/>
          <w:sz w:val="24"/>
          <w:shd w:fill="FEFEFE" w:val="clear"/>
        </w:rPr>
        <w:t>. The financial statements will be posted on the website, and will be included when the company files its 8-K. The financial data presented in this press release should be considered preliminary until the company files its 10-Q.</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Conference Call and Webcast</w:t>
      </w:r>
    </w:p>
    <w:p>
      <w:pPr>
        <w:pStyle w:val="TextBody"/>
        <w:bidi w:val="0"/>
        <w:spacing w:lineRule="auto" w:line="288" w:before="100" w:after="160"/>
        <w:jc w:val="both"/>
        <w:rPr/>
      </w:pPr>
      <w:r>
        <w:rPr>
          <w:rFonts w:ascii="Times New Roman;sans-serif" w:hAnsi="Times New Roman;sans-serif"/>
          <w:b w:val="false"/>
          <w:color w:val="000000"/>
          <w:sz w:val="24"/>
        </w:rPr>
        <w:t xml:space="preserve">Keyvan Mohajer, Co-Founder and CEO, and Nitesh Sharan, CFO will host a live audio conference call and webcast today at 2:00 p.m. Pacific Time/5:00 p.m. Eastern Time. A live webcast and replay will also be accessible </w:t>
      </w:r>
      <w:r>
        <w:rPr>
          <w:rFonts w:ascii="Times New Roman;sans-serif" w:hAnsi="Times New Roman;sans-serif"/>
          <w:b w:val="false"/>
          <w:color w:val="000000"/>
          <w:sz w:val="24"/>
          <w:shd w:fill="FFFFFF" w:val="clear"/>
        </w:rPr>
        <w:t xml:space="preserve">at </w:t>
      </w:r>
      <w:r>
        <w:rPr>
          <w:rFonts w:ascii="Times New Roman;sans-serif" w:hAnsi="Times New Roman;sans-serif"/>
          <w:b w:val="false"/>
          <w:color w:val="000000"/>
          <w:sz w:val="24"/>
          <w:u w:val="single"/>
          <w:shd w:fill="FFFFFF" w:val="clear"/>
        </w:rPr>
        <w:t>investors.soundhound.com</w:t>
      </w:r>
      <w:r>
        <w:rPr>
          <w:rFonts w:ascii="Times New Roman;sans-serif" w:hAnsi="Times New Roman;sans-serif"/>
          <w:b w:val="false"/>
          <w:color w:val="000000"/>
          <w:sz w:val="24"/>
          <w:shd w:fill="FFFFFF" w:val="clear"/>
        </w:rPr>
        <w:t>.</w:t>
      </w:r>
      <w:r>
        <w:rPr>
          <w:color w:val="000000"/>
        </w:rPr>
        <w:t xml:space="preserve"> </w:t>
      </w:r>
    </w:p>
    <w:p>
      <w:pPr>
        <w:pStyle w:val="TextBody"/>
        <w:bidi w:val="0"/>
        <w:spacing w:lineRule="auto" w:line="288" w:before="100" w:after="160"/>
        <w:jc w:val="both"/>
        <w:rPr>
          <w:rFonts w:ascii="Times New Roman;sans-serif" w:hAnsi="Times New Roman;sans-serif"/>
          <w:b/>
          <w:color w:val="000000"/>
          <w:sz w:val="24"/>
        </w:rPr>
      </w:pPr>
      <w:r>
        <w:rPr>
          <w:rFonts w:ascii="Times New Roman;sans-serif" w:hAnsi="Times New Roman;sans-serif"/>
          <w:b/>
          <w:color w:val="000000"/>
          <w:sz w:val="24"/>
        </w:rPr>
        <w:t xml:space="preserve">About SoundHound AI </w:t>
      </w:r>
    </w:p>
    <w:p>
      <w:pPr>
        <w:pStyle w:val="TextBody"/>
        <w:bidi w:val="0"/>
        <w:spacing w:lineRule="auto" w:line="288" w:before="100" w:after="160"/>
        <w:jc w:val="both"/>
        <w:rPr/>
      </w:pPr>
      <w:r>
        <w:rPr>
          <w:rFonts w:ascii="Times New Roman;sans-serif" w:hAnsi="Times New Roman;sans-serif"/>
          <w:b w:val="false"/>
          <w:color w:val="000000"/>
          <w:sz w:val="24"/>
        </w:rPr>
        <w:t xml:space="preserve">SoundHound (Nasdaq: SOUN), a global leader in conversational intelligence, offers voice AI solutions that let businesses offer incredible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Drive-Thru, an AI-powered multimodal food ordering solution. Along with SoundHound Chat AI, a powerful voice assistant with integrated Generative AI, SoundHound powers millions of products and services, and processes billions of interactions each year for world class businesses. </w:t>
      </w:r>
      <w:r>
        <w:rPr>
          <w:rFonts w:ascii="Times New Roman;sans-serif" w:hAnsi="Times New Roman;sans-serif"/>
          <w:b w:val="false"/>
          <w:color w:val="000000"/>
          <w:sz w:val="24"/>
          <w:u w:val="single"/>
        </w:rPr>
        <w:t>www.soundhound.com</w:t>
      </w:r>
      <w:r>
        <w:rPr>
          <w:color w:val="000000"/>
        </w:rPr>
        <w:t xml:space="preserve"> </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Forward Looking Statements and Other Disclosures</w:t>
      </w:r>
    </w:p>
    <w:p>
      <w:pPr>
        <w:pStyle w:val="TextBody"/>
        <w:bidi w:val="0"/>
        <w:spacing w:lineRule="auto" w:line="288" w:before="100" w:after="160"/>
        <w:jc w:val="both"/>
        <w:rPr>
          <w:rFonts w:ascii="Times New Roman;sans-serif" w:hAnsi="Times New Roman;sans-serif"/>
          <w:b w:val="false"/>
          <w:color w:val="000000"/>
          <w:sz w:val="24"/>
          <w:shd w:fill="FEFEFE" w:val="clear"/>
        </w:rPr>
      </w:pPr>
      <w:r>
        <w:rPr>
          <w:rFonts w:ascii="Times New Roman;sans-serif" w:hAnsi="Times New Roman;sans-serif"/>
          <w:b w:val="false"/>
          <w:color w:val="000000"/>
          <w:sz w:val="24"/>
          <w:shd w:fill="FEFEFE" w:val="clear"/>
        </w:rPr>
        <w:t xml:space="preserve">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the potential utility of and market for our products and services, our ability to achieve revenue from our cumulative bookings backlog and subscription bookings backlog, and guidance for financial results for 2024.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ability to develop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60"/>
        <w:jc w:val="both"/>
        <w:rPr>
          <w:rFonts w:ascii="Times New Roman;sans-serif" w:hAnsi="Times New Roman;sans-serif"/>
          <w:b w:val="false"/>
          <w:color w:val="000000"/>
          <w:sz w:val="24"/>
          <w:shd w:fill="FEFEFE" w:val="clear"/>
        </w:rPr>
      </w:pPr>
      <w:r>
        <w:rPr>
          <w:rFonts w:ascii="Times New Roman;sans-serif" w:hAnsi="Times New Roman;sans-serif"/>
          <w:b w:val="false"/>
          <w:color w:val="000000"/>
          <w:sz w:val="24"/>
          <w:shd w:fill="FEFEFE" w:val="clear"/>
        </w:rPr>
        <w:t>the bespoke products and services required under the contracts included in our bookings backlog and subscription backlog, including, but not limited to, our ability to convert customer adoption of Smart Ordering into realized revenue, our ability to predict or measure supply chain disruptions at our customers, our market opportunity and our ability to acquire new customers and retain existing customers, unexpected costs, charges or expenses resulting from our 2024 acquisitions, the ability of our 2024 acquisitions to be accretive on the company's financial results, the timing and impact of our growth initiatives, level of product service failures that could lead our customers to use competitors’ services, our ability to predict direct and indirect customer demand for our existing and future products,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those other factors described in our risk factors set forth in our filings with the Securities and Exchange Commission from time to time, including our Annual Report on Form 10-K, Quarterly Reports on Form 10-Q and Current Reports on Form 8-K. We do not intend to update or alter our forward-looking statements, whether as a result of new information, future events or otherwise, except as required by applicable law.</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Certain Defined Terms</w:t>
      </w:r>
    </w:p>
    <w:p>
      <w:pPr>
        <w:pStyle w:val="TextBody"/>
        <w:bidi w:val="0"/>
        <w:spacing w:lineRule="auto" w:line="288" w:before="100" w:after="160"/>
        <w:jc w:val="both"/>
        <w:rPr>
          <w:rFonts w:ascii="Times New Roman;sans-serif" w:hAnsi="Times New Roman;sans-serif"/>
          <w:b w:val="false"/>
          <w:color w:val="000000"/>
          <w:sz w:val="24"/>
          <w:shd w:fill="FEFEFE" w:val="clear"/>
        </w:rPr>
      </w:pPr>
      <w:r>
        <w:rPr>
          <w:rFonts w:ascii="Times New Roman;sans-serif" w:hAnsi="Times New Roman;sans-serif"/>
          <w:b w:val="false"/>
          <w:color w:val="000000"/>
          <w:sz w:val="24"/>
          <w:shd w:fill="FEFEFE" w:val="clear"/>
        </w:rPr>
        <w:t>Cumulative Subscriptions &amp; Bookings Backlog includes the company’s bookings backlog and subscriptions backlog in one holistic metric. Cumulative bookings backlog is derived from committed customer contracts and takes into account the prior quarter end balance of bookings backlog plus new bookings in the current quarter minus associated revenue recognized from bookings from prior periods. Subscriptions backlog refers to potential revenue achievable for the company with current customers where the company is the leading or exclusive provider, and assuming a 4-year ramp up during which time our technologies are being implemented and assuming a successful full roll out of our technologies over a total 5-year duration. Reasonable assumptions about adoption percentages are included, with lower percentages applied to pilot and proof-of-concept customers.</w:t>
      </w:r>
    </w:p>
    <w:p>
      <w:pPr>
        <w:pStyle w:val="TextBody"/>
        <w:bidi w:val="0"/>
        <w:spacing w:lineRule="auto" w:line="288" w:before="100" w:after="16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Non-GAAP Measures of Financial Performance</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To supplement the company’s financial statements, which are presented on the basis of U.S. generally accepted accounting principles (GAAP), the following non-GAAP measures of financial performance are included in this release: non-GAAP gross profit, non-GAAP gross margin, adjusted EBITDA, non-GAAP net loss and non-GAAP earnings per share.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As such, the company believes that disclosing non-GAAP financial measures to the readers of its financial statements provides the reader with useful supplemental information that allows for greater transparency in the review of the company’s financial and operational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company defines its non-GAAP measures by excluding certain items:</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The company arrives at non-GAAP gross profit and non-GAAP gross margin by excluding (i) amortization of intangibles (including acquired intangible assets) and (ii) stock-based compensation.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company arrives at adjusted EBITDA by excluding (i) total interest and other income/(expense), net, (ii) income taxes, (iii) depreciation and amortization expense (including acquired intangible assets), (iv) stock-based compensation, (v) restructuring expense, (vi) change in fair value of contingent consideration for business acquisition, and (vii) acquisition-related costs.</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The company arrives at non-GAAP net loss and non-GAAP net loss per share by excluding (i) depreciation and amortization expense (including acquired intangible assets), (ii) stock-based compensation, (iii) restructuring expense, (iv) loss on early extinguishment of debt, (v) change in fair value of contingent consideration for business acquisition, (vi) gain on bargain purchase, and (vii) acquisition-related costs.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Reconciliations of GAAP to these adjusted non-GAAP financial measures are included in the tables below. When analyzing the company's operating results, investors should not consider non-GAAP measures as substitutes for the comparable financial measures prepared in accordance with GAAP.</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Second Quarter Reconciliation of GAAP Gross Profit to Non-GAAP Gross Profit and GAAP Gross Margin to Non-GAAP Gross Margin</w:t>
      </w:r>
    </w:p>
    <w:tbl>
      <w:tblPr>
        <w:tblW w:w="6556" w:type="dxa"/>
        <w:jc w:val="left"/>
        <w:tblInd w:w="0" w:type="dxa"/>
        <w:tblLayout w:type="fixed"/>
        <w:tblCellMar>
          <w:top w:w="28" w:type="dxa"/>
          <w:left w:w="28" w:type="dxa"/>
          <w:bottom w:w="28" w:type="dxa"/>
          <w:right w:w="28" w:type="dxa"/>
        </w:tblCellMar>
      </w:tblPr>
      <w:tblGrid>
        <w:gridCol w:w="982"/>
        <w:gridCol w:w="864"/>
        <w:gridCol w:w="868"/>
        <w:gridCol w:w="109"/>
        <w:gridCol w:w="109"/>
        <w:gridCol w:w="109"/>
        <w:gridCol w:w="439"/>
        <w:gridCol w:w="212"/>
        <w:gridCol w:w="212"/>
        <w:gridCol w:w="240"/>
        <w:gridCol w:w="240"/>
        <w:gridCol w:w="240"/>
        <w:gridCol w:w="109"/>
        <w:gridCol w:w="109"/>
        <w:gridCol w:w="109"/>
        <w:gridCol w:w="428"/>
        <w:gridCol w:w="206"/>
        <w:gridCol w:w="206"/>
        <w:gridCol w:w="224"/>
        <w:gridCol w:w="224"/>
        <w:gridCol w:w="317"/>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June 30, 2023</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GAAP gross profit</w:t>
            </w:r>
            <w:r>
              <w:rPr>
                <w:rFonts w:ascii="Times New Roman;sans-serif" w:hAnsi="Times New Roman;sans-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44"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7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6,921</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81 </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144"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8,951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17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7,002</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79.1%</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80.0%</w:t>
            </w:r>
          </w:p>
        </w:tc>
      </w:tr>
    </w:tbl>
    <w:p>
      <w:pPr>
        <w:pStyle w:val="TextBody"/>
        <w:bidi w:val="0"/>
        <w:spacing w:lineRule="auto" w:line="288" w:before="100" w:after="160"/>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color w:val="000000"/>
          <w:sz w:val="16"/>
          <w:shd w:fill="FEFEFE" w:val="clear"/>
        </w:rPr>
        <w:t>GAAP gross profit is calculated by subtracting the cost of revenues from revenues.</w:t>
      </w:r>
    </w:p>
    <w:p>
      <w:pPr>
        <w:pStyle w:val="TextBody"/>
        <w:bidi w:val="0"/>
        <w:spacing w:before="100" w:after="1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Second Quarter Reconciliation of GAAP Net Loss to Non-GAAP Adjusted EBITDA</w:t>
      </w:r>
    </w:p>
    <w:tbl>
      <w:tblPr>
        <w:tblW w:w="9795" w:type="dxa"/>
        <w:jc w:val="left"/>
        <w:tblInd w:w="0" w:type="dxa"/>
        <w:tblLayout w:type="fixed"/>
        <w:tblCellMar>
          <w:top w:w="28" w:type="dxa"/>
          <w:left w:w="28" w:type="dxa"/>
          <w:bottom w:w="28" w:type="dxa"/>
          <w:right w:w="28" w:type="dxa"/>
        </w:tblCellMar>
      </w:tblPr>
      <w:tblGrid>
        <w:gridCol w:w="1927"/>
        <w:gridCol w:w="1694"/>
        <w:gridCol w:w="1704"/>
        <w:gridCol w:w="109"/>
        <w:gridCol w:w="109"/>
        <w:gridCol w:w="109"/>
        <w:gridCol w:w="439"/>
        <w:gridCol w:w="229"/>
        <w:gridCol w:w="229"/>
        <w:gridCol w:w="419"/>
        <w:gridCol w:w="407"/>
        <w:gridCol w:w="212"/>
        <w:gridCol w:w="109"/>
        <w:gridCol w:w="109"/>
        <w:gridCol w:w="109"/>
        <w:gridCol w:w="428"/>
        <w:gridCol w:w="228"/>
        <w:gridCol w:w="228"/>
        <w:gridCol w:w="352"/>
        <w:gridCol w:w="354"/>
        <w:gridCol w:w="291"/>
      </w:tblGrid>
      <w:tr>
        <w:trPr/>
        <w:tc>
          <w:tcPr>
            <w:tcW w:w="1927"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June 30, 2023</w:t>
            </w:r>
          </w:p>
        </w:tc>
      </w:tr>
      <w:tr>
        <w:trPr/>
        <w:tc>
          <w:tcPr>
            <w:tcW w:w="5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284"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(37,322)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162"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(23,307)</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Interest and other income/(expense), net</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(888)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5,570 </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15,587 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1,280 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7,253 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5,532 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in fair value of contingent acquisition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(1,082)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686 </w:t>
            </w:r>
          </w:p>
        </w:tc>
        <w:tc>
          <w:tcPr>
            <w:tcW w:w="2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284"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(13,848)</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162"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(10,082)</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color w:val="000000"/>
          <w:sz w:val="16"/>
          <w:shd w:fill="FEFEFE" w:val="clear"/>
        </w:rPr>
        <w:t>Includes other income/(expe</w:t>
      </w:r>
      <w:r>
        <w:rPr>
          <w:rFonts w:ascii="Times New Roman;sans-serif" w:hAnsi="Times New Roman;sans-serif"/>
          <w:b w:val="false"/>
          <w:color w:val="000000"/>
          <w:sz w:val="16"/>
        </w:rPr>
        <w:t>nse) of $5.0 and $(0.8) million for the three months ended June 30, 2024 and 2023, respectively.</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Second Quarter Reconciliation of GAAP Net Loss to Non-GAAP Net Loss and Non-GAAP Net Loss Per Share</w:t>
      </w:r>
    </w:p>
    <w:tbl>
      <w:tblPr>
        <w:tblW w:w="9794" w:type="dxa"/>
        <w:jc w:val="left"/>
        <w:tblInd w:w="0" w:type="dxa"/>
        <w:tblLayout w:type="fixed"/>
        <w:tblCellMar>
          <w:top w:w="28" w:type="dxa"/>
          <w:left w:w="28" w:type="dxa"/>
          <w:bottom w:w="28" w:type="dxa"/>
          <w:right w:w="28" w:type="dxa"/>
        </w:tblCellMar>
      </w:tblPr>
      <w:tblGrid>
        <w:gridCol w:w="1927"/>
        <w:gridCol w:w="1694"/>
        <w:gridCol w:w="1703"/>
        <w:gridCol w:w="109"/>
        <w:gridCol w:w="109"/>
        <w:gridCol w:w="109"/>
        <w:gridCol w:w="439"/>
        <w:gridCol w:w="229"/>
        <w:gridCol w:w="229"/>
        <w:gridCol w:w="418"/>
        <w:gridCol w:w="408"/>
        <w:gridCol w:w="212"/>
        <w:gridCol w:w="109"/>
        <w:gridCol w:w="109"/>
        <w:gridCol w:w="109"/>
        <w:gridCol w:w="428"/>
        <w:gridCol w:w="228"/>
        <w:gridCol w:w="228"/>
        <w:gridCol w:w="351"/>
        <w:gridCol w:w="355"/>
        <w:gridCol w:w="291"/>
      </w:tblGrid>
      <w:tr>
        <w:trPr/>
        <w:tc>
          <w:tcPr>
            <w:tcW w:w="1927"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ind w:left="0" w:right="0" w:hanging="0"/>
              <w:jc w:val="left"/>
              <w:rPr>
                <w:rFonts w:ascii="Times New Roman;sans-serif" w:hAnsi="Times New Roman;sans-serif"/>
                <w:b w:val="false"/>
                <w:color w:val="000000"/>
                <w:sz w:val="24"/>
              </w:rPr>
            </w:pPr>
            <w:r>
              <w:rPr>
                <w:rFonts w:ascii="Times New Roman;sans-serif" w:hAnsi="Times New Roman;sans-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June 30, 2023</w:t>
            </w:r>
          </w:p>
        </w:tc>
      </w:tr>
      <w:tr>
        <w:trPr/>
        <w:tc>
          <w:tcPr>
            <w:tcW w:w="5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284"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(37,322)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162"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(23,307)</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1,280 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7,253 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5,532 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15,587 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in fair value of contingent acquisition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(1,082)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Gain on bargain 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(1,223)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686 </w:t>
            </w:r>
          </w:p>
        </w:tc>
        <w:tc>
          <w:tcPr>
            <w:tcW w:w="2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284"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(14,821)</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162"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(16,069)</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GAAP net loss per share</w:t>
            </w:r>
            <w:r>
              <w:rPr>
                <w:rFonts w:ascii="Times New Roman;sans-serif" w:hAnsi="Times New Roman;sans-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(0.11)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(0.11)</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0.04 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Non-GAAP net loss per share</w:t>
            </w:r>
            <w:r>
              <w:rPr>
                <w:rFonts w:ascii="Times New Roman;sans-serif" w:hAnsi="Times New Roman;sans-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(0.04)</w:t>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(0.07)</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1)Weighted average common shares outstanding (basic and diluted) for the three months ended June 30, 2024 and 2023 were 331,830,608 and 220,772,111, respectively.</w:t>
      </w:r>
    </w:p>
    <w:p>
      <w:pPr>
        <w:pStyle w:val="TextBody"/>
        <w:bidi w:val="0"/>
        <w:spacing w:before="100" w:after="160"/>
        <w:jc w:val="both"/>
        <w:rPr/>
      </w:pPr>
      <w:r>
        <w:rPr/>
      </w:r>
    </w:p>
    <w:p>
      <w:pPr>
        <w:pStyle w:val="TextBody"/>
        <w:bidi w:val="0"/>
        <w:spacing w:lineRule="auto" w:line="288"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Investors:</w: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Scott Smith</w:t>
      </w:r>
    </w:p>
    <w:p>
      <w:pPr>
        <w:pStyle w:val="TextBody"/>
        <w:bidi w:val="0"/>
        <w:spacing w:lineRule="auto" w:line="288"/>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408-724-1498</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IR@SoundHound.com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Media:</w: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Fiona McEvoy</w: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415-610-6590</w:t>
      </w:r>
    </w:p>
    <w:p>
      <w:pPr>
        <w:pStyle w:val="TextBody"/>
        <w:bidi w:val="0"/>
        <w:spacing w:lineRule="auto" w:line="288"/>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PR@SoundHound.com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085"/>
        <w:gridCol w:w="2561"/>
        <w:gridCol w:w="2558"/>
        <w:gridCol w:w="166"/>
        <w:gridCol w:w="526"/>
        <w:gridCol w:w="109"/>
        <w:gridCol w:w="109"/>
        <w:gridCol w:w="109"/>
        <w:gridCol w:w="109"/>
        <w:gridCol w:w="170"/>
        <w:gridCol w:w="542"/>
        <w:gridCol w:w="161"/>
      </w:tblGrid>
      <w:tr>
        <w:trPr/>
        <w:tc>
          <w:tcPr>
            <w:tcW w:w="3085"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w:t>
              <w:br/>
              <w:t>2023</w:t>
            </w:r>
          </w:p>
        </w:tc>
      </w:tr>
      <w:tr>
        <w:trPr/>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ASSETS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assets: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and cash equivalents</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95,260 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receivable, net of allowances of $439 and $203 as of June 30, 2024 and December 31, 2023,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 and unbilled receivable, net of allowance for credit losses of $108 and $17 of June 30, 2024 and December 31, 2023,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current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assets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224,056 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113,542 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Restricted cash equivalents, non-current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13,775 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Right-of-use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Property and equipment,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Goodwill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Intangible assets,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tax asset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 and unbilled receivable, non-current, net of allowance for credit losses of $171 and $177 of June 30, 2024 and December 31, 2023,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assets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266,674 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151,122 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LIABILITIES AND STOCKHOLDERS’ EQUITY</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liabilities: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payable</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Accrued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13,884 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Finance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Income tax liability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2"/>
              </w:rPr>
              <w:t>Other current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liabilities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24,223 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 net of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Long-term debt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84,312 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Contingent acquisition liabilities (Note 17)</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Income tax liability,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liabilities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122,954 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Commitments and contingencies (Note 7)</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Stockholders’ equity:</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Series A Preferred Stock, $0.0001 par value; 1,000,000 shares authorized; 0 and 475,005 shares issued and outstanding, aggregate liquidation preference of $0 and $16,227 as of June 30, 2024 and December 31, 2023,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14,187 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A Common Stock, $0.0001 par value; 455,000,000 shares authorized; 315,153,605 and 216,943,349 shares issued and outstanding as of June 30, 2024 and December 31, 2023,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B Common Stock, $0.0001 par value; 44,000,000 shares authorized; 32,735,408 and 37,485,408 shares issued and outstanding as of June 30, 2024 and December 31, 2023,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Additional paid-in capital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606,135 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Accumulated deficit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(662,710)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(592,379)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Accumulated other comprehensive income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stockholders’ equity</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223,941 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28,168 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liabilities and stockholders’ equity</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266,674 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151,122 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data)</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84"/>
        <w:gridCol w:w="1199"/>
        <w:gridCol w:w="1214"/>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6"/>
      </w:tblGrid>
      <w:tr>
        <w:trPr/>
        <w:tc>
          <w:tcPr>
            <w:tcW w:w="158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acquisition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dividends attributable to Series A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SoundHound common shareholders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331,830,608 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220,772,111 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309,213,583 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212,970,561 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194" w:type="dxa"/>
        <w:jc w:val="center"/>
        <w:tblInd w:w="0" w:type="dxa"/>
        <w:tblLayout w:type="fixed"/>
        <w:tblCellMar>
          <w:top w:w="28" w:type="dxa"/>
          <w:left w:w="28" w:type="dxa"/>
          <w:bottom w:w="28" w:type="dxa"/>
          <w:right w:w="28" w:type="dxa"/>
        </w:tblCellMar>
      </w:tblPr>
      <w:tblGrid>
        <w:gridCol w:w="2803"/>
        <w:gridCol w:w="2459"/>
        <w:gridCol w:w="2478"/>
        <w:gridCol w:w="196"/>
        <w:gridCol w:w="736"/>
        <w:gridCol w:w="109"/>
        <w:gridCol w:w="109"/>
        <w:gridCol w:w="109"/>
        <w:gridCol w:w="109"/>
        <w:gridCol w:w="196"/>
        <w:gridCol w:w="736"/>
        <w:gridCol w:w="154"/>
      </w:tblGrid>
      <w:tr>
        <w:trPr/>
        <w:tc>
          <w:tcPr>
            <w:tcW w:w="280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used in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change in fair value of ELOC program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gain/loss from remeasurement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acquisition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early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used in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related to 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provided by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Series A Preferred Stock,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Class A common stock under the ELOC program,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sales of Class A common stock under the Sales Agreement and Equity Distribution Agreement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 and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Payment of financing costs associated with the Sales Agreement and Equity Distribution Agreement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long-term debt,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notes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Effects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cash equivalents, and restricted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03"/>
        <w:gridCol w:w="2459"/>
        <w:gridCol w:w="2473"/>
        <w:gridCol w:w="196"/>
        <w:gridCol w:w="736"/>
        <w:gridCol w:w="109"/>
        <w:gridCol w:w="109"/>
        <w:gridCol w:w="109"/>
        <w:gridCol w:w="109"/>
        <w:gridCol w:w="211"/>
        <w:gridCol w:w="736"/>
        <w:gridCol w:w="155"/>
      </w:tblGrid>
      <w:tr>
        <w:trPr/>
        <w:tc>
          <w:tcPr>
            <w:tcW w:w="280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to amounts on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restricted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equivalents shown in the condensed consolidated statements of cash flows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Series A Preferred Stock to Class A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to settle commitment shares related to the ELOC program</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offering costs reclassified to additional paid-in capital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Unpaid financing costs in connection with the Equity Distribution Agreement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debt discount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acquired under accrued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and deferred equity consideration issued for SYNQ3 acquisition</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earnout consideration under SYNQ3 acquisition</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holdback consideration under SYNQ3 acquisition</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deferred cash consideration under other acquisition</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4175</Words>
  <Characters>24246</Characters>
  <CharactersWithSpaces>27911</CharactersWithSpaces>
  <Paragraphs>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