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01/09/2026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29,676</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544,179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transaction was effected pursuant to a Rule 10b5-1 trading plan adopted by the reporting person in December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01/13/2026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2026-01-13T16:48:49Z</dcterms:created>
  <dcterms:modified xsi:type="dcterms:W3CDTF">2026-01-13T16:48:49Z</dcterms:modified>
</cp:coreProperties>
</file>