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00" w:right="619" w:hanging="5101"/>
        <w:spacing w:after="0" w:line="390" w:lineRule="auto"/>
        <w:rPr>
          <w:sz w:val="20"/>
          <w:szCs w:val="20"/>
          <w:color w:val="auto"/>
        </w:rPr>
      </w:pPr>
      <w:r>
        <w:rPr>
          <w:rFonts w:ascii="Times New Roman" w:cs="Times New Roman" w:eastAsia="Times New Roman" w:hAnsi="Times New Roman"/>
          <w:sz w:val="17"/>
          <w:szCs w:val="17"/>
          <w:b w:val="1"/>
          <w:bCs w:val="1"/>
          <w:color w:val="auto"/>
        </w:rPr>
        <w:t>As filed with the United States Securities and Exchange Commission on October 27, 2022. Registration No. 333-264972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394335</wp:posOffset>
            </wp:positionH>
            <wp:positionV relativeFrom="paragraph">
              <wp:posOffset>-35560</wp:posOffset>
            </wp:positionV>
            <wp:extent cx="49396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9665" cy="2476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4445</wp:posOffset>
            </wp:positionV>
            <wp:extent cx="49396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9665" cy="2476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___________________________</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2</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3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___________________________</w:t>
      </w:r>
    </w:p>
    <w:p>
      <w:pPr>
        <w:spacing w:after="0" w:line="8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6"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___________________________</w:t>
      </w:r>
    </w:p>
    <w:p>
      <w:pPr>
        <w:spacing w:after="0" w:line="219" w:lineRule="exact"/>
        <w:rPr>
          <w:sz w:val="24"/>
          <w:szCs w:val="24"/>
          <w:color w:val="auto"/>
        </w:rPr>
      </w:pPr>
    </w:p>
    <w:tbl>
      <w:tblPr>
        <w:tblLayout w:type="fixed"/>
        <w:tblInd w:w="620" w:type="dxa"/>
        <w:tblCellMar>
          <w:top w:w="0" w:type="dxa"/>
          <w:left w:w="0" w:type="dxa"/>
          <w:bottom w:w="0" w:type="dxa"/>
          <w:right w:w="0" w:type="dxa"/>
        </w:tblCellMar>
      </w:tblPr>
      <w:tr>
        <w:trPr>
          <w:trHeight w:val="228"/>
        </w:trPr>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7372</w:t>
            </w:r>
          </w:p>
        </w:tc>
        <w:tc>
          <w:tcPr>
            <w:tcW w:w="8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86-1286799</w:t>
            </w:r>
          </w:p>
        </w:tc>
        <w:tc>
          <w:tcPr>
            <w:tcW w:w="0" w:type="dxa"/>
            <w:vAlign w:val="bottom"/>
          </w:tcPr>
          <w:p>
            <w:pPr>
              <w:spacing w:after="0"/>
              <w:rPr>
                <w:sz w:val="1"/>
                <w:szCs w:val="1"/>
                <w:color w:val="auto"/>
              </w:rPr>
            </w:pPr>
          </w:p>
        </w:tc>
      </w:tr>
      <w:tr>
        <w:trPr>
          <w:trHeight w:val="39"/>
        </w:trPr>
        <w:tc>
          <w:tcPr>
            <w:tcW w:w="25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5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80" w:type="dxa"/>
            <w:vAlign w:val="bottom"/>
            <w:vMerge w:val="continue"/>
          </w:tcPr>
          <w:p>
            <w:pPr>
              <w:spacing w:after="0"/>
              <w:rPr>
                <w:sz w:val="15"/>
                <w:szCs w:val="15"/>
                <w:color w:val="auto"/>
              </w:rPr>
            </w:pPr>
          </w:p>
        </w:tc>
        <w:tc>
          <w:tcPr>
            <w:tcW w:w="25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(Primary Standard Industrial</w:t>
            </w:r>
          </w:p>
        </w:tc>
        <w:tc>
          <w:tcPr>
            <w:tcW w:w="80" w:type="dxa"/>
            <w:vAlign w:val="bottom"/>
            <w:vMerge w:val="continue"/>
          </w:tcPr>
          <w:p>
            <w:pPr>
              <w:spacing w:after="0"/>
              <w:rPr>
                <w:sz w:val="15"/>
                <w:szCs w:val="15"/>
                <w:color w:val="auto"/>
              </w:rPr>
            </w:pPr>
          </w:p>
        </w:tc>
        <w:tc>
          <w:tcPr>
            <w:tcW w:w="26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(I.R.S. Employer</w:t>
            </w:r>
          </w:p>
        </w:tc>
        <w:tc>
          <w:tcPr>
            <w:tcW w:w="0" w:type="dxa"/>
            <w:vAlign w:val="bottom"/>
          </w:tcPr>
          <w:p>
            <w:pPr>
              <w:spacing w:after="0"/>
              <w:rPr>
                <w:sz w:val="1"/>
                <w:szCs w:val="1"/>
                <w:color w:val="auto"/>
              </w:rPr>
            </w:pPr>
          </w:p>
        </w:tc>
      </w:tr>
      <w:tr>
        <w:trPr>
          <w:trHeight w:val="228"/>
        </w:trPr>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Classification Code Number)</w:t>
            </w: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Identification No.)</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(408) 441-3200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offices)</w:t>
      </w:r>
    </w:p>
    <w:p>
      <w:pPr>
        <w:spacing w:after="0" w:line="3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 Keyvan Mohajer</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(408) 441-3200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3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___________________________</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of all communications, including communications sent to agent for service, should be sent to:</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Douglas Ellenoff, Esq.</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Matthew Bernstein,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Ellenoff Grossman &amp; Schole LLP</w:t>
      </w:r>
    </w:p>
    <w:p>
      <w:pPr>
        <w:jc w:val="center"/>
        <w:spacing w:after="0" w:line="230" w:lineRule="auto"/>
        <w:rPr>
          <w:sz w:val="20"/>
          <w:szCs w:val="20"/>
          <w:color w:val="auto"/>
        </w:rPr>
      </w:pPr>
      <w:r>
        <w:rPr>
          <w:rFonts w:ascii="Times New Roman" w:cs="Times New Roman" w:eastAsia="Times New Roman" w:hAnsi="Times New Roman"/>
          <w:sz w:val="17"/>
          <w:szCs w:val="17"/>
          <w:b w:val="1"/>
          <w:bCs w:val="1"/>
          <w:color w:val="auto"/>
        </w:rPr>
        <w:t>1345 Avenue of the Americas, 11</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10105</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(212) 370-1300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Fax: (212) 370-7889</w:t>
      </w:r>
    </w:p>
    <w:p>
      <w:pPr>
        <w:spacing w:after="0" w:line="3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___________________________</w:t>
      </w:r>
    </w:p>
    <w:p>
      <w:pPr>
        <w:spacing w:after="0" w:line="36" w:lineRule="exact"/>
        <w:rPr>
          <w:sz w:val="24"/>
          <w:szCs w:val="24"/>
          <w:color w:val="auto"/>
        </w:rPr>
      </w:pPr>
    </w:p>
    <w:p>
      <w:pPr>
        <w:jc w:val="both"/>
        <w:ind w:left="620" w:right="619" w:firstLine="415"/>
        <w:spacing w:after="0" w:line="241" w:lineRule="auto"/>
        <w:rPr>
          <w:sz w:val="20"/>
          <w:szCs w:val="20"/>
          <w:color w:val="auto"/>
        </w:rPr>
      </w:pPr>
      <w:r>
        <w:rPr>
          <w:rFonts w:ascii="Times New Roman" w:cs="Times New Roman" w:eastAsia="Times New Roman" w:hAnsi="Times New Roman"/>
          <w:sz w:val="14"/>
          <w:szCs w:val="14"/>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jc w:val="both"/>
        <w:ind w:left="620" w:right="639" w:firstLine="415"/>
        <w:spacing w:after="0" w:line="17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620" w:right="619" w:firstLine="415"/>
        <w:spacing w:after="0" w:line="247" w:lineRule="auto"/>
        <w:rPr>
          <w:sz w:val="20"/>
          <w:szCs w:val="20"/>
          <w:color w:val="auto"/>
        </w:rPr>
      </w:pPr>
      <w:r>
        <w:rPr>
          <w:rFonts w:ascii="Times New Roman" w:cs="Times New Roman" w:eastAsia="Times New Roman" w:hAnsi="Times New Roman"/>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620"/>
        <w:spacing w:after="0" w:line="141" w:lineRule="exact"/>
        <w:rPr>
          <w:sz w:val="20"/>
          <w:szCs w:val="20"/>
          <w:color w:val="auto"/>
        </w:rPr>
      </w:pPr>
      <w:r>
        <w:rPr>
          <w:rFonts w:ascii="MS PGothic" w:cs="MS PGothic" w:eastAsia="MS PGothic" w:hAnsi="MS PGothic"/>
          <w:sz w:val="14"/>
          <w:szCs w:val="14"/>
          <w:color w:val="auto"/>
        </w:rPr>
        <w:t>☐</w:t>
      </w:r>
    </w:p>
    <w:p>
      <w:pPr>
        <w:spacing w:after="0" w:line="44" w:lineRule="exact"/>
        <w:rPr>
          <w:sz w:val="24"/>
          <w:szCs w:val="24"/>
          <w:color w:val="auto"/>
        </w:rPr>
      </w:pPr>
    </w:p>
    <w:p>
      <w:pPr>
        <w:jc w:val="both"/>
        <w:ind w:left="620" w:right="619" w:firstLine="415"/>
        <w:spacing w:after="0" w:line="16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jc w:val="both"/>
        <w:ind w:left="620" w:right="639" w:firstLine="415"/>
        <w:spacing w:after="0" w:line="17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020"/>
        <w:spacing w:after="0" w:line="161" w:lineRule="exact"/>
        <w:rPr>
          <w:sz w:val="20"/>
          <w:szCs w:val="20"/>
          <w:color w:val="auto"/>
        </w:rPr>
      </w:pPr>
      <w:r>
        <w:rPr>
          <w:rFonts w:ascii="Times New Roman" w:cs="Times New Roman" w:eastAsia="Times New Roman" w:hAnsi="Times New Roman"/>
          <w:sz w:val="14"/>
          <w:szCs w:val="14"/>
          <w:color w:val="auto"/>
        </w:rPr>
        <w:t xml:space="preserve">If delivery of the Prospectus is expected to be made pursuant to Rule 434, check the following box.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left="620" w:right="619" w:firstLine="415"/>
        <w:spacing w:after="0" w:line="23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102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2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2"/>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2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2"/>
        </w:trPr>
        <w:tc>
          <w:tcPr>
            <w:tcW w:w="1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7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6" w:lineRule="exact"/>
        <w:rPr>
          <w:sz w:val="24"/>
          <w:szCs w:val="24"/>
          <w:color w:val="auto"/>
        </w:rPr>
      </w:pPr>
    </w:p>
    <w:p>
      <w:pPr>
        <w:jc w:val="both"/>
        <w:ind w:left="620" w:right="639" w:firstLine="415"/>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1" w:lineRule="exact"/>
        <w:rPr>
          <w:sz w:val="24"/>
          <w:szCs w:val="24"/>
          <w:color w:val="auto"/>
        </w:rPr>
      </w:pPr>
    </w:p>
    <w:p>
      <w:pPr>
        <w:jc w:val="both"/>
        <w:ind w:left="620" w:right="619" w:firstLine="415"/>
        <w:spacing w:after="0" w:line="227"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394335</wp:posOffset>
            </wp:positionH>
            <wp:positionV relativeFrom="paragraph">
              <wp:posOffset>163830</wp:posOffset>
            </wp:positionV>
            <wp:extent cx="49396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2476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205105</wp:posOffset>
            </wp:positionV>
            <wp:extent cx="49396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2476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468630</wp:posOffset>
            </wp:positionV>
            <wp:extent cx="4939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599" w:right="1440" w:bottom="951" w:gutter="0" w:footer="0" w:header="0"/>
        </w:sectPr>
      </w:pPr>
    </w:p>
    <w:bookmarkStart w:id="1" w:name="page2"/>
    <w:bookmarkEnd w:id="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6" w:lineRule="exact"/>
        <w:rPr>
          <w:sz w:val="20"/>
          <w:szCs w:val="20"/>
          <w:color w:val="auto"/>
        </w:rPr>
      </w:pPr>
    </w:p>
    <w:p>
      <w:pPr>
        <w:jc w:val="both"/>
        <w:ind w:left="620" w:right="619"/>
        <w:spacing w:after="0" w:line="232" w:lineRule="auto"/>
        <w:rPr>
          <w:sz w:val="20"/>
          <w:szCs w:val="20"/>
          <w:color w:val="auto"/>
        </w:rPr>
      </w:pPr>
      <w:r>
        <w:rPr>
          <w:rFonts w:ascii="Times New Roman" w:cs="Times New Roman" w:eastAsia="Times New Roman" w:hAnsi="Times New Roman"/>
          <w:sz w:val="14"/>
          <w:szCs w:val="14"/>
          <w:b w:val="1"/>
          <w:bCs w:val="1"/>
          <w:color w:val="D223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72" w:lineRule="exact"/>
        <w:rPr>
          <w:sz w:val="20"/>
          <w:szCs w:val="20"/>
          <w:color w:val="auto"/>
        </w:rPr>
      </w:pPr>
    </w:p>
    <w:p>
      <w:pPr>
        <w:ind w:left="620"/>
        <w:spacing w:after="0"/>
        <w:tabs>
          <w:tab w:leader="none" w:pos="3380" w:val="left"/>
          <w:tab w:leader="none" w:pos="6220" w:val="left"/>
        </w:tabs>
        <w:rPr>
          <w:sz w:val="20"/>
          <w:szCs w:val="20"/>
          <w:color w:val="auto"/>
        </w:rPr>
      </w:pPr>
      <w:r>
        <w:rPr>
          <w:rFonts w:ascii="Times New Roman" w:cs="Times New Roman" w:eastAsia="Times New Roman" w:hAnsi="Times New Roman"/>
          <w:sz w:val="17"/>
          <w:szCs w:val="17"/>
          <w:b w:val="1"/>
          <w:bCs w:val="1"/>
          <w:color w:val="D2232A"/>
        </w:rPr>
        <w:t>PRELIMINARY PROSPECTUS</w:t>
      </w:r>
      <w:r>
        <w:rPr>
          <w:sz w:val="20"/>
          <w:szCs w:val="20"/>
          <w:color w:val="auto"/>
        </w:rPr>
        <w:tab/>
      </w:r>
      <w:r>
        <w:rPr>
          <w:rFonts w:ascii="Times New Roman" w:cs="Times New Roman" w:eastAsia="Times New Roman" w:hAnsi="Times New Roman"/>
          <w:sz w:val="17"/>
          <w:szCs w:val="17"/>
          <w:b w:val="1"/>
          <w:bCs w:val="1"/>
          <w:color w:val="D2232A"/>
        </w:rPr>
        <w:t>SUBJECT TO COMPLETION</w:t>
      </w:r>
      <w:r>
        <w:rPr>
          <w:sz w:val="20"/>
          <w:szCs w:val="20"/>
          <w:color w:val="auto"/>
        </w:rPr>
        <w:tab/>
      </w:r>
      <w:r>
        <w:rPr>
          <w:rFonts w:ascii="Times New Roman" w:cs="Times New Roman" w:eastAsia="Times New Roman" w:hAnsi="Times New Roman"/>
          <w:sz w:val="17"/>
          <w:szCs w:val="17"/>
          <w:b w:val="1"/>
          <w:bCs w:val="1"/>
          <w:color w:val="D2232A"/>
        </w:rPr>
        <w:t>DATED OCTOBER 27, 2022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SOUNDHOUND AI,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56,348,404 Shares of Class A Common Stock</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40,396,600 Shares of Class A Common Stock Underlying Shares of Class B Common</w:t>
      </w:r>
    </w:p>
    <w:p>
      <w:pPr>
        <w:jc w:val="center"/>
        <w:spacing w:after="0" w:line="231" w:lineRule="auto"/>
        <w:rPr>
          <w:sz w:val="20"/>
          <w:szCs w:val="20"/>
          <w:color w:val="auto"/>
        </w:rPr>
      </w:pPr>
      <w:r>
        <w:rPr>
          <w:rFonts w:ascii="Times New Roman" w:cs="Times New Roman" w:eastAsia="Times New Roman" w:hAnsi="Times New Roman"/>
          <w:sz w:val="21"/>
          <w:szCs w:val="21"/>
          <w:b w:val="1"/>
          <w:bCs w:val="1"/>
          <w:color w:val="auto"/>
        </w:rPr>
        <w:t>Stock</w:t>
      </w:r>
    </w:p>
    <w:p>
      <w:pPr>
        <w:jc w:val="center"/>
        <w:spacing w:after="0" w:line="232" w:lineRule="auto"/>
        <w:rPr>
          <w:sz w:val="20"/>
          <w:szCs w:val="20"/>
          <w:color w:val="auto"/>
        </w:rPr>
      </w:pPr>
      <w:r>
        <w:rPr>
          <w:rFonts w:ascii="Times New Roman" w:cs="Times New Roman" w:eastAsia="Times New Roman" w:hAnsi="Times New Roman"/>
          <w:sz w:val="21"/>
          <w:szCs w:val="21"/>
          <w:b w:val="1"/>
          <w:bCs w:val="1"/>
          <w:color w:val="auto"/>
        </w:rPr>
        <w:t>174,750 Placement Warrants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3,457,996 Shares of Class A Common Stock Underlying Warrants</w:t>
      </w:r>
    </w:p>
    <w:p>
      <w:pPr>
        <w:spacing w:after="0" w:line="38" w:lineRule="exact"/>
        <w:rPr>
          <w:sz w:val="20"/>
          <w:szCs w:val="20"/>
          <w:color w:val="auto"/>
        </w:rPr>
      </w:pPr>
    </w:p>
    <w:p>
      <w:pPr>
        <w:jc w:val="both"/>
        <w:ind w:left="620" w:right="619" w:firstLine="415"/>
        <w:spacing w:after="0" w:line="231" w:lineRule="auto"/>
        <w:rPr>
          <w:sz w:val="20"/>
          <w:szCs w:val="20"/>
          <w:color w:val="auto"/>
        </w:rPr>
      </w:pPr>
      <w:r>
        <w:rPr>
          <w:rFonts w:ascii="Times New Roman" w:cs="Times New Roman" w:eastAsia="Times New Roman" w:hAnsi="Times New Roman"/>
          <w:sz w:val="13"/>
          <w:szCs w:val="13"/>
          <w:color w:val="auto"/>
        </w:rPr>
        <w:t>This prospectus relates to (i) the offer and resale of an aggregate of up to 56,348,404 shares of Class A common stock, par value $0.0001 per share (the “Class A Shares” or “Class A Common Stock”), of SoundHound AI, Inc. (“SoundHound AI,” “the Company,” “we,” “us” or “our”) held by selling securityholders named in this prospectus (each a “Selling Securityholder” and, collectively with the securityholders in (ii) and (iii) below, the “Selling Securityholders”), including (a) the PIPE Shares (as defined below) issued at $10.00 per share, (b) securities held by our officers, directors and their affiliates which were originally issued as (1) founder shares in connection with ATSP’s IPO (each as defined below) for approximately $0.009 per share and (2) as part of placement units in connection with ATSP’s IPO at a price of $10.00 per placement unit, and (c) shares of Class A Common Stock exercisable under options held by certain of the Selling Securityholders which were assumed by us and converted into options of SoundHound AI in connection with the Business Combination (as defined below) and have an weighted average exercise price of $3.05 per share after giving effect to the Business Combination, (ii) the resale by certain of our affiliates from time to time of up to 40,396,600 Class A Shares issuable upon conversion of shares of Class B common stock, par value $0.0001 per share, issued pursuant to the Merger Agreement (as defined below) in connection with the Business Combination as merger consideration at an acquiror share value of $0.0073 per share (the “Class B Shares” or “Class B Common Stock”),</w:t>
      </w:r>
    </w:p>
    <w:p>
      <w:pPr>
        <w:spacing w:after="0" w:line="1" w:lineRule="exact"/>
        <w:rPr>
          <w:sz w:val="20"/>
          <w:szCs w:val="20"/>
          <w:color w:val="auto"/>
        </w:rPr>
      </w:pPr>
    </w:p>
    <w:p>
      <w:pPr>
        <w:jc w:val="both"/>
        <w:ind w:left="620" w:right="619" w:hanging="5"/>
        <w:spacing w:after="0" w:line="219" w:lineRule="auto"/>
        <w:tabs>
          <w:tab w:leader="none" w:pos="863"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resale from time to time of up to 174,750 unregistered warrants, each exercisable for one share of Class A Common Stock at a price of $11.50, subject to adjustment, which were originally issued as part of placement units in connection with ATSP’s IPO at a price of $10.00 per placement unit (the “Placement Warrants”) and (iv) the issuance by us of up to 3,457,996 Class A Shares upon the exercise of outstanding registered warrants to purchase our Class A Shares at an exercise price of $11.50, which were originally issued as part of the units in connection with ATSP’s IPO at a price of $10.00 per unit (the “Registered Warrants”).</w:t>
      </w:r>
    </w:p>
    <w:p>
      <w:pPr>
        <w:spacing w:after="0" w:line="1" w:lineRule="exact"/>
        <w:rPr>
          <w:sz w:val="20"/>
          <w:szCs w:val="20"/>
          <w:color w:val="auto"/>
        </w:rPr>
      </w:pPr>
    </w:p>
    <w:p>
      <w:pPr>
        <w:jc w:val="both"/>
        <w:ind w:left="620" w:right="619" w:firstLine="415"/>
        <w:spacing w:after="0" w:line="222" w:lineRule="auto"/>
        <w:rPr>
          <w:sz w:val="20"/>
          <w:szCs w:val="20"/>
          <w:color w:val="auto"/>
        </w:rPr>
      </w:pPr>
      <w:r>
        <w:rPr>
          <w:rFonts w:ascii="Times New Roman" w:cs="Times New Roman" w:eastAsia="Times New Roman" w:hAnsi="Times New Roman"/>
          <w:sz w:val="14"/>
          <w:szCs w:val="14"/>
          <w:color w:val="auto"/>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contemplated by the Merger Agreement (the Merger and such other transactions, the “Business Combination”). As a result of the Business Combination, SoundHound became a wholly owned subsidiary of ATSP and ATSP changed its name to “SoundHound AI, Inc.” SoundHound AI currently owns 100% of the outstanding common stock of SoundHound, Inc.</w:t>
      </w:r>
    </w:p>
    <w:p>
      <w:pPr>
        <w:spacing w:after="0" w:line="1" w:lineRule="exact"/>
        <w:rPr>
          <w:sz w:val="20"/>
          <w:szCs w:val="20"/>
          <w:color w:val="auto"/>
        </w:rPr>
      </w:pPr>
    </w:p>
    <w:p>
      <w:pPr>
        <w:jc w:val="both"/>
        <w:ind w:left="620" w:right="619" w:firstLine="415"/>
        <w:spacing w:after="0" w:line="220" w:lineRule="auto"/>
        <w:rPr>
          <w:sz w:val="20"/>
          <w:szCs w:val="20"/>
          <w:color w:val="auto"/>
        </w:rPr>
      </w:pPr>
      <w:r>
        <w:rPr>
          <w:rFonts w:ascii="Times New Roman" w:cs="Times New Roman" w:eastAsia="Times New Roman" w:hAnsi="Times New Roman"/>
          <w:sz w:val="14"/>
          <w:szCs w:val="14"/>
          <w:color w:val="auto"/>
        </w:rPr>
        <w:t>In connection with the Merger Agreement, ATSP entered into subscription agreements (collectively, the “Subscription Agreements”) with certain accredited investors (the “Subscribers”) pursuant to which the Subscribers agreed to purchase, and ATSP agreed to sell to the Subscribers, an aggregate of 11,300,000 shares of Class A Common Stock (“PIPE Shares”), for a purchase price of $10.00 per share and an aggregate purchase price of $113,000,000 (the “PIPE Investment”). The PIPE Shares are identical to the shares of common stock that were held by the Company’s public stockholders at the time of the closing of the Business Combination, except that the PIPE Shares were not registered under the Securities Act of 1933, as amended, and are restricted shares. The sale of PIPE Shares was consummated concurrently with the closing of the Merger Agreement.</w:t>
      </w:r>
    </w:p>
    <w:p>
      <w:pPr>
        <w:spacing w:after="0" w:line="4" w:lineRule="exact"/>
        <w:rPr>
          <w:sz w:val="20"/>
          <w:szCs w:val="20"/>
          <w:color w:val="auto"/>
        </w:rPr>
      </w:pPr>
    </w:p>
    <w:p>
      <w:pPr>
        <w:jc w:val="both"/>
        <w:ind w:left="620" w:right="619" w:firstLine="415"/>
        <w:spacing w:after="0" w:line="217" w:lineRule="auto"/>
        <w:rPr>
          <w:sz w:val="20"/>
          <w:szCs w:val="20"/>
          <w:color w:val="auto"/>
        </w:rPr>
      </w:pPr>
      <w:r>
        <w:rPr>
          <w:rFonts w:ascii="Times New Roman" w:cs="Times New Roman" w:eastAsia="Times New Roman" w:hAnsi="Times New Roman"/>
          <w:sz w:val="14"/>
          <w:szCs w:val="14"/>
          <w:color w:val="auto"/>
        </w:rPr>
        <w:t>We are also registering the issuance of shares of Class A Common Stock issuable upon exercise of certain Registered Warrants as provided in the Warrant Agreement (as defined below) and the resale of certain of the unregistered Placement Warrants. The shares of common stock issuable upon exercise of the Registered Warrants, as a percentage of the total number of shares of common stock issuable upon exercise of the Warrants (as hereinafter defined), represent 94.4% of the total number of shares of common stock issuable upon exercise of Warrants. Whether we will receive cash proceeds associated with the exercise of Warrants is dependent on our stock price. To the extent the sales price of Class A Shares is lower than the exercise price of such Warrants, we are unlikely to receive proceeds from the exercise of such Warrants. None of the Warrants have been exercised to date. We do not currently anticipate this will have a material impact on our liquidity.</w:t>
      </w:r>
    </w:p>
    <w:p>
      <w:pPr>
        <w:spacing w:after="0" w:line="3" w:lineRule="exact"/>
        <w:rPr>
          <w:sz w:val="20"/>
          <w:szCs w:val="20"/>
          <w:color w:val="auto"/>
        </w:rPr>
      </w:pPr>
    </w:p>
    <w:p>
      <w:pPr>
        <w:jc w:val="both"/>
        <w:ind w:left="620" w:right="639" w:firstLine="415"/>
        <w:spacing w:after="0" w:line="241" w:lineRule="auto"/>
        <w:rPr>
          <w:sz w:val="20"/>
          <w:szCs w:val="20"/>
          <w:color w:val="auto"/>
        </w:rPr>
      </w:pPr>
      <w:r>
        <w:rPr>
          <w:rFonts w:ascii="Times New Roman" w:cs="Times New Roman" w:eastAsia="Times New Roman" w:hAnsi="Times New Roman"/>
          <w:sz w:val="14"/>
          <w:szCs w:val="14"/>
          <w:color w:val="auto"/>
        </w:rPr>
        <w:t>This prospectus also covers any additional shares of Class A Common Stock that may become issuable upon any anti-dilution adjustment pursuant to the terms of the Warrants by reason of stock splits, stock dividends, and other events described therein.</w:t>
      </w:r>
    </w:p>
    <w:p>
      <w:pPr>
        <w:spacing w:after="0" w:line="1" w:lineRule="exact"/>
        <w:rPr>
          <w:sz w:val="20"/>
          <w:szCs w:val="20"/>
          <w:color w:val="auto"/>
        </w:rPr>
      </w:pPr>
    </w:p>
    <w:p>
      <w:pPr>
        <w:jc w:val="both"/>
        <w:ind w:left="620" w:right="619" w:firstLine="415"/>
        <w:spacing w:after="0" w:line="217" w:lineRule="auto"/>
        <w:rPr>
          <w:sz w:val="20"/>
          <w:szCs w:val="20"/>
          <w:color w:val="auto"/>
        </w:rPr>
      </w:pPr>
      <w:r>
        <w:rPr>
          <w:rFonts w:ascii="Times New Roman" w:cs="Times New Roman" w:eastAsia="Times New Roman" w:hAnsi="Times New Roman"/>
          <w:sz w:val="14"/>
          <w:szCs w:val="14"/>
          <w:color w:val="auto"/>
        </w:rPr>
        <w:t>In connection with the Business Combination, holders of 96% of ATSP’s securities with redemption rights exercised their right to redeem their securities for cash at a redemption price of approximately $10.00 per unit, for an aggregate redemption amount of $127,679,500. The shares of Class A Common Stock being offered for resale pursuant to this prospectus by the selling securityholders represent approximately 23.6% of shares outstanding on a fully diluted basis as of October 19, 2022. Given the substantial number of shares of Class A Common Stock being registered for potential resale by selling securityholders pursuant to this prospectus, the sale of shares by the selling securityholders, or the perception in the market that the selling securityholders of a large number of shares intend to sell shares, could increase the volatility of the market price of our common stock or result in a significant decline in the public trading price of our common stock. Even if our trading price is significantly below $10.00, the offering price for the units offered in ATSP’s IPO, certain of the selling securityholders may still have an incentive to sell shares of our common stock because they purchased or received the shares at prices lower than the public investors or the current trading price of our common stock. For example, based on the closing price of our Class A Common Stock of $3.13 as of October 19, 2022, holders of the founder shares may experience a potential profit of up to approximately $3.12 per share, or approximately $10.4 million in the aggregate.</w:t>
      </w:r>
    </w:p>
    <w:p>
      <w:pPr>
        <w:spacing w:after="0" w:line="3" w:lineRule="exact"/>
        <w:rPr>
          <w:sz w:val="20"/>
          <w:szCs w:val="20"/>
          <w:color w:val="auto"/>
        </w:rPr>
      </w:pPr>
    </w:p>
    <w:p>
      <w:pPr>
        <w:jc w:val="both"/>
        <w:ind w:left="620" w:right="619" w:firstLine="415"/>
        <w:spacing w:after="0" w:line="219" w:lineRule="auto"/>
        <w:rPr>
          <w:sz w:val="20"/>
          <w:szCs w:val="20"/>
          <w:color w:val="auto"/>
        </w:rPr>
      </w:pPr>
      <w:r>
        <w:rPr>
          <w:rFonts w:ascii="Times New Roman" w:cs="Times New Roman" w:eastAsia="Times New Roman" w:hAnsi="Times New Roman"/>
          <w:sz w:val="14"/>
          <w:szCs w:val="14"/>
          <w:color w:val="auto"/>
        </w:rPr>
        <w:t>The Selling Securityholders, or their respective transferees, pledgees, donees or other successors-in-interest, may sell their securities through public or private transactions at prevailing market prices, at prices related to prevailing market prices or at privately negotiated prices. The Selling Securityholders may sell any, all or none of the securities offered by this prospectus, and we do not know when or in what amount the Selling Securityholders may sell their shares, Placement Warrants or Warrant Shares hereunder following the effective date of the registration statement of which this prospectus forms a part. We provide more information about how a Selling Securityholder may sell shares or Warrant Shares in the section titled “Plan of Distribution” on page 124.</w:t>
      </w:r>
    </w:p>
    <w:p>
      <w:pPr>
        <w:spacing w:after="0" w:line="1" w:lineRule="exact"/>
        <w:rPr>
          <w:sz w:val="20"/>
          <w:szCs w:val="20"/>
          <w:color w:val="auto"/>
        </w:rPr>
      </w:pPr>
    </w:p>
    <w:p>
      <w:pPr>
        <w:jc w:val="both"/>
        <w:ind w:left="620" w:right="619" w:firstLine="415"/>
        <w:spacing w:after="0" w:line="219" w:lineRule="auto"/>
        <w:rPr>
          <w:sz w:val="20"/>
          <w:szCs w:val="20"/>
          <w:color w:val="auto"/>
        </w:rPr>
      </w:pPr>
      <w:r>
        <w:rPr>
          <w:rFonts w:ascii="Times New Roman" w:cs="Times New Roman" w:eastAsia="Times New Roman" w:hAnsi="Times New Roman"/>
          <w:sz w:val="14"/>
          <w:szCs w:val="14"/>
          <w:color w:val="auto"/>
        </w:rPr>
        <w:t>We are registering the securities on behalf of the Selling Securityholders, to be offered and sold by them from time to time as well as on behalf of the Company with respect to the Warrant Shares issuable upon exercise of the Registered Warrants. We will not receive any proceeds from the sale of our shares or Placement Warrants by the Selling Securityholders in the offering described in this prospectus, but we will receive proceeds resulting from any exercise of the Registered Warrants and Placement Warrants. We cannot predict when and in what amounts or if the Registered Warrants or Placement Warrants will be exercised. We have agreed to bear all of the expenses incurred in connection with the registration of the securities registered hereunder. The Selling Securityholders will be responsible for the payment of all discounts, commissions and fees of underwriters, selling brokers or dealer managers and similar expenses, if any, incurred in connection with the sale of their shares and Placement Warrants.</w:t>
      </w:r>
    </w:p>
    <w:p>
      <w:pPr>
        <w:spacing w:after="0" w:line="5" w:lineRule="exact"/>
        <w:rPr>
          <w:sz w:val="20"/>
          <w:szCs w:val="20"/>
          <w:color w:val="auto"/>
        </w:rPr>
      </w:pPr>
    </w:p>
    <w:p>
      <w:pPr>
        <w:jc w:val="both"/>
        <w:ind w:left="620" w:right="619" w:firstLine="415"/>
        <w:spacing w:after="0" w:line="231" w:lineRule="auto"/>
        <w:rPr>
          <w:sz w:val="20"/>
          <w:szCs w:val="20"/>
          <w:color w:val="auto"/>
        </w:rPr>
      </w:pPr>
      <w:r>
        <w:rPr>
          <w:rFonts w:ascii="Times New Roman" w:cs="Times New Roman" w:eastAsia="Times New Roman" w:hAnsi="Times New Roman"/>
          <w:sz w:val="14"/>
          <w:szCs w:val="14"/>
          <w:color w:val="auto"/>
        </w:rPr>
        <w:t>We are an “emerging growth company” and a “smaller reporting company” as such terms are defined under federal securities laws, and, as such have elected to take advantage of certain reduced public company reporting requirements for this prospectus and may elect to do so in future filings.</w:t>
      </w:r>
    </w:p>
    <w:p>
      <w:pPr>
        <w:spacing w:after="0" w:line="2" w:lineRule="exact"/>
        <w:rPr>
          <w:sz w:val="20"/>
          <w:szCs w:val="20"/>
          <w:color w:val="auto"/>
        </w:rPr>
      </w:pPr>
    </w:p>
    <w:p>
      <w:pPr>
        <w:jc w:val="both"/>
        <w:ind w:left="620" w:right="619" w:firstLine="415"/>
        <w:spacing w:after="0" w:line="225" w:lineRule="auto"/>
        <w:rPr>
          <w:sz w:val="20"/>
          <w:szCs w:val="20"/>
          <w:color w:val="auto"/>
        </w:rPr>
      </w:pPr>
      <w:r>
        <w:rPr>
          <w:rFonts w:ascii="Times New Roman" w:cs="Times New Roman" w:eastAsia="Times New Roman" w:hAnsi="Times New Roman"/>
          <w:sz w:val="14"/>
          <w:szCs w:val="14"/>
          <w:color w:val="auto"/>
        </w:rPr>
        <w:t>Our Class A Shares and Registered Warrants are listed on The Nasdaq Global Market under the symbols “SOUN” and “SOUNW,” respectively. On October 19, 2022, the last reported sales price of the Class A Common Stock was $3.13 per share and the last reported sales price of our Registered Warrants was $0.29 per warrant.</w:t>
      </w:r>
    </w:p>
    <w:p>
      <w:pPr>
        <w:spacing w:after="0" w:line="1" w:lineRule="exact"/>
        <w:rPr>
          <w:sz w:val="20"/>
          <w:szCs w:val="20"/>
          <w:color w:val="auto"/>
        </w:rPr>
      </w:pPr>
    </w:p>
    <w:p>
      <w:pPr>
        <w:jc w:val="both"/>
        <w:ind w:left="620" w:right="639" w:firstLine="415"/>
        <w:spacing w:after="0" w:line="241"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read this entire prospectus and any amendments or supplements carefully before you make your investment decision.</w:t>
      </w:r>
    </w:p>
    <w:p>
      <w:pPr>
        <w:ind w:left="1020"/>
        <w:spacing w:after="0"/>
        <w:rPr>
          <w:sz w:val="20"/>
          <w:szCs w:val="20"/>
          <w:color w:val="auto"/>
        </w:rPr>
      </w:pPr>
      <w:r>
        <w:rPr>
          <w:rFonts w:ascii="Times New Roman" w:cs="Times New Roman" w:eastAsia="Times New Roman" w:hAnsi="Times New Roman"/>
          <w:sz w:val="13"/>
          <w:szCs w:val="13"/>
          <w:b w:val="1"/>
          <w:bCs w:val="1"/>
          <w:color w:val="auto"/>
        </w:rPr>
        <w:t>Investing in our securities involves a high degree of risk. Please read “Risk Factors” beginning on page 13 of this prospectus.</w:t>
      </w:r>
    </w:p>
    <w:p>
      <w:pPr>
        <w:spacing w:after="0" w:line="32" w:lineRule="exact"/>
        <w:rPr>
          <w:sz w:val="20"/>
          <w:szCs w:val="20"/>
          <w:color w:val="auto"/>
        </w:rPr>
      </w:pPr>
    </w:p>
    <w:p>
      <w:pPr>
        <w:jc w:val="both"/>
        <w:ind w:left="620" w:right="639" w:firstLine="415"/>
        <w:spacing w:after="0" w:line="259"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0" w:lineRule="exact"/>
        <w:rPr>
          <w:sz w:val="20"/>
          <w:szCs w:val="20"/>
          <w:color w:val="auto"/>
        </w:rPr>
      </w:pPr>
    </w:p>
    <w:tbl>
      <w:tblPr>
        <w:tblLayout w:type="fixed"/>
        <w:tblInd w:w="620" w:type="dxa"/>
        <w:tblCellMar>
          <w:top w:w="0" w:type="dxa"/>
          <w:left w:w="0" w:type="dxa"/>
          <w:bottom w:w="0" w:type="dxa"/>
          <w:right w:w="0" w:type="dxa"/>
        </w:tblCellMar>
      </w:tblPr>
      <w:tr>
        <w:trPr>
          <w:trHeight w:val="228"/>
        </w:trPr>
        <w:tc>
          <w:tcPr>
            <w:tcW w:w="4740" w:type="dxa"/>
            <w:vAlign w:val="bottom"/>
          </w:tcPr>
          <w:p>
            <w:pPr>
              <w:ind w:left="2340"/>
              <w:spacing w:after="0"/>
              <w:rPr>
                <w:sz w:val="20"/>
                <w:szCs w:val="20"/>
                <w:color w:val="auto"/>
              </w:rPr>
            </w:pPr>
            <w:r>
              <w:rPr>
                <w:rFonts w:ascii="Times New Roman" w:cs="Times New Roman" w:eastAsia="Times New Roman" w:hAnsi="Times New Roman"/>
                <w:sz w:val="17"/>
                <w:szCs w:val="17"/>
                <w:b w:val="1"/>
                <w:bCs w:val="1"/>
                <w:color w:val="auto"/>
              </w:rPr>
              <w:t>The date of this prospectus is</w:t>
            </w:r>
          </w:p>
        </w:tc>
        <w:tc>
          <w:tcPr>
            <w:tcW w:w="3040" w:type="dxa"/>
            <w:vAlign w:val="bottom"/>
          </w:tcPr>
          <w:p>
            <w:pPr>
              <w:jc w:val="right"/>
              <w:ind w:right="2254"/>
              <w:spacing w:after="0"/>
              <w:rPr>
                <w:sz w:val="20"/>
                <w:szCs w:val="20"/>
                <w:color w:val="auto"/>
              </w:rPr>
            </w:pPr>
            <w:r>
              <w:rPr>
                <w:rFonts w:ascii="Times New Roman" w:cs="Times New Roman" w:eastAsia="Times New Roman" w:hAnsi="Times New Roman"/>
                <w:sz w:val="17"/>
                <w:szCs w:val="17"/>
                <w:b w:val="1"/>
                <w:bCs w:val="1"/>
                <w:color w:val="auto"/>
              </w:rPr>
              <w:t>, 2022</w:t>
            </w:r>
          </w:p>
        </w:tc>
      </w:tr>
      <w:tr>
        <w:trPr>
          <w:trHeight w:val="376"/>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874" w:gutter="0" w:footer="0" w:header="0"/>
        </w:sectPr>
      </w:pPr>
    </w:p>
    <w:bookmarkStart w:id="2" w:name="page3"/>
    <w:bookmarkEnd w:id="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4"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45"/>
        </w:trPr>
        <w:tc>
          <w:tcPr>
            <w:tcW w:w="16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0000EE"/>
            </w:tcBorders>
          </w:tcPr>
          <w:p>
            <w:pPr>
              <w:spacing w:after="0"/>
              <w:rPr>
                <w:sz w:val="20"/>
                <w:szCs w:val="20"/>
                <w:color w:val="auto"/>
              </w:rPr>
            </w:pPr>
          </w:p>
        </w:tc>
        <w:tc>
          <w:tcPr>
            <w:tcW w:w="2120" w:type="dxa"/>
            <w:vAlign w:val="bottom"/>
            <w:tcBorders>
              <w:top w:val="single" w:sz="8" w:color="CCEEFF"/>
              <w:bottom w:val="single" w:sz="8" w:color="0000EE"/>
            </w:tcBorders>
            <w:gridSpan w:val="10"/>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9"/>
              </w:rPr>
              <w:t>ABOUT THIS PROSPECTUS</w:t>
            </w:r>
          </w:p>
        </w:tc>
        <w:tc>
          <w:tcPr>
            <w:tcW w:w="4840" w:type="dxa"/>
            <w:vAlign w:val="bottom"/>
            <w:tcBorders>
              <w:top w:val="single" w:sz="8" w:color="CCEEFF"/>
              <w:bottom w:val="single" w:sz="8" w:color="CCEEFF"/>
            </w:tcBorders>
            <w:gridSpan w:val="19"/>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4"/>
        </w:trPr>
        <w:tc>
          <w:tcPr>
            <w:tcW w:w="69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MARKET AND INDUSTRY DATA</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60" w:type="dxa"/>
            <w:vAlign w:val="bottom"/>
            <w:gridSpan w:val="2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194"/>
        </w:trPr>
        <w:tc>
          <w:tcPr>
            <w:tcW w:w="5540" w:type="dxa"/>
            <w:vAlign w:val="bottom"/>
            <w:tcBorders>
              <w:top w:val="single" w:sz="8" w:color="0000EE"/>
            </w:tcBorders>
            <w:gridSpan w:val="26"/>
          </w:tcPr>
          <w:p>
            <w:pPr>
              <w:spacing w:after="0" w:line="194" w:lineRule="exact"/>
              <w:rPr>
                <w:sz w:val="20"/>
                <w:szCs w:val="20"/>
                <w:color w:val="auto"/>
              </w:rPr>
            </w:pPr>
            <w:r>
              <w:rPr>
                <w:rFonts w:ascii="Times New Roman" w:cs="Times New Roman" w:eastAsia="Times New Roman" w:hAnsi="Times New Roman"/>
                <w:sz w:val="17"/>
                <w:szCs w:val="17"/>
                <w:color w:val="0000EE"/>
              </w:rPr>
              <w:t>PROSPECTUS SUMMARY</w:t>
            </w:r>
          </w:p>
        </w:tc>
        <w:tc>
          <w:tcPr>
            <w:tcW w:w="1440" w:type="dxa"/>
            <w:vAlign w:val="bottom"/>
            <w:tcBorders>
              <w:top w:val="single" w:sz="8" w:color="CCEEFF"/>
            </w:tcBorders>
            <w:gridSpan w:val="4"/>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1180" w:type="dxa"/>
            <w:vAlign w:val="bottom"/>
            <w:tcBorders>
              <w:bottom w:val="single" w:sz="8" w:color="0000EE"/>
            </w:tcBorders>
            <w:gridSpan w:val="4"/>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7"/>
              </w:rPr>
              <w:t>RISK FACTORS</w:t>
            </w:r>
          </w:p>
        </w:tc>
        <w:tc>
          <w:tcPr>
            <w:tcW w:w="5780" w:type="dxa"/>
            <w:vAlign w:val="bottom"/>
            <w:tcBorders>
              <w:bottom w:val="single" w:sz="8" w:color="CCEEFF"/>
            </w:tcBorders>
            <w:gridSpan w:val="25"/>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13</w:t>
            </w:r>
          </w:p>
        </w:tc>
        <w:tc>
          <w:tcPr>
            <w:tcW w:w="0" w:type="dxa"/>
            <w:vAlign w:val="bottom"/>
          </w:tcPr>
          <w:p>
            <w:pPr>
              <w:spacing w:after="0"/>
              <w:rPr>
                <w:sz w:val="1"/>
                <w:szCs w:val="1"/>
                <w:color w:val="auto"/>
              </w:rPr>
            </w:pPr>
          </w:p>
        </w:tc>
      </w:tr>
      <w:tr>
        <w:trPr>
          <w:trHeight w:val="194"/>
        </w:trPr>
        <w:tc>
          <w:tcPr>
            <w:tcW w:w="69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USE OF PROCEEDS</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38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3080" w:type="dxa"/>
            <w:vAlign w:val="bottom"/>
            <w:tcBorders>
              <w:bottom w:val="single" w:sz="8" w:color="0000EE"/>
            </w:tcBorders>
            <w:gridSpan w:val="1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9"/>
              </w:rPr>
              <w:t>DETERMINATION OF OFFERING PRICE</w:t>
            </w:r>
          </w:p>
        </w:tc>
        <w:tc>
          <w:tcPr>
            <w:tcW w:w="3880" w:type="dxa"/>
            <w:vAlign w:val="bottom"/>
            <w:tcBorders>
              <w:bottom w:val="single" w:sz="8" w:color="CCEEFF"/>
            </w:tcBorders>
            <w:gridSpan w:val="10"/>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39</w:t>
            </w:r>
          </w:p>
        </w:tc>
        <w:tc>
          <w:tcPr>
            <w:tcW w:w="0" w:type="dxa"/>
            <w:vAlign w:val="bottom"/>
          </w:tcPr>
          <w:p>
            <w:pPr>
              <w:spacing w:after="0"/>
              <w:rPr>
                <w:sz w:val="1"/>
                <w:szCs w:val="1"/>
                <w:color w:val="auto"/>
              </w:rPr>
            </w:pPr>
          </w:p>
        </w:tc>
      </w:tr>
      <w:tr>
        <w:trPr>
          <w:trHeight w:val="194"/>
        </w:trPr>
        <w:tc>
          <w:tcPr>
            <w:tcW w:w="69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MARKET INFORMATION FOR CLASS A STOCK AND DIVIDEND POLICY</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40</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vMerge w:val="continue"/>
          </w:tcPr>
          <w:p>
            <w:pPr>
              <w:spacing w:after="0"/>
              <w:rPr>
                <w:sz w:val="14"/>
                <w:szCs w:val="14"/>
                <w:color w:val="auto"/>
              </w:rPr>
            </w:pPr>
          </w:p>
        </w:tc>
        <w:tc>
          <w:tcPr>
            <w:tcW w:w="6400" w:type="dxa"/>
            <w:vAlign w:val="bottom"/>
            <w:tcBorders>
              <w:bottom w:val="single" w:sz="8" w:color="0000EE"/>
            </w:tcBorders>
            <w:gridSpan w:val="2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w:t>
            </w:r>
          </w:p>
        </w:tc>
        <w:tc>
          <w:tcPr>
            <w:tcW w:w="560" w:type="dxa"/>
            <w:vAlign w:val="bottom"/>
            <w:tcBorders>
              <w:bottom w:val="single" w:sz="8" w:color="CCEEFF"/>
            </w:tcBorders>
            <w:gridSpan w:val="2"/>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EE"/>
            </w:tcBorders>
            <w:gridSpan w:val="17"/>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w w:val="99"/>
              </w:rPr>
              <w:t>RESULTS OF OPERATIONS OF ATSP</w:t>
            </w:r>
          </w:p>
        </w:tc>
        <w:tc>
          <w:tcPr>
            <w:tcW w:w="4000" w:type="dxa"/>
            <w:vAlign w:val="bottom"/>
            <w:tcBorders>
              <w:bottom w:val="single" w:sz="8" w:color="CCEEFF"/>
            </w:tcBorders>
            <w:gridSpan w:val="11"/>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w w:val="93"/>
              </w:rPr>
              <w:t>41</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6400" w:type="dxa"/>
            <w:vAlign w:val="bottom"/>
            <w:tcBorders>
              <w:bottom w:val="single" w:sz="8" w:color="0000EE"/>
            </w:tcBorders>
            <w:gridSpan w:val="27"/>
          </w:tcPr>
          <w:p>
            <w:pPr>
              <w:spacing w:after="0" w:line="168"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w:t>
            </w:r>
          </w:p>
        </w:tc>
        <w:tc>
          <w:tcPr>
            <w:tcW w:w="5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20" w:type="dxa"/>
            <w:vAlign w:val="bottom"/>
            <w:gridSpan w:val="28"/>
          </w:tcPr>
          <w:p>
            <w:pPr>
              <w:spacing w:after="0" w:line="188" w:lineRule="exact"/>
              <w:rPr>
                <w:sz w:val="20"/>
                <w:szCs w:val="20"/>
                <w:color w:val="auto"/>
              </w:rPr>
            </w:pPr>
            <w:r>
              <w:rPr>
                <w:rFonts w:ascii="Times New Roman" w:cs="Times New Roman" w:eastAsia="Times New Roman" w:hAnsi="Times New Roman"/>
                <w:sz w:val="17"/>
                <w:szCs w:val="17"/>
                <w:color w:val="0000EE"/>
              </w:rPr>
              <w:t>RESULTS OF OPERATIONS OF SOUNDHOUND</w:t>
            </w:r>
          </w:p>
        </w:tc>
        <w:tc>
          <w:tcPr>
            <w:tcW w:w="8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w w:val="93"/>
              </w:rPr>
              <w:t>43</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800" w:type="dxa"/>
            <w:vAlign w:val="bottom"/>
            <w:tcBorders>
              <w:bottom w:val="single" w:sz="8" w:color="0000EE"/>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7"/>
              </w:rPr>
              <w:t>BUSINESS</w:t>
            </w:r>
          </w:p>
        </w:tc>
        <w:tc>
          <w:tcPr>
            <w:tcW w:w="6160" w:type="dxa"/>
            <w:vAlign w:val="bottom"/>
            <w:tcBorders>
              <w:bottom w:val="single" w:sz="8" w:color="CCEEFF"/>
            </w:tcBorders>
            <w:gridSpan w:val="26"/>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65</w:t>
            </w:r>
          </w:p>
        </w:tc>
        <w:tc>
          <w:tcPr>
            <w:tcW w:w="0" w:type="dxa"/>
            <w:vAlign w:val="bottom"/>
          </w:tcPr>
          <w:p>
            <w:pPr>
              <w:spacing w:after="0"/>
              <w:rPr>
                <w:sz w:val="1"/>
                <w:szCs w:val="1"/>
                <w:color w:val="auto"/>
              </w:rPr>
            </w:pPr>
          </w:p>
        </w:tc>
      </w:tr>
      <w:tr>
        <w:trPr>
          <w:trHeight w:val="194"/>
        </w:trPr>
        <w:tc>
          <w:tcPr>
            <w:tcW w:w="69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MANAGEMENT</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78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60" w:type="dxa"/>
            <w:vAlign w:val="bottom"/>
            <w:gridSpan w:val="2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EXECUTIVE COMPENSATION</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82</w:t>
            </w:r>
          </w:p>
        </w:tc>
        <w:tc>
          <w:tcPr>
            <w:tcW w:w="0" w:type="dxa"/>
            <w:vAlign w:val="bottom"/>
          </w:tcPr>
          <w:p>
            <w:pPr>
              <w:spacing w:after="0"/>
              <w:rPr>
                <w:sz w:val="1"/>
                <w:szCs w:val="1"/>
                <w:color w:val="auto"/>
              </w:rPr>
            </w:pPr>
          </w:p>
        </w:tc>
      </w:tr>
      <w:tr>
        <w:trPr>
          <w:trHeight w:val="194"/>
        </w:trPr>
        <w:tc>
          <w:tcPr>
            <w:tcW w:w="2340" w:type="dxa"/>
            <w:vAlign w:val="bottom"/>
            <w:tcBorders>
              <w:top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7"/>
                <w:szCs w:val="17"/>
                <w:color w:val="0000EE"/>
              </w:rPr>
              <w:t>DIRECTOR COMPENSATION</w:t>
            </w:r>
          </w:p>
        </w:tc>
        <w:tc>
          <w:tcPr>
            <w:tcW w:w="4640" w:type="dxa"/>
            <w:vAlign w:val="bottom"/>
            <w:tcBorders>
              <w:top w:val="single" w:sz="8" w:color="CCEEFF"/>
            </w:tcBorders>
            <w:gridSpan w:val="16"/>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90</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6640" w:type="dxa"/>
            <w:vAlign w:val="bottom"/>
            <w:tcBorders>
              <w:bottom w:val="single" w:sz="8" w:color="0000EE"/>
            </w:tcBorders>
            <w:gridSpan w:val="2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EXECUTIVE COMPENSATION ARRANGEMENTS – POST-CLOSING ARRANGEMENTS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91</w:t>
            </w:r>
          </w:p>
        </w:tc>
        <w:tc>
          <w:tcPr>
            <w:tcW w:w="0" w:type="dxa"/>
            <w:vAlign w:val="bottom"/>
          </w:tcPr>
          <w:p>
            <w:pPr>
              <w:spacing w:after="0"/>
              <w:rPr>
                <w:sz w:val="1"/>
                <w:szCs w:val="1"/>
                <w:color w:val="auto"/>
              </w:rPr>
            </w:pPr>
          </w:p>
        </w:tc>
      </w:tr>
      <w:tr>
        <w:trPr>
          <w:trHeight w:val="194"/>
        </w:trPr>
        <w:tc>
          <w:tcPr>
            <w:tcW w:w="69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2260" w:type="dxa"/>
            <w:vAlign w:val="bottom"/>
            <w:tcBorders>
              <w:bottom w:val="single" w:sz="8" w:color="0000EE"/>
            </w:tcBorders>
            <w:gridSpan w:val="1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9"/>
              </w:rPr>
              <w:t>PRINCIPAL STOCKHOLDERS</w:t>
            </w:r>
          </w:p>
        </w:tc>
        <w:tc>
          <w:tcPr>
            <w:tcW w:w="4700" w:type="dxa"/>
            <w:vAlign w:val="bottom"/>
            <w:tcBorders>
              <w:bottom w:val="single" w:sz="8" w:color="CCEEFF"/>
            </w:tcBorders>
            <w:gridSpan w:val="17"/>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194"/>
        </w:trPr>
        <w:tc>
          <w:tcPr>
            <w:tcW w:w="69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SELLING SECURITYHOLDERS</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60" w:type="dxa"/>
            <w:vAlign w:val="bottom"/>
            <w:gridSpan w:val="2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112</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9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SECURITIES ACT RESTRICTIONS ON RESALE OF OUR SECURITIES</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117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60" w:type="dxa"/>
            <w:vAlign w:val="bottom"/>
            <w:gridSpan w:val="2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CERTAIN UNITED STATES FEDERAL INCOME TAX CONSIDERATIONS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118</w:t>
            </w:r>
          </w:p>
        </w:tc>
        <w:tc>
          <w:tcPr>
            <w:tcW w:w="0" w:type="dxa"/>
            <w:vAlign w:val="bottom"/>
          </w:tcPr>
          <w:p>
            <w:pPr>
              <w:spacing w:after="0"/>
              <w:rPr>
                <w:sz w:val="1"/>
                <w:szCs w:val="1"/>
                <w:color w:val="auto"/>
              </w:rPr>
            </w:pPr>
          </w:p>
        </w:tc>
      </w:tr>
      <w:tr>
        <w:trPr>
          <w:trHeight w:val="194"/>
        </w:trPr>
        <w:tc>
          <w:tcPr>
            <w:tcW w:w="5500" w:type="dxa"/>
            <w:vAlign w:val="bottom"/>
            <w:tcBorders>
              <w:top w:val="single" w:sz="8" w:color="0000EE"/>
            </w:tcBorders>
            <w:gridSpan w:val="25"/>
          </w:tcPr>
          <w:p>
            <w:pPr>
              <w:spacing w:after="0" w:line="194" w:lineRule="exact"/>
              <w:rPr>
                <w:sz w:val="20"/>
                <w:szCs w:val="20"/>
                <w:color w:val="auto"/>
              </w:rPr>
            </w:pPr>
            <w:r>
              <w:rPr>
                <w:rFonts w:ascii="Times New Roman" w:cs="Times New Roman" w:eastAsia="Times New Roman" w:hAnsi="Times New Roman"/>
                <w:sz w:val="17"/>
                <w:szCs w:val="17"/>
                <w:color w:val="0000EE"/>
              </w:rPr>
              <w:t>PLAN OF DISTRIBUTION</w:t>
            </w:r>
          </w:p>
        </w:tc>
        <w:tc>
          <w:tcPr>
            <w:tcW w:w="1480" w:type="dxa"/>
            <w:vAlign w:val="bottom"/>
            <w:tcBorders>
              <w:top w:val="single" w:sz="8" w:color="CCEEFF"/>
            </w:tcBorders>
            <w:gridSpan w:val="5"/>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1380" w:type="dxa"/>
            <w:vAlign w:val="bottom"/>
            <w:tcBorders>
              <w:bottom w:val="single" w:sz="8" w:color="0000EE"/>
            </w:tcBorders>
            <w:gridSpan w:val="6"/>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7"/>
              </w:rPr>
              <w:t>LEGAL MATTERS</w:t>
            </w:r>
          </w:p>
        </w:tc>
        <w:tc>
          <w:tcPr>
            <w:tcW w:w="5580" w:type="dxa"/>
            <w:vAlign w:val="bottom"/>
            <w:tcBorders>
              <w:bottom w:val="single" w:sz="8" w:color="CCEEFF"/>
            </w:tcBorders>
            <w:gridSpan w:val="23"/>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94"/>
        </w:trPr>
        <w:tc>
          <w:tcPr>
            <w:tcW w:w="69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EXPERTS</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3640" w:type="dxa"/>
            <w:vAlign w:val="bottom"/>
            <w:tcBorders>
              <w:bottom w:val="single" w:sz="8" w:color="0000EE"/>
            </w:tcBorders>
            <w:gridSpan w:val="20"/>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9"/>
              </w:rPr>
              <w:t>WHERE YOU CAN FIND MORE INFORMATION</w:t>
            </w:r>
          </w:p>
        </w:tc>
        <w:tc>
          <w:tcPr>
            <w:tcW w:w="3320" w:type="dxa"/>
            <w:vAlign w:val="bottom"/>
            <w:tcBorders>
              <w:bottom w:val="single" w:sz="8" w:color="CCEEFF"/>
            </w:tcBorders>
            <w:gridSpan w:val="9"/>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94"/>
        </w:trPr>
        <w:tc>
          <w:tcPr>
            <w:tcW w:w="292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7"/>
                <w:szCs w:val="17"/>
                <w:color w:val="0000EE"/>
                <w:w w:val="99"/>
              </w:rPr>
              <w:t>INDEX TO FINANCIAL STATEMENTS</w:t>
            </w:r>
          </w:p>
        </w:tc>
        <w:tc>
          <w:tcPr>
            <w:tcW w:w="4060" w:type="dxa"/>
            <w:vAlign w:val="bottom"/>
            <w:gridSpan w:val="12"/>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 w:name="page4"/>
    <w:bookmarkEnd w:id="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S-1 that we filed with the Securities and Exchange Commission (the “SEC”). Under the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shares of Class A Common Stock issuable upon exercise of the Registered Warrants as provided in the Warrant Agreement (as defined below). We will receive proceeds from any exercise of the Registered Warrants or Placement Warrants for cash.</w:t>
      </w:r>
    </w:p>
    <w:p>
      <w:pPr>
        <w:spacing w:after="0" w:line="112"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any of the Selling Securityholders takes responsibility for, nor can we or they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11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7"/>
          <w:szCs w:val="17"/>
          <w:i w:val="1"/>
          <w:iCs w:val="1"/>
          <w:color w:val="auto"/>
        </w:rPr>
        <w:t>Where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You Can Find More Information.”</w:t>
      </w:r>
    </w:p>
    <w:p>
      <w:pPr>
        <w:spacing w:after="0" w:line="9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Our registration of the securities covered by this prospectus does not mean that either we or the Selling Securityholders will issue, offer or sell, as applicable, any of the securities. The Selling Securityholders may offer, sell or distribute all or a portion of the securities hereby registered publicly or through private transactions at prevailing market prices or at negotiated prices. We will not receive any of the proceeds from such sales of the securities hereunder, except with respect to amounts received by us upon the exercise of the Registered Warrants or Placement Warrants. We will bear all costs, expenses and fees in connection with the registration of these securities, including with regard to compliance with state securities or “blue sky” laws. The Selling Securityholders will bear all commissions and discounts, if any, attributable to their sale of their securities. See “Plan of Distribution” beginning on page 124 of this prospectus.</w:t>
      </w:r>
    </w:p>
    <w:p>
      <w:pPr>
        <w:spacing w:after="0" w:line="111" w:lineRule="exact"/>
        <w:rPr>
          <w:sz w:val="20"/>
          <w:szCs w:val="20"/>
          <w:color w:val="auto"/>
        </w:rPr>
      </w:pPr>
    </w:p>
    <w:p>
      <w:pPr>
        <w:jc w:val="both"/>
        <w:ind w:left="620" w:right="619" w:firstLine="415"/>
        <w:spacing w:after="0" w:line="265" w:lineRule="auto"/>
        <w:rPr>
          <w:sz w:val="20"/>
          <w:szCs w:val="20"/>
          <w:color w:val="auto"/>
        </w:rPr>
      </w:pPr>
      <w:r>
        <w:rPr>
          <w:rFonts w:ascii="Times New Roman" w:cs="Times New Roman" w:eastAsia="Times New Roman" w:hAnsi="Times New Roman"/>
          <w:sz w:val="17"/>
          <w:szCs w:val="17"/>
          <w:color w:val="auto"/>
        </w:rPr>
        <w:t>Neither the delivery of this prospectus nor any distribution of shares or warrants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 w:name="page5"/>
    <w:bookmarkEnd w:id="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Frequently Used Terms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Unless otherwise stated in this prospectus, the terms, “we,” “us,” “our” “the Company” or “SoundHound</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AI” refer to SoundHound AI, Inc., a Delaware corporation, and its subsidiaries. Further, in this document:</w:t>
      </w:r>
    </w:p>
    <w:p>
      <w:pPr>
        <w:spacing w:after="0" w:line="136" w:lineRule="exact"/>
        <w:rPr>
          <w:sz w:val="20"/>
          <w:szCs w:val="20"/>
          <w:color w:val="auto"/>
        </w:rPr>
      </w:pPr>
    </w:p>
    <w:p>
      <w:pPr>
        <w:jc w:val="both"/>
        <w:ind w:left="1440" w:right="639" w:hanging="411"/>
        <w:spacing w:after="0" w:line="273"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spacing w:after="0" w:line="97"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Bylaws” means the Amended &amp; Restated Bylaws of the Company, which took effect upon the effectiveness of the Amended Charter.</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the board of directors of the Company.</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means the merger contemplated by the Merger Agreement.</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Common Stock” or “Class A Shares” mean the Class A common stock, $0.0001 par value per share, of the Company.</w:t>
      </w:r>
    </w:p>
    <w:p>
      <w:pPr>
        <w:spacing w:after="0" w:line="68" w:lineRule="exact"/>
        <w:rPr>
          <w:rFonts w:ascii="Times New Roman" w:cs="Times New Roman" w:eastAsia="Times New Roman" w:hAnsi="Times New Roman"/>
          <w:sz w:val="17"/>
          <w:szCs w:val="17"/>
          <w:color w:val="auto"/>
        </w:rPr>
      </w:pPr>
    </w:p>
    <w:p>
      <w:pPr>
        <w:jc w:val="both"/>
        <w:ind w:left="1440" w:right="619" w:hanging="411"/>
        <w:spacing w:after="0" w:line="26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06"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means the consummation of the Business Combination.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Date” means April 26, 2022, the date of the Closing.</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means the Internal Revenue Code of 1986, as amended.</w:t>
      </w:r>
    </w:p>
    <w:p>
      <w:pPr>
        <w:spacing w:after="0" w:line="154"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Stock” or “common stock” means the shares of common stock, par value $0.0001 per share, of ATSP prior to the Closing, and the Class A Common Stock and Class B Common Stock of the Company following the Closing, as applicable.</w:t>
      </w:r>
    </w:p>
    <w:p>
      <w:pPr>
        <w:spacing w:after="0" w:line="97"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“Continental” means Continental Stock Transfer &amp; Trust Company, our transfer agent and warrant agent.</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means the 3,325,000 outstanding shares of common stock initially purchased by the Sponsor for an aggregate purchase price of $25,000 on January 4, 2021.</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“GAAP” means accounting principles generally accepted in the United States of America.</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Stockholders” means the Sponsor and other initial holders of common stock and Private Units, excluding the holders of the Representative Shares.</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refers to the initial public offering of 13,300,000 Units of the Company consummated in March 2021, inclusive of the partial exercise of the over-allotment option.</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means the United States Internal Revenue Service.</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means that certain Merger Agreement, dated as of November 15, 2021, by and among ATSP, Merger Sub and SoundHound, as it may be amended or supplemented</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means ATSPC Merger Sub, Inc., a Delaware corporation, which was, prior to the Closing, a wholly-owned subsidiary of the Company.</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“Organizational Documents” means organizational or governing documents of an applicable entity.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 w:name="page6"/>
    <w:bookmarkEnd w:id="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1"/>
        <w:spacing w:after="0" w:line="273"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“PIPE Investment” means the issuance of 11.3 million shares of Class A Common Stock to certain investors for an aggregate purchase price of $113.0 million in a private placement immediately prior to the Closing of the Business Combination.</w:t>
      </w:r>
    </w:p>
    <w:p>
      <w:pPr>
        <w:spacing w:after="0" w:line="97" w:lineRule="exact"/>
        <w:rPr>
          <w:rFonts w:ascii="Times New Roman" w:cs="Times New Roman" w:eastAsia="Times New Roman" w:hAnsi="Times New Roman"/>
          <w:sz w:val="17"/>
          <w:szCs w:val="17"/>
          <w:color w:val="auto"/>
        </w:rPr>
      </w:pPr>
    </w:p>
    <w:p>
      <w:pPr>
        <w:jc w:val="both"/>
        <w:ind w:left="1440" w:right="639" w:hanging="411"/>
        <w:spacing w:after="0" w:line="284"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“Placement Warrants” means 174,750 Warrants sold in private placement consummated concurrently with the IPO as well as 33,250 Warrants held by EarlyBirdCapital or its transferees or designees.</w:t>
      </w:r>
    </w:p>
    <w:p>
      <w:pPr>
        <w:spacing w:after="0" w:line="302"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Units” mean the 416,000 Units issued to the Sponsor and EarlyBirdCapital in a private placement concurrently with the IPO.</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stockholders” means holders of Public Subunits.</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Subunits” means Subunits sold in the IPO as part of the Public Units, whether they were purchased in the IPO or thereafter in the open market.</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Units” means Units sold in the IPO, whether they were purchased in the IPO or thereafter in the open market.</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Warrants” means Warrants sold as part of the securities in the IPO, whether they were purchased in the IPO or thereafter in the open market.</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 or “EarlyBirdCapital” means EarlyBirdCapital, Inc., the representative of the underwriters in the IPO.</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 Shares” means the 420,000 shares of common stock issued to EarlyBirdCapital, the representative of the underwriters in the IPO.</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means the U.S. Securities and Exchange Commission.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means the Securities Act of 1933, as amended.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and “Legacy SoundHound” means SoundHound, Inc., a Delaware corporation, which is a wholly owned subsidiary of the Company.</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Board” means the board of directors of SoundHound.</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Founders” means Dr. Keyvan Mohajer, Dr. Majid Emami and James Hom.</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means Archimedes Tech SPAC Sponsors LLC., a Delaware limited liability company.</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“Subscription Agreements” means the Subscription Agreements with investors (the “PIPE Investors”) subscribing to participate in the PIPE Investment.</w:t>
      </w:r>
    </w:p>
    <w:p>
      <w:pPr>
        <w:spacing w:after="0" w:line="8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“Subunits” means the subunits issued as part of the Units in the IPO, each consisting of one share of common stock and one-quarter of one redeemable Warrant.</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“Trust Account” means the Company’s trust account maintained by Continental prior to the Closing.</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means the units of the Company, each consisting of one Subunit and one-quarter of one redeemable Warrant.</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 Agreement” refers to that certain Amended and Restated Warrant Agreement, dated as of April 26, 2022, between ATSP and Continental Stock Transfer &amp; Trust Company, as warrant agent.</w:t>
      </w:r>
    </w:p>
    <w:p>
      <w:pPr>
        <w:spacing w:after="0" w:line="68"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refer to the Placement Warrants and the Public Warrants, in each case redeemable and entitling the holder thereof to purchase one share of Class A Common Stock at a price of $11.50 per share (subject to adjustment).</w:t>
      </w:r>
    </w:p>
    <w:p>
      <w:pPr>
        <w:spacing w:after="0" w:line="97"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 Shares” refer to the Class A Shares issuable upon exercise of the Placement Warrants and the Public Warrants.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 w:name="page7"/>
    <w:bookmarkEnd w:id="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This prospectus includes industry position and industry data and forecasts that SoundHound AI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spacing w:after="0" w:line="10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Although SoundHound AI believes that the information on which it has based these estimates of industry position and industry data are generally reliable, the accuracy and completeness of this information is not guaranteed and SoundHound AI has not independently verified any of the data from third-party sources nor have they ascertained the underlying economic assumptions relied upon therein. Statements as to industry position are based on market data currently available. While SoundHound AI is not aware of any misstatements regarding the industry data presented herein, these estimates involve risks and uncertainties and are subject to change based on various factors, including those discussed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 w:name="page8"/>
    <w:bookmarkEnd w:id="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44"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contains forward-looking statements within the meaning of Section 27A of the Securities Act of 1933, as amended (the “Securities Act”), and Section 21E of the Securities Exchange Act of 1934, as amended (the “Exchange Act”), that are forward-looking and as such are not historical facts. These forward-looking statements include, without limitation, statements regarding the benefits of the Business Combination,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12" w:lineRule="exact"/>
        <w:rPr>
          <w:sz w:val="20"/>
          <w:szCs w:val="20"/>
          <w:color w:val="auto"/>
        </w:rPr>
      </w:pPr>
    </w:p>
    <w:p>
      <w:pPr>
        <w:ind w:left="1440" w:right="639" w:hanging="411"/>
        <w:spacing w:after="0" w:line="292" w:lineRule="auto"/>
        <w:tabs>
          <w:tab w:leader="none" w:pos="1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maintain the listing of SoundHound AI Class A Common Stock on the Nasdaq Global Market;</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of our business strategy, including launching new product offerings and expanding information and technology capabilities;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customers and retain existing customers;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impact of our growth initiatives on our future financial performance;</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recognize the anticipated benefits of the Business Combination, which may be affected by, among other things, competition and the ability of SoundHound AI to manage its growth;</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SoundHound AI to protect intellectual property and trade secrets;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additional capital, including equity or debt financing;</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 and extensive and evolving government regulations that impact the Company’s operations and business;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attract or maintain a qualified workforce;</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product service failures that could lead SoundHound AI customers to use competitors’ services;</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investigations, claims, disputes, enforcement actions, litigation and/or other regulatory or legal proceedings;</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the COVID-19 pandemic or any similar public health developments on SoundHound AI’s business;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uncertainty of our estimates of market opportunity and forecasts of market growth;</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regulatory matters, complaints, adverse publicity and/or misconduct by employees, vendors and/or service providers;</w:t>
      </w:r>
    </w:p>
    <w:p>
      <w:pPr>
        <w:spacing w:after="0" w:line="68"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SoundHound AI may be adversely affected by other economic, business, and/or competitive factors; and</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described under the section titled “Risk Factors” of this prospectus.</w:t>
      </w:r>
    </w:p>
    <w:p>
      <w:pPr>
        <w:spacing w:after="0" w:line="14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 w:name="page9"/>
    <w:bookmarkEnd w:id="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19"/>
        <w:spacing w:after="0" w:line="261" w:lineRule="auto"/>
        <w:rPr>
          <w:sz w:val="20"/>
          <w:szCs w:val="20"/>
          <w:color w:val="auto"/>
        </w:rPr>
      </w:pPr>
      <w:r>
        <w:rPr>
          <w:rFonts w:ascii="Times New Roman" w:cs="Times New Roman" w:eastAsia="Times New Roman" w:hAnsi="Times New Roman"/>
          <w:sz w:val="17"/>
          <w:szCs w:val="17"/>
          <w:color w:val="auto"/>
        </w:rPr>
        <w:t>These risks and uncertainties include, but are not limited to, those factors described in the section entitled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Moreover, we operate in a very competitive and rapidly changing environment. New risks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0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 w:name="page10"/>
    <w:bookmarkEnd w:id="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8401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44110" cy="840168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55" w:lineRule="exact"/>
        <w:rPr>
          <w:sz w:val="20"/>
          <w:szCs w:val="20"/>
          <w:color w:val="auto"/>
        </w:rPr>
      </w:pPr>
    </w:p>
    <w:p>
      <w:pPr>
        <w:jc w:val="both"/>
        <w:ind w:left="700" w:right="7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and does not contain all of the information that you should consider before investing in our common stock. This summary is qualified in its entirety by, and should be read in conjunction with, the more detailed information appearing elsewhere in this prospectus. You should read this entire prospectus carefully, including the information set forth in the sections titled “Risk Factors” and “Management’s Discussion and Analysis of Financial Condition and Results of Operations” and our financial statements and related notes thereto included elsewhere in this prospectus, before making an investment decision. Unless the context requires otherwise, references in this prospectus to “we,” “us,” “our,” “our company,” the “Company” or similar terminology refer to SoundHound AI, Inc.</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700" w:right="719" w:firstLine="415"/>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99" w:lineRule="exact"/>
        <w:rPr>
          <w:sz w:val="20"/>
          <w:szCs w:val="20"/>
          <w:color w:val="auto"/>
        </w:rPr>
      </w:pPr>
    </w:p>
    <w:p>
      <w:pPr>
        <w:jc w:val="both"/>
        <w:ind w:left="700" w:right="719" w:firstLine="415"/>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05" w:lineRule="exact"/>
        <w:rPr>
          <w:sz w:val="20"/>
          <w:szCs w:val="20"/>
          <w:color w:val="auto"/>
        </w:rPr>
      </w:pPr>
    </w:p>
    <w:p>
      <w:pPr>
        <w:jc w:val="both"/>
        <w:ind w:left="700" w:right="719" w:firstLine="415"/>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1" w:lineRule="exact"/>
        <w:rPr>
          <w:sz w:val="20"/>
          <w:szCs w:val="20"/>
          <w:color w:val="auto"/>
        </w:rPr>
      </w:pPr>
    </w:p>
    <w:p>
      <w:pPr>
        <w:jc w:val="both"/>
        <w:ind w:left="700" w:right="719" w:firstLine="415"/>
        <w:spacing w:after="0" w:line="258"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six months ended June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$100M.</w:t>
      </w:r>
    </w:p>
    <w:p>
      <w:pPr>
        <w:spacing w:after="0" w:line="165" w:lineRule="exact"/>
        <w:rPr>
          <w:sz w:val="20"/>
          <w:szCs w:val="20"/>
          <w:color w:val="auto"/>
        </w:rPr>
      </w:pPr>
    </w:p>
    <w:p>
      <w:pPr>
        <w:jc w:val="both"/>
        <w:ind w:left="700" w:right="719" w:firstLine="415"/>
        <w:spacing w:after="0" w:line="252"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w:t>
      </w:r>
    </w:p>
    <w:p>
      <w:pPr>
        <w:spacing w:after="0" w:line="37" w:lineRule="exact"/>
        <w:rPr>
          <w:sz w:val="20"/>
          <w:szCs w:val="20"/>
          <w:color w:val="auto"/>
        </w:rPr>
      </w:pPr>
    </w:p>
    <w:p>
      <w:pPr>
        <w:jc w:val="both"/>
        <w:ind w:left="700" w:right="719"/>
        <w:spacing w:after="0" w:line="253" w:lineRule="auto"/>
        <w:rPr>
          <w:sz w:val="20"/>
          <w:szCs w:val="20"/>
          <w:color w:val="auto"/>
        </w:rPr>
      </w:pPr>
      <w:r>
        <w:rPr>
          <w:rFonts w:ascii="Times New Roman" w:cs="Times New Roman" w:eastAsia="Times New Roman" w:hAnsi="Times New Roman"/>
          <w:sz w:val="17"/>
          <w:szCs w:val="17"/>
          <w:color w:val="auto"/>
        </w:rPr>
        <w:t>Collective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14" w:lineRule="exact"/>
        <w:rPr>
          <w:sz w:val="20"/>
          <w:szCs w:val="20"/>
          <w:color w:val="auto"/>
        </w:rPr>
      </w:pPr>
    </w:p>
    <w:p>
      <w:pPr>
        <w:jc w:val="both"/>
        <w:ind w:left="700" w:right="719" w:firstLine="415"/>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ectPr>
          <w:pgSz w:w="11900" w:h="16838" w:orient="portrait"/>
          <w:cols w:equalWidth="0" w:num="1">
            <w:col w:w="9019"/>
          </w:cols>
          <w:pgMar w:left="1440" w:top="264" w:right="1440"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26670</wp:posOffset>
            </wp:positionV>
            <wp:extent cx="49396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0" w:name="page11"/>
    <w:bookmarkEnd w:id="1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8500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44110" cy="850074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57" w:lineRule="exact"/>
        <w:rPr>
          <w:sz w:val="20"/>
          <w:szCs w:val="20"/>
          <w:color w:val="auto"/>
        </w:rPr>
      </w:pPr>
    </w:p>
    <w:p>
      <w:pPr>
        <w:jc w:val="both"/>
        <w:ind w:left="700" w:right="719" w:firstLine="415"/>
        <w:spacing w:after="0" w:line="273"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Opportunity</w:t>
      </w:r>
    </w:p>
    <w:p>
      <w:pPr>
        <w:spacing w:after="0" w:line="157" w:lineRule="exact"/>
        <w:rPr>
          <w:sz w:val="20"/>
          <w:szCs w:val="20"/>
          <w:color w:val="auto"/>
        </w:rPr>
      </w:pPr>
    </w:p>
    <w:p>
      <w:pPr>
        <w:jc w:val="both"/>
        <w:ind w:left="700" w:right="719" w:firstLine="415"/>
        <w:spacing w:after="0" w:line="260"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 Additionally, across industries, 94% of large companies expect to use Voice AI within two years, according to a Pindrop Security, Inc. study, indicating the imperative most companies feel to provide a voice user interface to their products and services. These and other trends are adding up to exponential growth for Voice AI in a variety of markets, including IoT, automotive, retail, hospitality, enterprise, healthcare, contact center, and banking and finance.</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Vision</w:t>
      </w:r>
    </w:p>
    <w:p>
      <w:pPr>
        <w:spacing w:after="0" w:line="144" w:lineRule="exact"/>
        <w:rPr>
          <w:sz w:val="20"/>
          <w:szCs w:val="20"/>
          <w:color w:val="auto"/>
        </w:rPr>
      </w:pPr>
    </w:p>
    <w:p>
      <w:pPr>
        <w:jc w:val="both"/>
        <w:ind w:left="700" w:right="719" w:firstLine="415"/>
        <w:spacing w:after="0" w:line="259" w:lineRule="auto"/>
        <w:rPr>
          <w:sz w:val="20"/>
          <w:szCs w:val="20"/>
          <w:color w:val="auto"/>
        </w:rPr>
      </w:pPr>
      <w:r>
        <w:rPr>
          <w:rFonts w:ascii="Times New Roman" w:cs="Times New Roman" w:eastAsia="Times New Roman" w:hAnsi="Times New Roman"/>
          <w:sz w:val="17"/>
          <w:szCs w:val="17"/>
          <w:color w:val="auto"/>
        </w:rPr>
        <w:t>We aim to change the way people talk to voice assistants by making computers better than humans in language understanding. As a result, SoundHound AI can make humans more productive and help make the world a better place. 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 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155" w:lineRule="exact"/>
        <w:rPr>
          <w:sz w:val="20"/>
          <w:szCs w:val="20"/>
          <w:color w:val="auto"/>
        </w:rPr>
      </w:pPr>
    </w:p>
    <w:p>
      <w:pPr>
        <w:jc w:val="both"/>
        <w:ind w:left="700" w:right="7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Houndify platform, SoundHound Ai’s Voice AI platform, </w:t>
      </w:r>
      <w:r>
        <w:rPr>
          <w:rFonts w:ascii="Times New Roman" w:cs="Times New Roman" w:eastAsia="Times New Roman" w:hAnsi="Times New Roman"/>
          <w:sz w:val="17"/>
          <w:szCs w:val="17"/>
          <w:color w:val="auto"/>
        </w:rPr>
        <w:t>combines advanced AI with engineering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expertise to help brands build conversational 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08" w:lineRule="exact"/>
        <w:rPr>
          <w:sz w:val="20"/>
          <w:szCs w:val="20"/>
          <w:color w:val="auto"/>
        </w:rPr>
      </w:pPr>
    </w:p>
    <w:p>
      <w:pPr>
        <w:jc w:val="both"/>
        <w:ind w:left="700" w:right="7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Automatic Speech Recognition, </w:t>
      </w:r>
      <w:r>
        <w:rPr>
          <w:rFonts w:ascii="Times New Roman" w:cs="Times New Roman" w:eastAsia="Times New Roman" w:hAnsi="Times New Roman"/>
          <w:sz w:val="17"/>
          <w:szCs w:val="17"/>
          <w:color w:val="auto"/>
        </w:rPr>
        <w:t>our highly optimized, tunable, and scalable ASR engine, supports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vocabulary sizes containing millions of 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95" w:lineRule="exact"/>
        <w:rPr>
          <w:sz w:val="20"/>
          <w:szCs w:val="20"/>
          <w:color w:val="auto"/>
        </w:rPr>
      </w:pPr>
    </w:p>
    <w:p>
      <w:pPr>
        <w:jc w:val="both"/>
        <w:ind w:left="700" w:right="719" w:firstLine="415"/>
        <w:spacing w:after="0" w:line="257" w:lineRule="auto"/>
        <w:rPr>
          <w:sz w:val="20"/>
          <w:szCs w:val="20"/>
          <w:color w:val="auto"/>
        </w:rPr>
      </w:pPr>
      <w:r>
        <w:rPr>
          <w:rFonts w:ascii="Times New Roman" w:cs="Times New Roman" w:eastAsia="Times New Roman" w:hAnsi="Times New Roman"/>
          <w:sz w:val="17"/>
          <w:szCs w:val="17"/>
          <w:i w:val="1"/>
          <w:iCs w:val="1"/>
          <w:color w:val="auto"/>
        </w:rPr>
        <w:t>Natural Language Understanding (“NLU”)</w:t>
      </w:r>
      <w:r>
        <w:rPr>
          <w:rFonts w:ascii="Times New Roman" w:cs="Times New Roman" w:eastAsia="Times New Roman" w:hAnsi="Times New Roman"/>
          <w:sz w:val="17"/>
          <w:szCs w:val="17"/>
          <w:color w:val="auto"/>
        </w:rPr>
        <w:t>, our proprietary Speech-to-Meaning technology, tracks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ectPr>
          <w:pgSz w:w="11900" w:h="16838" w:orient="portrait"/>
          <w:cols w:equalWidth="0" w:num="1">
            <w:col w:w="9019"/>
          </w:cols>
          <w:pgMar w:left="1440" w:top="26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26670</wp:posOffset>
            </wp:positionV>
            <wp:extent cx="49396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1" w:name="page12"/>
    <w:bookmarkEnd w:id="1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8303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44110" cy="830326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Initial Public Offering</w:t>
      </w:r>
    </w:p>
    <w:p>
      <w:pPr>
        <w:spacing w:after="0" w:line="118" w:lineRule="exact"/>
        <w:rPr>
          <w:sz w:val="20"/>
          <w:szCs w:val="20"/>
          <w:color w:val="auto"/>
        </w:rPr>
      </w:pPr>
    </w:p>
    <w:p>
      <w:pPr>
        <w:jc w:val="both"/>
        <w:ind w:left="700" w:right="719" w:firstLine="415"/>
        <w:spacing w:after="0" w:line="260" w:lineRule="auto"/>
        <w:rPr>
          <w:sz w:val="20"/>
          <w:szCs w:val="20"/>
          <w:color w:val="auto"/>
        </w:rPr>
      </w:pPr>
      <w:r>
        <w:rPr>
          <w:rFonts w:ascii="Times New Roman" w:cs="Times New Roman" w:eastAsia="Times New Roman" w:hAnsi="Times New Roman"/>
          <w:sz w:val="17"/>
          <w:szCs w:val="17"/>
          <w:color w:val="auto"/>
        </w:rPr>
        <w:t>The Company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the Company closed its IPO. Following the closing of the IPO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118" w:lineRule="exact"/>
        <w:rPr>
          <w:sz w:val="20"/>
          <w:szCs w:val="20"/>
          <w:color w:val="auto"/>
        </w:rPr>
      </w:pPr>
    </w:p>
    <w:p>
      <w:pPr>
        <w:jc w:val="both"/>
        <w:ind w:left="700" w:right="719" w:firstLine="415"/>
        <w:spacing w:after="0" w:line="258" w:lineRule="auto"/>
        <w:rPr>
          <w:sz w:val="20"/>
          <w:szCs w:val="20"/>
          <w:color w:val="auto"/>
        </w:rPr>
      </w:pPr>
      <w:r>
        <w:rPr>
          <w:rFonts w:ascii="Times New Roman" w:cs="Times New Roman" w:eastAsia="Times New Roman" w:hAnsi="Times New Roman"/>
          <w:sz w:val="17"/>
          <w:szCs w:val="17"/>
          <w:color w:val="auto"/>
        </w:rPr>
        <w:t>On November 15, 2021, a Merger Agreement was signed by and among ATSP, ATSPC Merger Sub, Inc. and SoundHound, Inc., which provided for the merger of ATSP Merger Sub, Inc. with and into SoundHound, Inc., with SoundHound, Inc. continuing as the surviving corporation (the “Merger”), as well as the other transactions contemplated by the Merger Agreement (the Merger and such other transactions, the “Business Combination”). On April 26, 2022, the parties consummated the Business Combination as well as the other transactions contemplated by the Merger Agreement. As a result of the Merger, the Company owns 100% of the outstanding common stock of SoundHound, Inc. In connection with the closing of the Business Combination, the Company changed its name from “Archimedes Tech SPAC Partners Co.” to “SoundHound AI, Inc.” In connection with the Closing, each share of common stock of ATSP was redesignated as Class A Common Stock.</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 and a Smaller Reporting Company</w:t>
      </w:r>
    </w:p>
    <w:p>
      <w:pPr>
        <w:spacing w:after="0" w:line="118" w:lineRule="exact"/>
        <w:rPr>
          <w:sz w:val="20"/>
          <w:szCs w:val="20"/>
          <w:color w:val="auto"/>
        </w:rPr>
      </w:pPr>
    </w:p>
    <w:p>
      <w:pPr>
        <w:jc w:val="both"/>
        <w:ind w:left="700" w:right="719" w:firstLine="415"/>
        <w:spacing w:after="0" w:line="273"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spacing w:after="0" w:line="59" w:lineRule="exact"/>
        <w:rPr>
          <w:sz w:val="20"/>
          <w:szCs w:val="20"/>
          <w:color w:val="auto"/>
        </w:rPr>
      </w:pPr>
    </w:p>
    <w:p>
      <w:pPr>
        <w:jc w:val="both"/>
        <w:ind w:left="1540" w:right="719" w:hanging="424"/>
        <w:spacing w:after="0" w:line="273" w:lineRule="auto"/>
        <w:tabs>
          <w:tab w:leader="none" w:pos="15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58"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compliance with the auditor attestation requirement in the assessment of our internal control over financial reporting pursuant to Section 404 of the Sarbanes-Oxley Act of 2002, as amended, or the Sarbanes-Oxley Act;</w:t>
      </w:r>
    </w:p>
    <w:p>
      <w:pPr>
        <w:spacing w:after="0" w:line="58"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about executive compensation arrangements in our periodic reports, registration statements and proxy statements; and</w:t>
      </w:r>
    </w:p>
    <w:p>
      <w:pPr>
        <w:spacing w:after="0" w:line="42"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to seek non-binding advisory votes on executive compensation or golden parachute arrangements.</w:t>
      </w:r>
    </w:p>
    <w:p>
      <w:pPr>
        <w:spacing w:after="0" w:line="43" w:lineRule="exact"/>
        <w:rPr>
          <w:sz w:val="20"/>
          <w:szCs w:val="20"/>
          <w:color w:val="auto"/>
        </w:rPr>
      </w:pPr>
    </w:p>
    <w:p>
      <w:pPr>
        <w:jc w:val="both"/>
        <w:ind w:left="700" w:right="719" w:firstLine="415"/>
        <w:spacing w:after="0" w:line="262" w:lineRule="auto"/>
        <w:rPr>
          <w:sz w:val="20"/>
          <w:szCs w:val="20"/>
          <w:color w:val="auto"/>
        </w:rPr>
      </w:pPr>
      <w:r>
        <w:rPr>
          <w:rFonts w:ascii="Times New Roman" w:cs="Times New Roman" w:eastAsia="Times New Roman" w:hAnsi="Times New Roman"/>
          <w:sz w:val="17"/>
          <w:szCs w:val="17"/>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w:t>
      </w:r>
    </w:p>
    <w:p>
      <w:pPr>
        <w:spacing w:after="0" w:line="1" w:lineRule="exact"/>
        <w:rPr>
          <w:sz w:val="20"/>
          <w:szCs w:val="20"/>
          <w:color w:val="auto"/>
        </w:rPr>
      </w:pPr>
    </w:p>
    <w:p>
      <w:pPr>
        <w:jc w:val="both"/>
        <w:ind w:left="700" w:right="719" w:firstLine="1"/>
        <w:spacing w:after="0" w:line="256" w:lineRule="auto"/>
        <w:tabs>
          <w:tab w:leader="none" w:pos="91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last day of the fiscal year following the fifth anniversary of the completion of our IPO, (ii) the last day of the first fiscal year in which our annual gross revenues exceed $1.07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75" w:lineRule="exact"/>
        <w:rPr>
          <w:sz w:val="20"/>
          <w:szCs w:val="20"/>
          <w:color w:val="auto"/>
        </w:rPr>
      </w:pPr>
    </w:p>
    <w:p>
      <w:pPr>
        <w:jc w:val="both"/>
        <w:ind w:left="700" w:right="719" w:firstLine="415"/>
        <w:spacing w:after="0" w:line="259" w:lineRule="auto"/>
        <w:rPr>
          <w:sz w:val="20"/>
          <w:szCs w:val="20"/>
          <w:color w:val="auto"/>
        </w:rPr>
      </w:pPr>
      <w:r>
        <w:rPr>
          <w:rFonts w:ascii="Times New Roman" w:cs="Times New Roman" w:eastAsia="Times New Roman" w:hAnsi="Times New Roman"/>
          <w:sz w:val="17"/>
          <w:szCs w:val="17"/>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sectPr>
          <w:pgSz w:w="11900" w:h="16838" w:orient="portrait"/>
          <w:cols w:equalWidth="0" w:num="1">
            <w:col w:w="9019"/>
          </w:cols>
          <w:pgMar w:left="1440" w:top="264" w:right="1440" w:bottom="1440" w:gutter="0" w:footer="0" w:header="0"/>
          <w:type w:val="continuous"/>
        </w:sect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26670</wp:posOffset>
            </wp:positionV>
            <wp:extent cx="49396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2" w:name="page13"/>
    <w:bookmarkEnd w:id="1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7965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44110" cy="7965440"/>
                    </a:xfrm>
                    <a:prstGeom prst="rect">
                      <a:avLst/>
                    </a:prstGeom>
                    <a:noFill/>
                  </pic:spPr>
                </pic:pic>
              </a:graphicData>
            </a:graphic>
          </wp:anchor>
        </w:drawing>
      </w:r>
    </w:p>
    <w:p>
      <w:pPr>
        <w:spacing w:after="0" w:line="3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Summary of Risks Related to Our Business</w:t>
      </w:r>
    </w:p>
    <w:p>
      <w:pPr>
        <w:spacing w:after="0" w:line="157" w:lineRule="exact"/>
        <w:rPr>
          <w:sz w:val="20"/>
          <w:szCs w:val="20"/>
          <w:color w:val="auto"/>
        </w:rPr>
      </w:pPr>
    </w:p>
    <w:p>
      <w:pPr>
        <w:jc w:val="both"/>
        <w:ind w:left="700" w:right="719" w:firstLine="415"/>
        <w:spacing w:after="0" w:line="264" w:lineRule="auto"/>
        <w:rPr>
          <w:sz w:val="20"/>
          <w:szCs w:val="20"/>
          <w:color w:val="auto"/>
        </w:rPr>
      </w:pPr>
      <w:r>
        <w:rPr>
          <w:rFonts w:ascii="Times New Roman" w:cs="Times New Roman" w:eastAsia="Times New Roman" w:hAnsi="Times New Roman"/>
          <w:sz w:val="17"/>
          <w:szCs w:val="17"/>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in “Risk Factors” beginning on page 13 of this prospectus. These risks include, but are not limited to, the following:</w:t>
      </w:r>
    </w:p>
    <w:p>
      <w:pPr>
        <w:spacing w:after="0" w:line="1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Risks Related to SoundHound AI’s Business</w:t>
      </w:r>
    </w:p>
    <w:p>
      <w:pPr>
        <w:spacing w:after="0" w:line="157" w:lineRule="exact"/>
        <w:rPr>
          <w:sz w:val="20"/>
          <w:szCs w:val="20"/>
          <w:color w:val="auto"/>
        </w:rPr>
      </w:pPr>
    </w:p>
    <w:p>
      <w:pPr>
        <w:ind w:left="1540" w:right="719" w:hanging="424"/>
        <w:spacing w:after="0" w:line="292"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Voice AI market is a relatively new and rapidly changing market, and we may be unable to compete successfully.</w:t>
      </w:r>
    </w:p>
    <w:p>
      <w:pPr>
        <w:spacing w:after="0" w:line="68"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maintain a customer base that will generate a recurring stream of revenues, its operating results may be adversely affected.</w:t>
      </w:r>
    </w:p>
    <w:p>
      <w:pPr>
        <w:spacing w:after="0" w:line="81"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fails to grow its business as anticipated, its revenues and gross margin will be adversely affected.</w:t>
      </w:r>
    </w:p>
    <w:p>
      <w:pPr>
        <w:spacing w:after="0" w:line="81"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84"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alleged failure to comply with data privacy laws and regulations could damage SoundHound AI’s reputation, result in government action and have an adverse impact on its operating results.</w:t>
      </w:r>
    </w:p>
    <w:p>
      <w:pPr>
        <w:spacing w:after="0" w:line="97"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attract and retain key personnel in the future could harm SoundHound AI’s business and negatively affect our ability to successfully grow our business.</w:t>
      </w:r>
    </w:p>
    <w:p>
      <w:pPr>
        <w:spacing w:after="0" w:line="81"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use of open source technology could impose limitations on its ability to commercialize its software.</w:t>
      </w:r>
    </w:p>
    <w:p>
      <w:pPr>
        <w:spacing w:after="0" w:line="68"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Unauthorized use of SoundHound AI’s proprietary technology and intellectual property could adversely affect its business and results of operations.</w:t>
      </w:r>
    </w:p>
    <w:p>
      <w:pPr>
        <w:spacing w:after="0" w:line="81"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spacing w:after="0" w:line="97"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or worsening of the COVID-19 pandemic, or other similar public health developments, could have an adverse effect on business, results of operations, and financial condition.</w:t>
      </w:r>
    </w:p>
    <w:p>
      <w:pPr>
        <w:spacing w:after="0" w:line="84" w:lineRule="exact"/>
        <w:rPr>
          <w:rFonts w:ascii="Times New Roman" w:cs="Times New Roman" w:eastAsia="Times New Roman" w:hAnsi="Times New Roman"/>
          <w:sz w:val="17"/>
          <w:szCs w:val="17"/>
          <w:color w:val="auto"/>
        </w:rPr>
      </w:pPr>
    </w:p>
    <w:p>
      <w:pPr>
        <w:ind w:left="1520" w:hanging="404"/>
        <w:spacing w:after="0"/>
        <w:tabs>
          <w:tab w:leader="none" w:pos="1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has limited experience in operating a public company.</w:t>
      </w:r>
    </w:p>
    <w:p>
      <w:pPr>
        <w:spacing w:after="0" w:line="154" w:lineRule="exact"/>
        <w:rPr>
          <w:rFonts w:ascii="Times New Roman" w:cs="Times New Roman" w:eastAsia="Times New Roman" w:hAnsi="Times New Roman"/>
          <w:sz w:val="17"/>
          <w:szCs w:val="17"/>
          <w:color w:val="auto"/>
        </w:rPr>
      </w:pPr>
    </w:p>
    <w:p>
      <w:pPr>
        <w:jc w:val="both"/>
        <w:ind w:left="1540" w:right="719" w:hanging="424"/>
        <w:spacing w:after="0" w:line="284"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an uncertain regulatory environment and may from time to time be subject to governmental investigations or other inquiries by state, federal and local governmental authorities.</w:t>
      </w:r>
    </w:p>
    <w:p>
      <w:pPr>
        <w:spacing w:after="0" w:line="3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Risks Related to our Securities</w:t>
      </w:r>
    </w:p>
    <w:p>
      <w:pPr>
        <w:spacing w:after="0" w:line="157" w:lineRule="exact"/>
        <w:rPr>
          <w:sz w:val="20"/>
          <w:szCs w:val="20"/>
          <w:color w:val="auto"/>
        </w:rPr>
      </w:pPr>
    </w:p>
    <w:p>
      <w:pPr>
        <w:ind w:left="1540" w:right="719" w:hanging="424"/>
        <w:spacing w:after="0" w:line="292"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securities is likely to be highly volatile, and you may lose some or all of your investment.</w:t>
      </w:r>
    </w:p>
    <w:p>
      <w:pPr>
        <w:spacing w:after="0" w:line="68" w:lineRule="exact"/>
        <w:rPr>
          <w:rFonts w:ascii="Times New Roman" w:cs="Times New Roman" w:eastAsia="Times New Roman" w:hAnsi="Times New Roman"/>
          <w:sz w:val="17"/>
          <w:szCs w:val="17"/>
          <w:color w:val="auto"/>
        </w:rPr>
      </w:pPr>
    </w:p>
    <w:p>
      <w:pPr>
        <w:ind w:left="1520" w:hanging="404"/>
        <w:spacing w:after="0"/>
        <w:tabs>
          <w:tab w:leader="none" w:pos="1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our share price could subject us to securities class action litigation.</w:t>
      </w: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57" w:lineRule="exact"/>
        <w:rPr>
          <w:sz w:val="20"/>
          <w:szCs w:val="20"/>
          <w:color w:val="auto"/>
        </w:rPr>
      </w:pPr>
    </w:p>
    <w:p>
      <w:pPr>
        <w:jc w:val="both"/>
        <w:ind w:left="700" w:right="719" w:firstLine="415"/>
        <w:spacing w:after="0" w:line="267" w:lineRule="auto"/>
        <w:rPr>
          <w:sz w:val="20"/>
          <w:szCs w:val="20"/>
          <w:color w:val="auto"/>
        </w:rPr>
      </w:pPr>
      <w:r>
        <w:rPr>
          <w:rFonts w:ascii="Times New Roman" w:cs="Times New Roman" w:eastAsia="Times New Roman" w:hAnsi="Times New Roman"/>
          <w:sz w:val="17"/>
          <w:szCs w:val="17"/>
          <w:color w:val="auto"/>
        </w:rPr>
        <w:t xml:space="preserve">We were incorporated in Delaware on September 15, 2020 under the name Archimedes Tech SPAC Partners Co. 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contained on or accessible through our website is not a part of this prospectus.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9768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44110" cy="9768205"/>
                    </a:xfrm>
                    <a:prstGeom prst="rect">
                      <a:avLst/>
                    </a:prstGeom>
                    <a:noFill/>
                  </pic:spPr>
                </pic:pic>
              </a:graphicData>
            </a:graphic>
          </wp:anchor>
        </w:drawing>
      </w:r>
    </w:p>
    <w:p>
      <w:pPr>
        <w:sectPr>
          <w:pgSz w:w="11900" w:h="16838" w:orient="portrait"/>
          <w:cols w:equalWidth="0" w:num="1">
            <w:col w:w="9019"/>
          </w:cols>
          <w:pgMar w:left="1440" w:top="264" w:right="1440" w:bottom="73"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95" w:lineRule="exact"/>
        <w:rPr>
          <w:sz w:val="20"/>
          <w:szCs w:val="20"/>
          <w:color w:val="auto"/>
        </w:rPr>
      </w:pPr>
    </w:p>
    <w:p>
      <w:pPr>
        <w:ind w:left="700"/>
        <w:spacing w:after="0"/>
        <w:tabs>
          <w:tab w:leader="none" w:pos="3960" w:val="left"/>
        </w:tabs>
        <w:rPr>
          <w:sz w:val="20"/>
          <w:szCs w:val="20"/>
          <w:color w:val="auto"/>
        </w:rPr>
      </w:pPr>
      <w:r>
        <w:rPr>
          <w:rFonts w:ascii="Times New Roman" w:cs="Times New Roman" w:eastAsia="Times New Roman" w:hAnsi="Times New Roman"/>
          <w:sz w:val="17"/>
          <w:szCs w:val="17"/>
          <w:color w:val="auto"/>
        </w:rPr>
        <w:t>Issuer</w:t>
      </w:r>
      <w:r>
        <w:rPr>
          <w:sz w:val="20"/>
          <w:szCs w:val="20"/>
          <w:color w:val="auto"/>
        </w:rPr>
        <w:tab/>
      </w:r>
      <w:r>
        <w:rPr>
          <w:rFonts w:ascii="Times New Roman" w:cs="Times New Roman" w:eastAsia="Times New Roman" w:hAnsi="Times New Roman"/>
          <w:sz w:val="17"/>
          <w:szCs w:val="17"/>
          <w:color w:val="auto"/>
        </w:rPr>
        <w:t>SoundHound AI, Inc.</w:t>
      </w:r>
    </w:p>
    <w:p>
      <w:pPr>
        <w:sectPr>
          <w:pgSz w:w="11900" w:h="16838" w:orient="portrait"/>
          <w:cols w:equalWidth="0" w:num="1">
            <w:col w:w="9019"/>
          </w:cols>
          <w:pgMar w:left="1440" w:top="264" w:right="1440" w:bottom="73" w:gutter="0" w:footer="0" w:header="0"/>
          <w:type w:val="continuous"/>
        </w:sectPr>
      </w:pP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Resale of Class A Common Stock</w:t>
      </w:r>
    </w:p>
    <w:p>
      <w:pPr>
        <w:spacing w:after="0" w:line="195" w:lineRule="exact"/>
        <w:rPr>
          <w:sz w:val="20"/>
          <w:szCs w:val="20"/>
          <w:color w:val="auto"/>
        </w:rPr>
      </w:pPr>
    </w:p>
    <w:p>
      <w:pPr>
        <w:ind w:left="880" w:right="260" w:hanging="172"/>
        <w:spacing w:after="0" w:line="292" w:lineRule="auto"/>
        <w:rPr>
          <w:sz w:val="20"/>
          <w:szCs w:val="20"/>
          <w:color w:val="auto"/>
        </w:rPr>
      </w:pPr>
      <w:r>
        <w:rPr>
          <w:rFonts w:ascii="Times New Roman" w:cs="Times New Roman" w:eastAsia="Times New Roman" w:hAnsi="Times New Roman"/>
          <w:sz w:val="17"/>
          <w:szCs w:val="17"/>
          <w:color w:val="auto"/>
        </w:rPr>
        <w:t>Class A Common Stock Offered by the Selling Securityholders</w:t>
      </w:r>
    </w:p>
    <w:p>
      <w:pPr>
        <w:spacing w:after="0" w:line="3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0" w:lineRule="exact"/>
        <w:rPr>
          <w:sz w:val="20"/>
          <w:szCs w:val="20"/>
          <w:color w:val="auto"/>
        </w:rPr>
      </w:pPr>
    </w:p>
    <w:p>
      <w:pPr>
        <w:spacing w:after="0" w:line="201" w:lineRule="exact"/>
        <w:rPr>
          <w:sz w:val="20"/>
          <w:szCs w:val="20"/>
          <w:color w:val="auto"/>
        </w:rPr>
      </w:pPr>
    </w:p>
    <w:p>
      <w:pPr>
        <w:ind w:left="880" w:hanging="172"/>
        <w:spacing w:after="0" w:line="267" w:lineRule="auto"/>
        <w:rPr>
          <w:sz w:val="20"/>
          <w:szCs w:val="20"/>
          <w:color w:val="auto"/>
        </w:rPr>
      </w:pPr>
      <w:r>
        <w:rPr>
          <w:rFonts w:ascii="Times New Roman" w:cs="Times New Roman" w:eastAsia="Times New Roman" w:hAnsi="Times New Roman"/>
          <w:sz w:val="17"/>
          <w:szCs w:val="17"/>
          <w:color w:val="auto"/>
        </w:rPr>
        <w:t>Class A Common Stock Offered by certain Affiliates Issuable on Conversion of Class B Common Stock Held by Such Affiliates</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56,348,404 shares.</w:t>
      </w:r>
    </w:p>
    <w:p>
      <w:pPr>
        <w:spacing w:after="0" w:line="180" w:lineRule="exact"/>
        <w:rPr>
          <w:sz w:val="20"/>
          <w:szCs w:val="20"/>
          <w:color w:val="auto"/>
        </w:rPr>
      </w:pPr>
    </w:p>
    <w:p>
      <w:pPr>
        <w:ind w:right="739"/>
        <w:spacing w:after="0" w:line="292" w:lineRule="auto"/>
        <w:rPr>
          <w:sz w:val="20"/>
          <w:szCs w:val="20"/>
          <w:color w:val="auto"/>
        </w:rPr>
      </w:pPr>
      <w:r>
        <w:rPr>
          <w:rFonts w:ascii="Times New Roman" w:cs="Times New Roman" w:eastAsia="Times New Roman" w:hAnsi="Times New Roman"/>
          <w:sz w:val="17"/>
          <w:szCs w:val="17"/>
          <w:color w:val="auto"/>
        </w:rPr>
        <w:t>We will not receive any proceeds from the sale of the Class A Common Stock by the Selling Securityholders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40,396,600 shares</w:t>
      </w:r>
    </w:p>
    <w:p>
      <w:pPr>
        <w:spacing w:after="0" w:line="200" w:lineRule="exact"/>
        <w:rPr>
          <w:sz w:val="20"/>
          <w:szCs w:val="20"/>
          <w:color w:val="auto"/>
        </w:rPr>
      </w:pPr>
    </w:p>
    <w:p>
      <w:pPr>
        <w:spacing w:after="0" w:line="201" w:lineRule="exact"/>
        <w:rPr>
          <w:sz w:val="20"/>
          <w:szCs w:val="20"/>
          <w:color w:val="auto"/>
        </w:rPr>
      </w:pPr>
    </w:p>
    <w:p>
      <w:pPr>
        <w:ind w:right="719"/>
        <w:spacing w:after="0" w:line="292" w:lineRule="auto"/>
        <w:rPr>
          <w:sz w:val="20"/>
          <w:szCs w:val="20"/>
          <w:color w:val="auto"/>
        </w:rPr>
      </w:pPr>
      <w:r>
        <w:rPr>
          <w:rFonts w:ascii="Times New Roman" w:cs="Times New Roman" w:eastAsia="Times New Roman" w:hAnsi="Times New Roman"/>
          <w:sz w:val="17"/>
          <w:szCs w:val="17"/>
          <w:color w:val="auto"/>
        </w:rPr>
        <w:t>No proceeds will be payable to us on the conversion of the Class B Common Stock into Class A Common Stock.</w:t>
      </w:r>
    </w:p>
    <w:p>
      <w:pPr>
        <w:spacing w:after="0" w:line="119" w:lineRule="exact"/>
        <w:rPr>
          <w:sz w:val="20"/>
          <w:szCs w:val="20"/>
          <w:color w:val="auto"/>
        </w:rPr>
      </w:pPr>
    </w:p>
    <w:p>
      <w:pPr>
        <w:sectPr>
          <w:pgSz w:w="11900" w:h="16838" w:orient="portrait"/>
          <w:cols w:equalWidth="0" w:num="2">
            <w:col w:w="3660" w:space="320"/>
            <w:col w:w="5039"/>
          </w:cols>
          <w:pgMar w:left="1440" w:top="264" w:right="1440" w:bottom="73" w:gutter="0" w:footer="0" w:header="0"/>
          <w:type w:val="continuous"/>
        </w:sectPr>
      </w:pPr>
    </w:p>
    <w:tbl>
      <w:tblPr>
        <w:tblLayout w:type="fixed"/>
        <w:tblInd w:w="700" w:type="dxa"/>
        <w:tblCellMar>
          <w:top w:w="0" w:type="dxa"/>
          <w:left w:w="0" w:type="dxa"/>
          <w:bottom w:w="0" w:type="dxa"/>
          <w:right w:w="0" w:type="dxa"/>
        </w:tblCellMar>
      </w:tblPr>
      <w:tr>
        <w:trPr>
          <w:trHeight w:val="228"/>
        </w:trPr>
        <w:tc>
          <w:tcPr>
            <w:tcW w:w="3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Issuance of Class A Common Stock</w:t>
            </w: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Shares of Class A Common Stock Offered by</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w:t>
            </w:r>
          </w:p>
        </w:tc>
        <w:tc>
          <w:tcPr>
            <w:tcW w:w="4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Up to 3,457,996 shares of Class A Common Stock upon the</w:t>
            </w: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220" w:type="dxa"/>
            <w:vAlign w:val="bottom"/>
          </w:tcPr>
          <w:p>
            <w:pPr>
              <w:spacing w:after="0"/>
              <w:rPr>
                <w:sz w:val="19"/>
                <w:szCs w:val="19"/>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exercise of outstanding Registered Warrants.</w:t>
            </w:r>
          </w:p>
        </w:tc>
        <w:tc>
          <w:tcPr>
            <w:tcW w:w="0" w:type="dxa"/>
            <w:vAlign w:val="bottom"/>
          </w:tcPr>
          <w:p>
            <w:pPr>
              <w:spacing w:after="0"/>
              <w:rPr>
                <w:sz w:val="1"/>
                <w:szCs w:val="1"/>
                <w:color w:val="auto"/>
              </w:rPr>
            </w:pPr>
          </w:p>
        </w:tc>
      </w:tr>
      <w:tr>
        <w:trPr>
          <w:trHeight w:val="376"/>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 of the Registered Warrants</w:t>
            </w: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$11.50 per warrant, subject to adjustment</w:t>
            </w:r>
          </w:p>
        </w:tc>
        <w:tc>
          <w:tcPr>
            <w:tcW w:w="0" w:type="dxa"/>
            <w:vAlign w:val="bottom"/>
          </w:tcPr>
          <w:p>
            <w:pPr>
              <w:spacing w:after="0"/>
              <w:rPr>
                <w:sz w:val="1"/>
                <w:szCs w:val="1"/>
                <w:color w:val="auto"/>
              </w:rPr>
            </w:pPr>
          </w:p>
        </w:tc>
      </w:tr>
      <w:tr>
        <w:trPr>
          <w:trHeight w:val="370"/>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We will receive proceeds equal to the aggregate exercise price</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from any exercises of the Registered Warrants, assuming the</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exercise of the Registered Warrants for cash. We expect to use</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net proceeds from the exercise of the Registered Warrants</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 general corporate purposes, including working capital,</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expenses and capital expenditures. To the extent</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that any Registered Warrants are exercised on a “cashless</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basis,” the amount of cash we would receive from the</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exercise of the Registered Warrants will decrease. Cash</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proceeds associated with the exercise of Registered Warrants</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 purchase our Class A Shares are dependent on our stock</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price. To the extent the sales price of Class A Shares is lower</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than the exercise price of such Registered Warrants, we are</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unlikely  to  receive  proceeds  from  the  exercise  of  such</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Registered Warrants. We do not currently anticipate this will</w:t>
            </w:r>
          </w:p>
        </w:tc>
        <w:tc>
          <w:tcPr>
            <w:tcW w:w="0" w:type="dxa"/>
            <w:vAlign w:val="bottom"/>
          </w:tcPr>
          <w:p>
            <w:pPr>
              <w:spacing w:after="0"/>
              <w:rPr>
                <w:sz w:val="1"/>
                <w:szCs w:val="1"/>
                <w:color w:val="auto"/>
              </w:rPr>
            </w:pPr>
          </w:p>
        </w:tc>
      </w:tr>
      <w:tr>
        <w:trPr>
          <w:trHeight w:val="226"/>
        </w:trPr>
        <w:tc>
          <w:tcPr>
            <w:tcW w:w="3220" w:type="dxa"/>
            <w:vAlign w:val="bottom"/>
          </w:tcPr>
          <w:p>
            <w:pPr>
              <w:spacing w:after="0"/>
              <w:rPr>
                <w:sz w:val="19"/>
                <w:szCs w:val="19"/>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have a material impact on our liquidity.</w:t>
            </w:r>
          </w:p>
        </w:tc>
        <w:tc>
          <w:tcPr>
            <w:tcW w:w="0" w:type="dxa"/>
            <w:vAlign w:val="bottom"/>
          </w:tcPr>
          <w:p>
            <w:pPr>
              <w:spacing w:after="0"/>
              <w:rPr>
                <w:sz w:val="1"/>
                <w:szCs w:val="1"/>
                <w:color w:val="auto"/>
              </w:rPr>
            </w:pPr>
          </w:p>
        </w:tc>
      </w:tr>
      <w:tr>
        <w:trPr>
          <w:trHeight w:val="389"/>
        </w:trPr>
        <w:tc>
          <w:tcPr>
            <w:tcW w:w="3220" w:type="dxa"/>
            <w:vAlign w:val="bottom"/>
          </w:tcPr>
          <w:p>
            <w:pPr>
              <w:spacing w:after="0"/>
              <w:rPr>
                <w:sz w:val="24"/>
                <w:szCs w:val="24"/>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See “Use of Proceeds.”</w:t>
            </w:r>
          </w:p>
        </w:tc>
        <w:tc>
          <w:tcPr>
            <w:tcW w:w="0" w:type="dxa"/>
            <w:vAlign w:val="bottom"/>
          </w:tcPr>
          <w:p>
            <w:pPr>
              <w:spacing w:after="0"/>
              <w:rPr>
                <w:sz w:val="1"/>
                <w:szCs w:val="1"/>
                <w:color w:val="auto"/>
              </w:rPr>
            </w:pPr>
          </w:p>
        </w:tc>
      </w:tr>
      <w:tr>
        <w:trPr>
          <w:trHeight w:val="389"/>
        </w:trPr>
        <w:tc>
          <w:tcPr>
            <w:tcW w:w="3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Resale of Warrants</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Placement Warrants Offered by the Selling</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Warrantholders</w:t>
            </w:r>
          </w:p>
        </w:tc>
        <w:tc>
          <w:tcPr>
            <w:tcW w:w="4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Up to 174,750 Placement Warrants</w:t>
            </w:r>
          </w:p>
        </w:tc>
        <w:tc>
          <w:tcPr>
            <w:tcW w:w="0" w:type="dxa"/>
            <w:vAlign w:val="bottom"/>
          </w:tcPr>
          <w:p>
            <w:pPr>
              <w:spacing w:after="0"/>
              <w:rPr>
                <w:sz w:val="1"/>
                <w:szCs w:val="1"/>
                <w:color w:val="auto"/>
              </w:rPr>
            </w:pPr>
          </w:p>
        </w:tc>
      </w:tr>
      <w:tr>
        <w:trPr>
          <w:trHeight w:val="130"/>
        </w:trPr>
        <w:tc>
          <w:tcPr>
            <w:tcW w:w="3220" w:type="dxa"/>
            <w:vAlign w:val="bottom"/>
          </w:tcPr>
          <w:p>
            <w:pPr>
              <w:spacing w:after="0"/>
              <w:rPr>
                <w:sz w:val="11"/>
                <w:szCs w:val="11"/>
                <w:color w:val="auto"/>
              </w:rPr>
            </w:pPr>
          </w:p>
        </w:tc>
        <w:tc>
          <w:tcPr>
            <w:tcW w:w="4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7"/>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We will not receive any of the proceeds from the sale of the</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Placement Warrants by the Selling Securityholders, though</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we will receive proceeds equal to the aggregate exercise price</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from any exercises of the Placement Warrants, assuming the</w:t>
            </w:r>
          </w:p>
        </w:tc>
        <w:tc>
          <w:tcPr>
            <w:tcW w:w="0" w:type="dxa"/>
            <w:vAlign w:val="bottom"/>
          </w:tcPr>
          <w:p>
            <w:pPr>
              <w:spacing w:after="0"/>
              <w:rPr>
                <w:sz w:val="1"/>
                <w:szCs w:val="1"/>
                <w:color w:val="auto"/>
              </w:rPr>
            </w:pPr>
          </w:p>
        </w:tc>
      </w:tr>
      <w:tr>
        <w:trPr>
          <w:trHeight w:val="226"/>
        </w:trPr>
        <w:tc>
          <w:tcPr>
            <w:tcW w:w="3220" w:type="dxa"/>
            <w:vAlign w:val="bottom"/>
          </w:tcPr>
          <w:p>
            <w:pPr>
              <w:spacing w:after="0"/>
              <w:rPr>
                <w:sz w:val="19"/>
                <w:szCs w:val="19"/>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exercise of the Placement Warrants for cash.</w:t>
            </w:r>
          </w:p>
        </w:tc>
        <w:tc>
          <w:tcPr>
            <w:tcW w:w="0" w:type="dxa"/>
            <w:vAlign w:val="bottom"/>
          </w:tcPr>
          <w:p>
            <w:pPr>
              <w:spacing w:after="0"/>
              <w:rPr>
                <w:sz w:val="1"/>
                <w:szCs w:val="1"/>
                <w:color w:val="auto"/>
              </w:rPr>
            </w:pPr>
          </w:p>
        </w:tc>
      </w:tr>
      <w:tr>
        <w:trPr>
          <w:trHeight w:val="389"/>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Transfer Agent</w:t>
            </w: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Continental Stock Transfer &amp; Trust Company</w:t>
            </w:r>
          </w:p>
        </w:tc>
        <w:tc>
          <w:tcPr>
            <w:tcW w:w="0" w:type="dxa"/>
            <w:vAlign w:val="bottom"/>
          </w:tcPr>
          <w:p>
            <w:pPr>
              <w:spacing w:after="0"/>
              <w:rPr>
                <w:sz w:val="1"/>
                <w:szCs w:val="1"/>
                <w:color w:val="auto"/>
              </w:rPr>
            </w:pPr>
          </w:p>
        </w:tc>
      </w:tr>
      <w:tr>
        <w:trPr>
          <w:trHeight w:val="370"/>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Nasdaq Global Market Symbols</w:t>
            </w: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Our Class A Common Stock is listed under the symbol</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“SOUN”.  Our  Registered  Warrants  are  listed  under  the</w:t>
            </w:r>
          </w:p>
        </w:tc>
        <w:tc>
          <w:tcPr>
            <w:tcW w:w="0" w:type="dxa"/>
            <w:vAlign w:val="bottom"/>
          </w:tcPr>
          <w:p>
            <w:pPr>
              <w:spacing w:after="0"/>
              <w:rPr>
                <w:sz w:val="1"/>
                <w:szCs w:val="1"/>
                <w:color w:val="auto"/>
              </w:rPr>
            </w:pPr>
          </w:p>
        </w:tc>
      </w:tr>
      <w:tr>
        <w:trPr>
          <w:trHeight w:val="226"/>
        </w:trPr>
        <w:tc>
          <w:tcPr>
            <w:tcW w:w="3220" w:type="dxa"/>
            <w:vAlign w:val="bottom"/>
          </w:tcPr>
          <w:p>
            <w:pPr>
              <w:spacing w:after="0"/>
              <w:rPr>
                <w:sz w:val="19"/>
                <w:szCs w:val="19"/>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symbol “SOUNW”.</w:t>
            </w:r>
          </w:p>
        </w:tc>
        <w:tc>
          <w:tcPr>
            <w:tcW w:w="0" w:type="dxa"/>
            <w:vAlign w:val="bottom"/>
          </w:tcPr>
          <w:p>
            <w:pPr>
              <w:spacing w:after="0"/>
              <w:rPr>
                <w:sz w:val="1"/>
                <w:szCs w:val="1"/>
                <w:color w:val="auto"/>
              </w:rPr>
            </w:pPr>
          </w:p>
        </w:tc>
      </w:tr>
      <w:tr>
        <w:trPr>
          <w:trHeight w:val="370"/>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 investment in our Class A Shares and Warrants involves a</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high degree of risk. You should read this prospectus carefully,</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including the section titled “Risk Factors” and the combined</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 condensed consolidated financial statements and the</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related notes to those statements included in this prospectus,</w:t>
            </w:r>
          </w:p>
        </w:tc>
        <w:tc>
          <w:tcPr>
            <w:tcW w:w="0" w:type="dxa"/>
            <w:vAlign w:val="bottom"/>
          </w:tcPr>
          <w:p>
            <w:pPr>
              <w:spacing w:after="0"/>
              <w:rPr>
                <w:sz w:val="1"/>
                <w:szCs w:val="1"/>
                <w:color w:val="auto"/>
              </w:rPr>
            </w:pPr>
          </w:p>
        </w:tc>
      </w:tr>
      <w:tr>
        <w:trPr>
          <w:trHeight w:val="226"/>
        </w:trPr>
        <w:tc>
          <w:tcPr>
            <w:tcW w:w="3220" w:type="dxa"/>
            <w:vAlign w:val="bottom"/>
          </w:tcPr>
          <w:p>
            <w:pPr>
              <w:spacing w:after="0"/>
              <w:rPr>
                <w:sz w:val="19"/>
                <w:szCs w:val="19"/>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before investing in our common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4" w:right="1440" w:bottom="73" w:gutter="0" w:footer="0" w:header="0"/>
          <w:type w:val="continuous"/>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26670</wp:posOffset>
            </wp:positionV>
            <wp:extent cx="49396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73" w:gutter="0" w:footer="0" w:header="0"/>
          <w:type w:val="continuous"/>
        </w:sectPr>
      </w:pPr>
    </w:p>
    <w:bookmarkStart w:id="14" w:name="page15"/>
    <w:bookmarkEnd w:id="1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8368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44110" cy="836866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Outstanding Shares of Common Stock</w:t>
      </w:r>
    </w:p>
    <w:p>
      <w:pPr>
        <w:spacing w:after="0" w:line="159" w:lineRule="exact"/>
        <w:rPr>
          <w:sz w:val="20"/>
          <w:szCs w:val="20"/>
          <w:color w:val="auto"/>
        </w:rPr>
      </w:pPr>
    </w:p>
    <w:p>
      <w:pPr>
        <w:ind w:left="700" w:right="719" w:firstLine="415"/>
        <w:spacing w:after="0" w:line="266" w:lineRule="auto"/>
        <w:rPr>
          <w:sz w:val="20"/>
          <w:szCs w:val="20"/>
          <w:color w:val="auto"/>
        </w:rPr>
      </w:pPr>
      <w:r>
        <w:rPr>
          <w:rFonts w:ascii="Times New Roman" w:cs="Times New Roman" w:eastAsia="Times New Roman" w:hAnsi="Times New Roman"/>
          <w:sz w:val="17"/>
          <w:szCs w:val="17"/>
          <w:color w:val="auto"/>
        </w:rPr>
        <w:t>197,519,802 shares of Company common stock were issued and outstanding as of October 19, 2022, which calculation includes (i) 157,123,202 shares of the Company’s Class A Common Stock and</w:t>
      </w:r>
    </w:p>
    <w:p>
      <w:pPr>
        <w:ind w:left="700" w:right="719" w:firstLine="1"/>
        <w:spacing w:after="0" w:line="269" w:lineRule="auto"/>
        <w:tabs>
          <w:tab w:leader="none" w:pos="9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40,396,600 shares of the Company’s Class B Common Stock. Such amount does not include shares issuable upon exercise of warrants or options being registered hereunder.</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A Note About this Offering</w:t>
      </w:r>
    </w:p>
    <w:p>
      <w:pPr>
        <w:spacing w:after="0" w:line="159" w:lineRule="exact"/>
        <w:rPr>
          <w:sz w:val="20"/>
          <w:szCs w:val="20"/>
          <w:color w:val="auto"/>
        </w:rPr>
      </w:pPr>
    </w:p>
    <w:p>
      <w:pPr>
        <w:jc w:val="both"/>
        <w:ind w:left="700" w:right="719" w:firstLine="415"/>
        <w:spacing w:after="0" w:line="262" w:lineRule="auto"/>
        <w:rPr>
          <w:sz w:val="20"/>
          <w:szCs w:val="20"/>
          <w:color w:val="auto"/>
        </w:rPr>
      </w:pPr>
      <w:r>
        <w:rPr>
          <w:rFonts w:ascii="Times New Roman" w:cs="Times New Roman" w:eastAsia="Times New Roman" w:hAnsi="Times New Roman"/>
          <w:sz w:val="17"/>
          <w:szCs w:val="17"/>
          <w:color w:val="auto"/>
        </w:rPr>
        <w:t>This prospectus relates to (i) the offer and resale of an aggregate of up to 56,348,404 shares of Class A Shares of the Company held by Selling Securityholders, including (a) the PIPE Shares issued at $10.00 per share, (b) securities held by our officers, directors and their affiliates which were originally issued as</w:t>
      </w:r>
    </w:p>
    <w:p>
      <w:pPr>
        <w:spacing w:after="0" w:line="1" w:lineRule="exact"/>
        <w:rPr>
          <w:sz w:val="20"/>
          <w:szCs w:val="20"/>
          <w:color w:val="auto"/>
        </w:rPr>
      </w:pPr>
    </w:p>
    <w:p>
      <w:pPr>
        <w:jc w:val="both"/>
        <w:ind w:left="700" w:right="719" w:firstLine="1"/>
        <w:spacing w:after="0" w:line="255" w:lineRule="auto"/>
        <w:tabs>
          <w:tab w:leader="none" w:pos="97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in connection with ATSP’s IPO for approximately $0.009 per share and (2) as part of placement units in connection with ATSP’s IPO at a price of $10.00 per placement unit, and (c)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(ii) the resale by certain of our affiliates from time to time of up to 40,396,600 Class A Shares issuable upon conversion of Class B Shares issued pursuant to the Merger Agreement in connection with the Business Combination as merger consideration at an acquiror share value of $0.0073 per share, (iii) the resale from time to time of up to 174,750 Placement Warrants, each exercisable for one share of Class A Common Stock at a price of $11.50, subject to adjustment, which were originally issued as part of placement units in connection with ATSP’s IPO at a price of $10.00 per placement unit and (iv) the issuance by us of up to 3,457,996 Class A Shares upon the exercise of outstanding Registered Warrants to purchase our Class A Shares at an exercise price of $11.50, which were originally issued as part of the units in connection with ATSP’s IPO at a price of $10.00 per unit.</w:t>
      </w:r>
    </w:p>
    <w:p>
      <w:pPr>
        <w:spacing w:after="0" w:line="107" w:lineRule="exact"/>
        <w:rPr>
          <w:sz w:val="20"/>
          <w:szCs w:val="20"/>
          <w:color w:val="auto"/>
        </w:rPr>
      </w:pPr>
    </w:p>
    <w:p>
      <w:pPr>
        <w:jc w:val="both"/>
        <w:ind w:left="700" w:right="719" w:firstLine="415"/>
        <w:spacing w:after="0" w:line="260" w:lineRule="auto"/>
        <w:rPr>
          <w:sz w:val="20"/>
          <w:szCs w:val="20"/>
          <w:color w:val="auto"/>
        </w:rPr>
      </w:pPr>
      <w:r>
        <w:rPr>
          <w:rFonts w:ascii="Times New Roman" w:cs="Times New Roman" w:eastAsia="Times New Roman" w:hAnsi="Times New Roman"/>
          <w:sz w:val="17"/>
          <w:szCs w:val="17"/>
          <w:color w:val="auto"/>
        </w:rPr>
        <w:t>Even if the trading price of our Class A Common Stock is significantly below $10.00, the offering price for the units offered in ATSP’s IPO, certain of the selling securityholders may still have an incentive to sell shares of our Class A Common Stock because they purchased or received the shares at prices lower than the public investors or the current trading price of our Class A Common Stock and thus have an incentive to sell because they will still profit on sales and receive a positive rate of return due to the lower price that they purchased or received their shares than the public investors, who may not experience a similar rate of return on the securities they purchased due to differences in the purchase prices and the current trading price.</w:t>
      </w:r>
    </w:p>
    <w:p>
      <w:pPr>
        <w:spacing w:after="0" w:line="11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Based on the closing price of our Class A Common Stock of $3.13 as of October 19, 2022, holders of</w:t>
      </w:r>
    </w:p>
    <w:p>
      <w:pPr>
        <w:spacing w:after="0" w:line="31" w:lineRule="exact"/>
        <w:rPr>
          <w:sz w:val="20"/>
          <w:szCs w:val="20"/>
          <w:color w:val="auto"/>
        </w:rPr>
      </w:pPr>
    </w:p>
    <w:p>
      <w:pPr>
        <w:jc w:val="both"/>
        <w:ind w:left="700" w:right="719" w:firstLine="1"/>
        <w:spacing w:after="0" w:line="254" w:lineRule="auto"/>
        <w:tabs>
          <w:tab w:leader="none" w:pos="94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56,348,404 shares of Class A Common Stock of SoundHound AI held by Selling Securityholders, including the PIPE Shares issued at $10.00 per share would be expected to earn a potential loss of $6.87 per share (exclusive of the value of any other securities issued in the original transaction), securities held by our officers, directors and their affiliates (which were originally issued as founder shares in connection with ATSP’s IPO for approximately $0.009 would be expected to earn a potential profit of $3.12 per share, and as part of placement units in connection with ATSP’s IPO at a price of $10.00 per placement unit would be expected to earn a potential loss of $6.87 per share (exclusive of the value of any other securities issued in the original transaction),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would be expected to earn a potential profit, upon exercise, of $0.08 per share, (ii) the resale by certain of our affiliates from time to time of up to 40,396,600 Class A Shares (representing approximately 16.7% of the total number of shares of Class A Common Stock outstanding on a fully diluted basis) issuable upon conversion of shares of Class B Common Stock issued pursuant to the Merger Agreement in connection with the Business Combination as merger consideration at an acquiror share value of $0.0073 per share would be expected to earn a potential profit of $3.12 per share,</w:t>
      </w:r>
    </w:p>
    <w:p>
      <w:pPr>
        <w:spacing w:after="0" w:line="8" w:lineRule="exact"/>
        <w:rPr>
          <w:rFonts w:ascii="Times New Roman" w:cs="Times New Roman" w:eastAsia="Times New Roman" w:hAnsi="Times New Roman"/>
          <w:sz w:val="17"/>
          <w:szCs w:val="17"/>
          <w:color w:val="auto"/>
        </w:rPr>
      </w:pPr>
    </w:p>
    <w:p>
      <w:pPr>
        <w:jc w:val="both"/>
        <w:ind w:left="700" w:right="719" w:firstLine="1"/>
        <w:spacing w:after="0" w:line="256" w:lineRule="auto"/>
        <w:tabs>
          <w:tab w:leader="none" w:pos="102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resale from time to time of up to 174,750 Placement Warrants, each exercisable for one share of Class A Common Stock at a price of $11.50, subject to adjustment, which were originally issued as part of placement units in connection with ATSP’s IPO at a price of $10.00 per placement unit, would be expected to earn upon exercise a potential loss of $8.37 per share (exclusive of the value of any other securities issued in the original transaction) and (iv) the issuance by us of up to 3,457,996 Class A Shares upon the exercise of outstanding Warrants to purchase our Class A Shares at an exercise price of $11.50 (upon exercise representing approximately 1.4% of the total number of shares of Class A Common Stock outstanding on a fully diluted basis), as part of the units in connection with ATSP’s IPO at a price of $10.00 per unit, would be expected to earn upon exercise a potential loss of $8.37 per share (exclusive of the value of any other securities issued in the original transaction).</w:t>
      </w:r>
    </w:p>
    <w:p>
      <w:pPr>
        <w:sectPr>
          <w:pgSz w:w="11900" w:h="16838" w:orient="portrait"/>
          <w:cols w:equalWidth="0" w:num="1">
            <w:col w:w="9019"/>
          </w:cols>
          <w:pgMar w:left="1440" w:top="264" w:right="1440" w:bottom="1440" w:gutter="0" w:footer="0" w:header="0"/>
          <w:type w:val="continuous"/>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 w:name="page16"/>
    <w:bookmarkEnd w:id="1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carefully consider the following information about these risks, together with the other information appearing elsewhere in this prospectus,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Related to SoundHound AI’s Business</w:t>
      </w:r>
    </w:p>
    <w:p>
      <w:pPr>
        <w:spacing w:after="0" w:line="217"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market in which SoundHound AI operates is highly competitive and rapidly changing and SoundHound AI may be unable to compete successfully.</w:t>
      </w:r>
    </w:p>
    <w:p>
      <w:pPr>
        <w:spacing w:after="0" w:line="7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spacing w:after="0" w:line="116"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spacing w:after="0" w:line="387"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Adverse conditions in the Voice AI market or the global economy more generally could have adverse effects on SoundHound AI’s results of operations.</w:t>
      </w:r>
    </w:p>
    <w:p>
      <w:pPr>
        <w:spacing w:after="0" w:line="6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 AI’s largest customers are currently in the automotive industry, and automotive production and sales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57" w:lineRule="auto"/>
        <w:rPr>
          <w:sz w:val="20"/>
          <w:szCs w:val="20"/>
          <w:color w:val="auto"/>
        </w:rPr>
      </w:pPr>
      <w:r>
        <w:rPr>
          <w:rFonts w:ascii="Times New Roman" w:cs="Times New Roman" w:eastAsia="Times New Roman" w:hAnsi="Times New Roman"/>
          <w:sz w:val="17"/>
          <w:szCs w:val="17"/>
          <w:color w:val="auto"/>
        </w:rPr>
        <w:t>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spacing w:after="0" w:line="386"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SoundHound AI’s strategy to increase cloud connected and embedded products and technologies and expand the number of foreign languages SoundHound AI understands may adversely affect its near-term revenue growth and results of operations.</w:t>
      </w:r>
    </w:p>
    <w:p>
      <w:pPr>
        <w:spacing w:after="0" w:line="9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Pricing pressures from SoundHound AI’s customers may adversely affect its results of operations.</w:t>
      </w:r>
    </w:p>
    <w:p>
      <w:pPr>
        <w:spacing w:after="0" w:line="15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spacing w:after="0" w:line="169" w:lineRule="exact"/>
        <w:rPr>
          <w:sz w:val="20"/>
          <w:szCs w:val="20"/>
          <w:color w:val="auto"/>
        </w:rPr>
      </w:pPr>
    </w:p>
    <w:p>
      <w:pPr>
        <w:jc w:val="both"/>
        <w:ind w:left="620" w:right="6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spacing w:after="0" w:line="9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 w:name="page18"/>
    <w:bookmarkEnd w:id="1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60" w:lineRule="auto"/>
        <w:rPr>
          <w:sz w:val="20"/>
          <w:szCs w:val="20"/>
          <w:color w:val="auto"/>
        </w:rPr>
      </w:pPr>
      <w:r>
        <w:rPr>
          <w:rFonts w:ascii="Times New Roman" w:cs="Times New Roman" w:eastAsia="Times New Roman" w:hAnsi="Times New Roman"/>
          <w:sz w:val="17"/>
          <w:szCs w:val="17"/>
          <w:color w:val="auto"/>
        </w:rPr>
        <w:t>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 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spacing w:after="0" w:line="10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spacing w:after="0" w:line="174"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could be materially and adversely affected if it loses any of its largest customers.</w:t>
      </w:r>
    </w:p>
    <w:p>
      <w:pPr>
        <w:spacing w:after="0" w:line="7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spacing w:after="0" w:line="9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During the twelve months ended December 31, 2020 and 2021, respectively, two and three customers accounted for the following approximate percentages of SoundHound AI’s total revenues during the applicable period: 43% and 61%. However, the majority of these revenues were from non refundable upfront payments (as opposed to subscription services), where SoundHound AI performed their contractual obligations related to the services prior to December 31, 2021 and the related revenues are recognized over time for GAAP accounting purposes. For the six months ended June 30, 2022 and 2021, respectively, four and two customers accounted for 70% and 64% of revenue. At June 30, 2022, accounts receivable balances due from four customers collectively totaled 54% of the Company’s condensed consolidated accounts receivable balance compared to accounts receivable balances due from five customers collectively totaling 86% of the Company’s condensed consolidated accounts receivable balance at December 31, 2021.</w:t>
      </w:r>
    </w:p>
    <w:p>
      <w:pPr>
        <w:spacing w:after="0" w:line="116"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 As of the date of this prospectus, SoundHound AI has no reason to believe that its largest customers will discontinue or reduce its usage of SoundHound AI services.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may fluctuate significantly from period to period, and this may cause its stock price to decline.</w:t>
      </w:r>
    </w:p>
    <w:p>
      <w:pPr>
        <w:spacing w:after="0" w:line="6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spacing w:after="0" w:line="102" w:lineRule="exact"/>
        <w:rPr>
          <w:sz w:val="20"/>
          <w:szCs w:val="20"/>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timing and fulfilment of large customer contracts;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renewals of existing customer contracts and wins of new customer programs;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expenditures incurred pursuing new product or market opportunities;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royalty reports;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fluctuating sales by SoundHound AI’s customers to their end-users;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counterparties failing to meet their contractual commitments to SoundHound AI;</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by SoundHound AI or its competitors;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or data breaches;</w:t>
      </w:r>
    </w:p>
    <w:p>
      <w:pPr>
        <w:spacing w:after="0" w:line="14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in the prices of SoundHound AI’s products in response to competition, market conditions or contractual obligations;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of goodwill or intangible assets;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that are not collectible;</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than anticipated costs related to fixed-price contracts with SoundHound AI’s customers;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costs due to regulatory or trade restrictions;</w:t>
      </w:r>
    </w:p>
    <w:p>
      <w:pPr>
        <w:spacing w:after="0" w:line="15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litigation matters, whether initiated by SoundHound AI or brought by third-parties against SoundHound AI, and settlements or judgments it is required to pay in connection with disputes; and</w:t>
      </w:r>
    </w:p>
    <w:p>
      <w:pPr>
        <w:spacing w:after="0" w:line="8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trends as they affect the customer bases into which SoundHound AI and its customers sell and operate.</w:t>
      </w:r>
    </w:p>
    <w:p>
      <w:pPr>
        <w:spacing w:after="0" w:line="82"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spacing w:after="0" w:line="16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 has generated substantial net losses and negative operating cash flows since its inception and expects to continue to do so for the foreseeable future.</w:t>
      </w:r>
    </w:p>
    <w:p>
      <w:pPr>
        <w:spacing w:after="0" w:line="6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To date, SoundHound AI has generated substantial net losses and negative cash flows from operating activities. SoundHound AI expects that its net losses and its negative operating cash flows will continue for the foreseeable future, as SoundHound AI increases its development activities, and invest in sales and marketing. SoundHound AI also expects to incur the incremental costs of operating as a public company, contributing to SoundHound AI’s losses and operating uses of cash. SoundHound AI’s costs may also increase due to such factors as higher than anticipated financing and other costs; increases in the costs of labor or infrastructure; and major incidents or catastrophic events. If any of these or similar factors occur, SoundHound AI’s net losses and accumulated deficit could increase significantly and the price of shares of its common stock could decline.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 may not be able to obtain capital when desired on favorable terms, if at all, or without dilution to its stockholders.</w:t>
      </w:r>
    </w:p>
    <w:p>
      <w:pPr>
        <w:spacing w:after="0" w:line="6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anticipates that current cash, cash equivalents, cash provided by operating activities and funds available through SoundHound AI’s working capital line of credit, will be sufficient to meet its current and anticipated needs for general corporate purposes. SoundHound AI operates in an emerging market, however, which makes SoundHound AI’s prospects difficult to evaluate. It is possible that SoundHound AI may not generate sufficient cash flow from operations or otherwise have the capital resources to meet SoundHound AI’s future capital needs. If this occurs, SoundHound AI may need additional financing to execute on its current or future business strategies, including to:</w:t>
      </w:r>
    </w:p>
    <w:p>
      <w:pPr>
        <w:spacing w:after="0" w:line="112" w:lineRule="exact"/>
        <w:rPr>
          <w:sz w:val="20"/>
          <w:szCs w:val="20"/>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software engineers, sales and marketing professionals, and other personnel;</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new or enhance existing products and services;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SoundHound AI’s operating infrastructure;</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complementary businesses or technologies; or</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respond to competitive pressures.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If SoundHound AI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381"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spacing w:after="0" w:line="9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spacing w:after="0" w:line="10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Additionally, if any of SoundHound AI’s key management team members or other employees were to leave, SoundHound AI could face substantial difficulty in hiring qualified successors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spacing w:after="0" w:line="3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SoundHound AI depends on skilled employees and could be impacted by a shortage of critical skills.</w:t>
      </w:r>
    </w:p>
    <w:p>
      <w:pPr>
        <w:spacing w:after="0" w:line="14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Cybersecurity and data privacy incidents or breaches may damage client relations and inhibit SoundHound AI’s growth.</w:t>
      </w:r>
    </w:p>
    <w:p>
      <w:pPr>
        <w:spacing w:after="0" w:line="65"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spacing w:after="0" w:line="123" w:lineRule="exact"/>
        <w:rPr>
          <w:sz w:val="20"/>
          <w:szCs w:val="20"/>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resulting from the operational disruption;</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or increased bad debt expense due to the inability to invoice properly or to customer dissatisfaction resulting in collection issues;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due to loss of customers;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remediation costs to recreate or restore systems;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investments in new or enhanced systems in order to enhance SoundHound AI’s information security posture;</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incentives offered to customers to restore confidence and maintain business relationships;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reputational damage resulting in the failure to retain or attract customers;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potential litigation or governmental investigations;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any required notices of a data breach;</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the potential loss of critical business data;</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enhancing or creating new products due to loss of data or data integrity issues; and</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consequences of which SoundHound AI is not currently aware but would discover through the process of remediating any cybersecurity or data privacy incidents or breaches that may occur.</w:t>
      </w:r>
    </w:p>
    <w:p>
      <w:pPr>
        <w:spacing w:after="0" w:line="143"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a variety of domestic and international laws, rules, policies and other obligations, including data protection and anticorruption.</w:t>
      </w:r>
    </w:p>
    <w:p>
      <w:pPr>
        <w:spacing w:after="0" w:line="7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 SoundHound AI to incur substantial costs and may require it to change our business practices. Additionally,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w:t>
      </w:r>
    </w:p>
    <w:p>
      <w:pPr>
        <w:spacing w:after="0" w:line="322"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AI is a public. Compliance with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spacing w:after="0" w:line="119"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spacing w:after="0" w:line="90" w:lineRule="exact"/>
        <w:rPr>
          <w:sz w:val="20"/>
          <w:szCs w:val="20"/>
          <w:color w:val="auto"/>
        </w:rPr>
      </w:pPr>
    </w:p>
    <w:p>
      <w:pPr>
        <w:ind w:left="1440" w:hanging="411"/>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SoundHound AI’s customers to lose confidence in its solutions;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SoundHound AI’s reputation;</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SoundHound AI to litigation, regulatory investigations and to resulting liabilities including reimbursement of customer costs, damages penalties or fines imposed by regulatory agencies; and</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SoundHound AI to incur significant expenses for remediation.</w:t>
      </w:r>
    </w:p>
    <w:p>
      <w:pPr>
        <w:spacing w:after="0" w:line="15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9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spacing w:after="0" w:line="108" w:lineRule="exact"/>
        <w:rPr>
          <w:sz w:val="20"/>
          <w:szCs w:val="20"/>
          <w:color w:val="auto"/>
        </w:rPr>
      </w:pPr>
    </w:p>
    <w:p>
      <w:pPr>
        <w:ind w:left="1440" w:right="639" w:hanging="411"/>
        <w:spacing w:after="0" w:line="292"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political and economic conditions, or changes to such conditions, in a specific region or country;</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84"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including tariffs and import/export controls, imposed by the United States and/or by other countries or regional authorities such as China, Canada or the European Union;</w:t>
      </w:r>
    </w:p>
    <w:p>
      <w:pPr>
        <w:spacing w:after="0" w:line="289"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local and global economies of the United Kingdom leaving the European Union;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 or the lack of ability to hedge certain foreign currencies;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in many countries and any subsequent changes in such laws and regulations;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turmoil, including terrorism and war;</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data privacy regulations and customer requirements to locate data centers in certain jurisdictions;</w:t>
      </w:r>
    </w:p>
    <w:p>
      <w:pPr>
        <w:spacing w:after="0" w:line="81"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8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tax laws;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operations in multiple locations in many countries;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of foreign customers and timing of collections in foreign jurisdictions; and</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effective protection of intellectual property than in the United States.</w:t>
      </w:r>
    </w:p>
    <w:p>
      <w:pPr>
        <w:spacing w:after="0" w:line="215"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in China is subject to aggressive competition and is sensitive to economic, market and political conditions.</w:t>
      </w:r>
    </w:p>
    <w:p>
      <w:pPr>
        <w:spacing w:after="0" w:line="78"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 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sectPr>
          <w:pgSz w:w="11900" w:h="16838" w:orient="portrait"/>
          <w:cols w:equalWidth="0" w:num="1">
            <w:col w:w="9019"/>
          </w:cols>
          <w:pgMar w:left="1440" w:top="264"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spacing w:after="0" w:line="9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spacing w:after="0" w:line="108"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spacing w:after="0" w:line="183"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Interruptions or delays in SoundHound AI’s services or services from data center hosting facilities or public clouds could impair the delivery of its services and harm its business.</w:t>
      </w:r>
    </w:p>
    <w:p>
      <w:pPr>
        <w:spacing w:after="0" w:line="7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spacing w:after="0" w:line="379"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SoundHound AI is subject to certain U.S. and foreign anti-corruption, anti-money laundering, export control, sanctions, and other trade laws and regulations. SoundHound AI can face serious consequences for violations.</w:t>
      </w:r>
    </w:p>
    <w:p>
      <w:pPr>
        <w:spacing w:after="0" w:line="8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 w:name="page25"/>
    <w:bookmarkEnd w:id="2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risks, expenses and uncertainties associated with selling its solutions in locations outside the United States that could adversely affect its operating results.</w:t>
      </w:r>
    </w:p>
    <w:p>
      <w:pPr>
        <w:spacing w:after="0" w:line="6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In 2021 and 2020 and for the six months ended June 30, 2022 and 2021, SoundHound AI derived approximately 76%, 73%, 69% and 81%,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spacing w:after="0" w:line="105"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spacing w:after="0" w:line="1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Other risks and uncertainties SoundHound AI faces from its global operations include, but are not limited</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w:t>
      </w:r>
    </w:p>
    <w:p>
      <w:pPr>
        <w:spacing w:after="0" w:line="123" w:lineRule="exact"/>
        <w:rPr>
          <w:sz w:val="20"/>
          <w:szCs w:val="20"/>
          <w:color w:val="auto"/>
        </w:rPr>
      </w:pPr>
    </w:p>
    <w:p>
      <w:pPr>
        <w:ind w:left="1440" w:hanging="411"/>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w:t>
      </w:r>
    </w:p>
    <w:p>
      <w:pPr>
        <w:spacing w:after="0" w:line="15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protection for the enforcement of contract and intellectual property rights in certain countries where SoundHound AI may sell SoundHound AI’s solutions or work with suppliers or other third parties;</w:t>
      </w:r>
    </w:p>
    <w:p>
      <w:pPr>
        <w:spacing w:after="0" w:line="97"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longer sales and payment cycles and potentially greater difficulties in collecting accounts receivable;</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difficulties of customizing solutions for foreign countries;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providing solutions across a significant distance, in different languages and among different cultures;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competition;</w:t>
      </w:r>
    </w:p>
    <w:p>
      <w:pPr>
        <w:spacing w:after="0" w:line="14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subject to a wide variety of complex foreign laws, treaties and regulations and adjusting to any unexpected changes in such laws, treaties and regulations;</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 and significant regulations, including, but not limited to, the European Union’s General Data Protection Regulation (“GDPR”), which imposes compliance obligations on companies who possess and use data of EU residents;</w:t>
      </w:r>
    </w:p>
    <w:p>
      <w:pPr>
        <w:spacing w:after="0" w:line="97"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analysis of regulatory, legal and tax issues across various countries, such as different interpretations of antitrust and competition laws;</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and resultant political, financial and market instability arising from the United Kingdom’s exit from the European Union;</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U.S. laws affecting activities of U.S. companies abroad, including the U.S. Foreign Corrupt Practices Act;</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related to geopolitical risks, including the relationship between the U.S. government and the government of other nations;</w:t>
      </w:r>
    </w:p>
    <w:p>
      <w:pPr>
        <w:spacing w:after="0" w:line="68"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trade barriers and other regulatory or contractual limitations on SoundHound AI’s ability to sell or develop its solutions in certain foreign markets;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countries with a higher incidence of corruption and fraudulent business practices;</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including export controls, tariffs and embargoes, other trade restrictions, competition, corporate practices and data privacy concerns;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1"/>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tax consequences arising from global operations;</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reductions in business activity in certain parts of the world, particularly during the summer months in Europe and at year-end globally;</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 changes in government, economic and political policies and conditions; and</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civil unrest or instability, terrorism or epidemics or pandemics (including any risks related to or resulting from COVID-19) and other similar outbreaks or events.</w:t>
      </w:r>
    </w:p>
    <w:p>
      <w:pPr>
        <w:spacing w:after="0" w:line="8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SoundHound AI’s failure to effectively manage the risks and uncertainties associated with its existing and planned global operations could limit the future growth of its business and adversely affect its operating results.</w:t>
      </w:r>
    </w:p>
    <w:p>
      <w:pPr>
        <w:spacing w:after="0" w:line="143"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spacing w:after="0" w:line="9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spacing w:after="0" w:line="9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spacing w:after="0" w:line="105"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72" w:lineRule="exact"/>
        <w:rPr>
          <w:sz w:val="20"/>
          <w:szCs w:val="20"/>
          <w:color w:val="auto"/>
        </w:rPr>
      </w:pPr>
    </w:p>
    <w:p>
      <w:pPr>
        <w:jc w:val="both"/>
        <w:ind w:left="620" w:right="63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spacing w:after="0" w:line="10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plans to expand upon and establish new public cloud-based data centers for its U.S. and international operations may be unsuccessful and may present execution and competitive risks.</w:t>
      </w:r>
    </w:p>
    <w:p>
      <w:pPr>
        <w:spacing w:after="0" w:line="6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 plans to expand upon and establish new public cloud deployments in the future to facilitate its platform in the U.S. and certain international markets. SoundHound AI may partner with one or more third-parties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spacing w:after="0" w:line="11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spacing w:after="0" w:line="169" w:lineRule="exact"/>
        <w:rPr>
          <w:sz w:val="20"/>
          <w:szCs w:val="20"/>
          <w:color w:val="auto"/>
        </w:rPr>
      </w:pPr>
    </w:p>
    <w:p>
      <w:pPr>
        <w:jc w:val="both"/>
        <w:ind w:left="620" w:right="639"/>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Sales to customers outside the United States or customers with international operations and SoundHound AI’s international sales efforts and operations expose it to risks inherent in international sales and operations.</w:t>
      </w:r>
    </w:p>
    <w:p>
      <w:pPr>
        <w:spacing w:after="0" w:line="301"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An element of SoundHound AI’s growth strategy is to expand its international sales efforts and develop a worldwide customer base. SoundHound AI’s international expansion may not be successful and may not produce the return on investment it expects.</w:t>
      </w:r>
    </w:p>
    <w:p>
      <w:pPr>
        <w:spacing w:after="0" w:line="8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spacing w:after="0" w:line="105" w:lineRule="exact"/>
        <w:rPr>
          <w:sz w:val="20"/>
          <w:szCs w:val="20"/>
          <w:color w:val="auto"/>
        </w:rPr>
      </w:pPr>
    </w:p>
    <w:p>
      <w:pPr>
        <w:ind w:left="1440" w:hanging="411"/>
        <w:spacing w:after="0"/>
        <w:tabs>
          <w:tab w:leader="none" w:pos="1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establish and protect SoundHound AI’s brand in international markets;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localize and adapt SoundHound AI’s products for specific countries, including translation into foreign languages and associated costs and expenses;</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 particularly hiring and training qualified sales and service personnel;</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and offer customer care in various languages;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pricing environments, longer sales and accounts receivable payment cycles and collections issues;</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weaker protection for intellectual property and other legal rights than in the U.S. and practical difficulties in enforcing intellectual property and other rights outside of the U.S.;</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data protection laws and regulations that are complex, expensive to comply with and may require that customer data be stored and processed in a designated territory;</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piracy, counterfeiting and other misappropriation of SoundHound AI’s intellectual property in its locations outside the U.S.;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different sources of competition;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international markets;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39" w:hanging="411"/>
        <w:spacing w:after="0" w:line="273" w:lineRule="auto"/>
        <w:tabs>
          <w:tab w:leader="none" w:pos="14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value of the U.S. dollar and foreign currencies, which may make SoundHound AI’s products more expensive in other countries or may increase its costs, impacting its operating results when translated into U.S. dollars;</w:t>
      </w:r>
    </w:p>
    <w:p>
      <w:pPr>
        <w:spacing w:after="0" w:line="97"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challenges related to the complexity of multiple, conflicting and changing governmental laws and regulations, including employment, tax, telecommunications and telemarketing laws and regulations;</w:t>
      </w:r>
    </w:p>
    <w:p>
      <w:pPr>
        <w:spacing w:after="0" w:line="97"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international telecom fraud;</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competitors;</w:t>
      </w:r>
    </w:p>
    <w:p>
      <w:pPr>
        <w:spacing w:after="0" w:line="154" w:lineRule="exact"/>
        <w:rPr>
          <w:rFonts w:ascii="Times New Roman" w:cs="Times New Roman" w:eastAsia="Times New Roman" w:hAnsi="Times New Roman"/>
          <w:sz w:val="17"/>
          <w:szCs w:val="17"/>
          <w:color w:val="auto"/>
        </w:rPr>
      </w:pPr>
    </w:p>
    <w:p>
      <w:pPr>
        <w:jc w:val="both"/>
        <w:ind w:left="1440" w:right="619" w:hanging="411"/>
        <w:spacing w:after="0" w:line="264" w:lineRule="auto"/>
        <w:tabs>
          <w:tab w:leader="none" w:pos="14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spacing w:after="0" w:line="10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or taxes on the transfer of funds;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tax consequences; and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66" w:lineRule="auto"/>
        <w:tabs>
          <w:tab w:leader="none" w:pos="14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economic and political conditions and potential accompanying shifts in laws and regulations.</w:t>
      </w:r>
    </w:p>
    <w:p>
      <w:pPr>
        <w:spacing w:after="0" w:line="32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These risks could harm SoundHound AI’s international operations, increase its operating costs and hinder its ability to grow its international business and, consequently, its overall business and results of operations.</w:t>
      </w:r>
    </w:p>
    <w:p>
      <w:pPr>
        <w:spacing w:after="0" w:line="8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71"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Tax matters may cause significant variability in SoundHound AI’s operating results and may impact its overall financial condition.</w:t>
      </w:r>
    </w:p>
    <w:p>
      <w:pPr>
        <w:spacing w:after="0" w:line="78"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spacing w:after="0" w:line="92" w:lineRule="exact"/>
        <w:rPr>
          <w:sz w:val="20"/>
          <w:szCs w:val="20"/>
          <w:color w:val="auto"/>
        </w:rPr>
      </w:pPr>
    </w:p>
    <w:p>
      <w:pPr>
        <w:ind w:left="1440" w:hanging="411"/>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levels of taxable income;</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income being lower than anticipated in countries with lower statutory rates or higher than anticipated in countries with higher statutory rates;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decreases to valuation allowances recorded against deferred tax assets;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audits conducted and settled by various tax authorities;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income taxes upon finalization of income tax returns;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claim foreign tax credits;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8" w:name="page29"/>
    <w:bookmarkEnd w:id="2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right="639" w:hanging="411"/>
        <w:spacing w:after="0" w:line="292" w:lineRule="auto"/>
        <w:tabs>
          <w:tab w:leader="none" w:pos="14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repatriation of non-U.S. earnings for which SoundHound AI has not previously provided for income taxes; and</w:t>
      </w:r>
    </w:p>
    <w:p>
      <w:pPr>
        <w:spacing w:after="0" w:line="8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their interpretations in countries in which SoundHound AI is subject to taxation.</w:t>
      </w:r>
    </w:p>
    <w:p>
      <w:pPr>
        <w:spacing w:after="0" w:line="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spacing w:after="0" w:line="168" w:lineRule="exact"/>
        <w:rPr>
          <w:sz w:val="20"/>
          <w:szCs w:val="20"/>
          <w:color w:val="auto"/>
        </w:rPr>
      </w:pPr>
    </w:p>
    <w:p>
      <w:pPr>
        <w:jc w:val="both"/>
        <w:ind w:left="620" w:right="61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Forecasts of SoundHound AI’s market and market growth may prove to be inaccurate, and even if the markets in which it competes achieve the forecasted growth, there can be no assurance that its business will grow at similar rates, or at all.</w:t>
      </w:r>
    </w:p>
    <w:p>
      <w:pPr>
        <w:spacing w:after="0" w:line="8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spacing w:after="0" w:line="173" w:lineRule="exact"/>
        <w:rPr>
          <w:sz w:val="20"/>
          <w:szCs w:val="20"/>
          <w:color w:val="auto"/>
        </w:rPr>
      </w:pPr>
    </w:p>
    <w:p>
      <w:pPr>
        <w:jc w:val="both"/>
        <w:ind w:left="620" w:right="61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acquire new customers, its operating results will be harmed. Likewise, potential customer turnover in the future, or costs it incurs to retain its existing customers, could materially and adversely affect its operating results.</w:t>
      </w:r>
    </w:p>
    <w:p>
      <w:pPr>
        <w:spacing w:after="0" w:line="9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spacing w:after="0" w:line="174" w:lineRule="exact"/>
        <w:rPr>
          <w:sz w:val="20"/>
          <w:szCs w:val="20"/>
          <w:color w:val="auto"/>
        </w:rPr>
      </w:pPr>
    </w:p>
    <w:p>
      <w:pPr>
        <w:jc w:val="both"/>
        <w:ind w:left="620" w:right="61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97"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spacing w:after="0" w:line="9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New products, as well as enhancements to its existing products, could fail to attain sufficient market acceptance for many reasons, including:</w:t>
      </w:r>
    </w:p>
    <w:p>
      <w:pPr>
        <w:spacing w:after="0" w:line="82" w:lineRule="exact"/>
        <w:rPr>
          <w:sz w:val="20"/>
          <w:szCs w:val="20"/>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releasing new products, or product enhancements;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accurately predict market demand and to supply products that meet this demand in a timely fashion;</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its products, errors or failures of its products;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1"/>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or perceptions about the performance or effectiveness of products;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66" w:lineRule="auto"/>
        <w:tabs>
          <w:tab w:leader="none" w:pos="14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or anticipated introduction of competing products or technologies by its competitors; and</w:t>
      </w:r>
    </w:p>
    <w:p>
      <w:pPr>
        <w:spacing w:after="0" w:line="340"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configuration or usage errors by its customers.</w:t>
      </w:r>
    </w:p>
    <w:p>
      <w:pPr>
        <w:spacing w:after="0" w:line="14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0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If SoundHound AI spends significant time and effort on research and development and is unable to generate an adequate return on its investment, its results of operations may be materially and adversely affected.</w:t>
      </w:r>
    </w:p>
    <w:p>
      <w:pPr>
        <w:spacing w:after="0" w:line="143" w:lineRule="exact"/>
        <w:rPr>
          <w:sz w:val="20"/>
          <w:szCs w:val="20"/>
          <w:color w:val="auto"/>
        </w:rPr>
      </w:pPr>
    </w:p>
    <w:p>
      <w:pPr>
        <w:jc w:val="both"/>
        <w:ind w:left="620" w:right="6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spacing w:after="0" w:line="103"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spacing w:after="0" w:line="169"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brand, reputation and ability to attract, retain and serve its customers are dependent in part upon the reliable performance of its products and technologies.</w:t>
      </w:r>
    </w:p>
    <w:p>
      <w:pPr>
        <w:spacing w:after="0" w:line="6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98" w:lineRule="exact"/>
        <w:rPr>
          <w:sz w:val="20"/>
          <w:szCs w:val="20"/>
          <w:color w:val="auto"/>
        </w:rPr>
      </w:pPr>
    </w:p>
    <w:p>
      <w:pPr>
        <w:jc w:val="both"/>
        <w:ind w:left="620" w:right="619" w:firstLine="415"/>
        <w:spacing w:after="0" w:line="270" w:lineRule="auto"/>
        <w:rPr>
          <w:sz w:val="20"/>
          <w:szCs w:val="20"/>
          <w:color w:val="auto"/>
        </w:rPr>
      </w:pPr>
      <w:r>
        <w:rPr>
          <w:rFonts w:ascii="Times New Roman" w:cs="Times New Roman" w:eastAsia="Times New Roman" w:hAnsi="Times New Roman"/>
          <w:sz w:val="17"/>
          <w:szCs w:val="17"/>
          <w:color w:val="auto"/>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spacing w:after="0" w:line="313"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spacing w:after="0" w:line="99"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spacing w:after="0" w:line="163"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maintain and enhance its brand or reputation as an industry leader, its operating results may be adversely affected.</w:t>
      </w:r>
    </w:p>
    <w:p>
      <w:pPr>
        <w:spacing w:after="0" w:line="78"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0" w:name="page31"/>
    <w:bookmarkEnd w:id="3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2" w:lineRule="auto"/>
        <w:rPr>
          <w:sz w:val="20"/>
          <w:szCs w:val="20"/>
          <w:color w:val="auto"/>
        </w:rPr>
      </w:pPr>
      <w:r>
        <w:rPr>
          <w:rFonts w:ascii="Times New Roman" w:cs="Times New Roman" w:eastAsia="Times New Roman" w:hAnsi="Times New Roman"/>
          <w:sz w:val="17"/>
          <w:szCs w:val="17"/>
          <w:color w:val="auto"/>
        </w:rPr>
        <w:t>brand promotion activities may not be successful or yield increased revenue. The promotion of its brand requires 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Relating to SoundHound AI’s Intellectual Property and Technology</w:t>
      </w:r>
    </w:p>
    <w:p>
      <w:pPr>
        <w:spacing w:after="0" w:line="217"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use of open source technology could impose limitations on its ability to commercialize its software.</w:t>
      </w:r>
    </w:p>
    <w:p>
      <w:pPr>
        <w:spacing w:after="0" w:line="7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spacing w:after="0" w:line="110"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Times New Roman" w:cs="Times New Roman" w:eastAsia="Times New Roman" w:hAnsi="Times New Roman"/>
          <w:sz w:val="17"/>
          <w:szCs w:val="17"/>
          <w:b w:val="1"/>
          <w:bCs w:val="1"/>
          <w:i w:val="1"/>
          <w:iCs w:val="1"/>
          <w:color w:val="auto"/>
        </w:rPr>
        <w:t>.</w:t>
      </w:r>
    </w:p>
    <w:p>
      <w:pPr>
        <w:spacing w:after="0" w:line="168" w:lineRule="exact"/>
        <w:rPr>
          <w:sz w:val="20"/>
          <w:szCs w:val="20"/>
          <w:color w:val="auto"/>
        </w:rPr>
      </w:pPr>
    </w:p>
    <w:p>
      <w:pPr>
        <w:jc w:val="both"/>
        <w:ind w:left="620" w:right="6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spacing w:after="0" w:line="90"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Unauthorized use of SoundHound AI’s proprietary technology and intellectual property could adversely affect its business and results of operations.</w:t>
      </w:r>
    </w:p>
    <w:p>
      <w:pPr>
        <w:spacing w:after="0" w:line="65"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7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software products may have bugs, which could result in delayed or lost revenue, expensive correction, liability to its customers and claims against us.</w:t>
      </w:r>
    </w:p>
    <w:p>
      <w:pPr>
        <w:spacing w:after="0" w:line="7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spacing w:after="0" w:line="173"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respond quickly enough to changes in technology and technological risks and to develop its intellectual property into commercially viable products.</w:t>
      </w:r>
    </w:p>
    <w:p>
      <w:pPr>
        <w:spacing w:after="0" w:line="7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Related to SoundHound AI’s Class A Common Stock and the Securities Market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SoundHound AI’s stock price may fluctuate significantly.</w:t>
      </w:r>
    </w:p>
    <w:p>
      <w:pPr>
        <w:spacing w:after="0" w:line="146"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market price of SoundHound AI’s Class A Common Stock may fluctuate widely, depending on many factors, some of which may be beyond our control, including:</w:t>
      </w:r>
    </w:p>
    <w:p>
      <w:pPr>
        <w:spacing w:after="0" w:line="82" w:lineRule="exact"/>
        <w:rPr>
          <w:sz w:val="20"/>
          <w:szCs w:val="20"/>
          <w:color w:val="auto"/>
        </w:rPr>
      </w:pPr>
    </w:p>
    <w:p>
      <w:pPr>
        <w:ind w:left="1440" w:hanging="411"/>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results of operations due to factors related to our business;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failure of our business strategies;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industry capacity;</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and other factors that affect earnings and cash flow;</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our ability to make payments on or service our indebtedness and our ability to obtain financing as needed;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2" w:name="page33"/>
    <w:bookmarkEnd w:id="3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recruit qualified personnel;</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or annual earnings, or those of other companies in our industry;</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or dispositions;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interpretations or principles;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securities analysts to cover, or positively cover, our Class A Common Stock;</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by securities analysts or our ability to meet those estimates;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and stock price performance of other comparable companies;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 of the Company and its industry;</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market fluctuations unrelated to our operating performance;</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from any material litigation or government investigation;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(including tax laws and regulations) affecting our business;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capital gains taxes and taxes on dividends affecting stockholders; and</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other external factors.</w:t>
      </w:r>
    </w:p>
    <w:p>
      <w:pPr>
        <w:spacing w:after="0" w:line="15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Low trading volume for SoundHound AI’s Class A Common Stock, which may occur if an active trading market does not develop, among other reasons, would amplify the effect of the above factors on stock price volatility.</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Your percentage ownership in SoundHound AI may be diluted in the future.</w:t>
      </w:r>
    </w:p>
    <w:p>
      <w:pPr>
        <w:spacing w:after="0" w:line="146"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Stockholders’ percentage ownership in SoundHound AI may be diluted in the future because of equity issuances for acquisitions, capital market transactions or otherwise, including equity awards that SoundHound AI will be granting to directors, officers and other employees. Our Board has adopted the incentive plan and ESPP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0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From time-to-time, SoundHound AI may opportunistically evaluate and pursue acquisition opportunities, including acquisitions for which the consideration thereof may consist partially or entirely of newly-issued shares of SoundHound AI common stock and, therefore, such transactions, if consummated, would dilute the voting power and/or reduce the value of our common stock.</w:t>
      </w:r>
    </w:p>
    <w:p>
      <w:pPr>
        <w:spacing w:after="0" w:line="163"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issuance of additional shares of common stock or convertible securities may dilute your ownership and could adversely affect the stock price.</w:t>
      </w:r>
    </w:p>
    <w:p>
      <w:pPr>
        <w:spacing w:after="0" w:line="6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From time to time in the future, SoundHound AI may issue additional shares of common stock or securities convertible into common stock pursuant to a variety of transactions, including acquisitions. Additional shares of common stock may also be issued upon exercise of outstanding stock options and warrants to purchase common stock. The issuance by us of additional shares of common stock or securities convertible into common stock would dilute your ownership of SoundHound AI and the sale of a significant amount of such shares in the public market could adversely affect prevailing market prices of our common stock. Subject to the satisfaction of vesting conditions and the expiration of lockup agreements, shares issuable upon exercise of options will be available for resale immediately in the public market without restriction.</w:t>
      </w:r>
    </w:p>
    <w:p>
      <w:pPr>
        <w:spacing w:after="0" w:line="108"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Issuing additional shares of SoundHound AI’s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3" w:name="page34"/>
    <w:bookmarkEnd w:id="3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2" w:lineRule="auto"/>
        <w:rPr>
          <w:sz w:val="20"/>
          <w:szCs w:val="20"/>
          <w:color w:val="auto"/>
        </w:rPr>
      </w:pPr>
      <w:r>
        <w:rPr>
          <w:rFonts w:ascii="Times New Roman" w:cs="Times New Roman" w:eastAsia="Times New Roman" w:hAnsi="Times New Roman"/>
          <w:sz w:val="17"/>
          <w:szCs w:val="17"/>
          <w:color w:val="auto"/>
        </w:rPr>
        <w:t>issued, could have a preference with respect to liquidating distributions or a preference with respect to dividend payments that could limit our ability to pay dividends to the holders of our common stock. SoundHound AI’s decision to issue securities in any future offering will depend on market conditions and other factors beyond our control, which may adversely affect the amount, timing, or nature of our future offerings. As a result, holders of SoundHound AI’s common stock bear the risk that SoundHound AI’s future offerings may reduce the market price of SoundHound AI’s common stock and dilute their percentage ownership.</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cash dividends for the foreseeable future.</w:t>
      </w:r>
    </w:p>
    <w:p>
      <w:pPr>
        <w:spacing w:after="0" w:line="159"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We do not intend to and there can be no assurance that we will pay any dividend in the future.</w:t>
      </w:r>
    </w:p>
    <w:p>
      <w:pPr>
        <w:spacing w:after="0" w:line="165"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SoundHound AI’s management has limited experience in operating a public company. The requirements of being a public company may strain SoundHound AI’s resources and divert management’s attention, and the increases in legal, accounting and compliance expenses may be greater than SoundHound AI anticipates.</w:t>
      </w:r>
    </w:p>
    <w:p>
      <w:pPr>
        <w:spacing w:after="0" w:line="97"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or a “smaller reporting company,” we will continue to incur significant legal, accounting and other expenses that SoundHound did not incur as a private company. SoundHound AI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 AI’s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AI expects to incur significant expenses and devote substantial management effort toward ensuring compliance with the requirements of Section 404 of the Sarbanes-Oxley Act, which will increase when SoundHound AI is no longer an “emerging growth company” or a “smaller reporting company” with revenues of less than $100 million. SoundHound AI will need to hire additional accounting and financial staff, and engage outside consultants, all with appropriate public company experience and technical accounting knowledge and maintain an internal audit function, which will increase its operating expenses. Moreover, SoundHound AI could incur additional compensation costs in the event that it decides to pay cash compensation closer to that of other publicly listed companies, which would increase its general and administrative expenses and could materially and adversely affect its profitability. SoundHound AI will evaluate these rules and regulations, and cannot predict or estimate the amount of additional costs SoundHound AI may incur or the timing of such costs.</w:t>
      </w:r>
    </w:p>
    <w:p>
      <w:pPr>
        <w:spacing w:after="0" w:line="10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SoundHound AI’s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AI may not have adequate personnel with the appropriate level of knowledge, experience and training in the accounting policies, practices or internal control over financial reporting required of public companies. SoundHound AI’s management will need to continually assess its staffing and training procedures to improve its internal control over financial reporting. For example, SoundHound AI did not timely file its Form 10-Q for the quarter ended March 31, 2021 and unless the matters discussed in this risk factor and elsewhere in this prospectus are mitigated, the risk exists that SoundHound AI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AI will be required to expand its employee base and hire additional employees to support its operations as a public company which will increase our operating costs in future periods.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4" w:name="page35"/>
    <w:bookmarkEnd w:id="3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SoundHound AI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0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65"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Future sales, or the perception of future sales, of SoundHound AI’s common stock by SoundHound AI or its existing stockholders in the public market (such as through this prospectus) could cause the market price for SoundHound AI’s common stock to decline.</w:t>
      </w:r>
    </w:p>
    <w:p>
      <w:pPr>
        <w:spacing w:after="0" w:line="9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sale of substantial amounts of shares of SoundHound AI’s common stock in the public market (such as through this prospectus), or the perception that such sales could occur, could harm the prevailing market price of shares of common stock. These sales, including sale pursuant to this prospectus, or the possibility that these sales may occur, also might make it more difficult for us to sell equity securities in the future at a time and at a price that we deem appropriate.</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securities being offered in this prospectus represent a substantial percentage of our outstanding</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Class A Common Stock and warrants, and the sales of such securities could cause the market price of our</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Class A Common Stock and warrants to decline significantly.</w:t>
      </w:r>
    </w:p>
    <w:p>
      <w:pPr>
        <w:spacing w:after="0" w:line="13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This prospectus relates to (i) the offer and resale of an aggregate of up to 56,348,404 shares of Class A Shares of the Company held by Selling Securityholders (representing 23.6% of the total number of shares of Class A Common Stock outstanding on a fully diluted basis), including (a) the PIPE Shares issued at $10.00 per share, (b) securities held by our officers, directors and their affiliates which were originally issued as</w:t>
      </w:r>
    </w:p>
    <w:p>
      <w:pPr>
        <w:spacing w:after="0" w:line="1" w:lineRule="exact"/>
        <w:rPr>
          <w:sz w:val="20"/>
          <w:szCs w:val="20"/>
          <w:color w:val="auto"/>
        </w:rPr>
      </w:pPr>
    </w:p>
    <w:p>
      <w:pPr>
        <w:jc w:val="both"/>
        <w:ind w:left="620" w:right="619" w:hanging="5"/>
        <w:spacing w:after="0" w:line="255"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in connection with ATSP’s IPO for approximately $0.009 per share and (2) as part of placement units in connection with ATSP’s IPO at a price of $10.00 per placement unit, and (c)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(ii) the resale by certain of our affiliates from time to time of up to 40,396,600 Class A Shares (representing approximately 16.7% of the total number of shares of Class A Common Stock outstanding on a fully diluted basis) issuable upon conversion of Class B Shares issued pursuant to the Merger Agreement in connection with the Business Combination as merger consideration at an acquiror share value of $0.0073 per share, (iii) the resale from time to time of up to 174,750 Placement Warrants, each exercisable for one share of Class A Common Stock at a price of $11.50, subject to adjustment, which were originally issued as part of placement units in connection with ATSP’s IPO at a price of $10.00 per placement unit and (iv) the issuance by us of up to 3,457,996 Class A Shares upon the exercise of outstanding warrants to purchase our Class A Shares at an exercise price of $11.50, which were originally issued as part of the units in connection with ATSP’s IPO at a price of $10.00 per unit.</w:t>
      </w:r>
    </w:p>
    <w:p>
      <w:pPr>
        <w:spacing w:after="0" w:line="32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Even if the trading price of our Class A Common Stock is significantly below $10.00, the offering price for the units offered in ATSP’s IPO, certain of the selling securityholders may still have an incentive to sell shares of our Class A Common Stock because they purchased or received the shares at prices lower than the public investors or the current trading price of our Class A Common Stock and thus have an incentive to sell because they will still profit on sales due to the lower price that they purchased or received their shares than the public investors. For example, based on the closing price of our Class A Common Stock of $3.13 as of October 19, 2022, holders of the founder shares may experience a potential profit of up to approximately $3.12 per share, or approximately $10.4 million in the aggregate.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5" w:name="page36"/>
    <w:bookmarkEnd w:id="3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In connection with the Business Combination, certain of the Company’s stockholders, including certain of the Selling Securityholders, agreed that, subject to certain exceptions, they would not, during the period beginning at the effective time of the Business Combination and ending on October 26, 2022 (or April 26, 2023 in the case of our chief executive officer) (subject to early release if SoundHound AI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111"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SoundHound AI Holdings, Inc. 2022 Incentive Award Plan and SoundHound AI Holdings, Inc. 2022 ESPP may become available for sale in future.</w:t>
      </w:r>
    </w:p>
    <w:p>
      <w:pPr>
        <w:spacing w:after="0" w:line="10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Furthermore, on August 16, 2022, the Company entered into a common stock purchase agreement (the “Purchase Agreement”) and related registration rights agreement (the “CFPI Registration Rights Agreement”) with CF Principal Investments LLC (“CFPI”). Pursuant to the Purchase Agreement, The Company, has the right to sell to CFPI up to the lesser of (i) 25,000,000 shares of Class A Shares, and (ii) the Exchange Cap (as defined in the Purchase Agreement), subject to certain limitations and conditions set forth in the Purchase Agreement. The purchase price of the Class A Shares that the Company elects to sell to CFPI pursuant to the Purchase Agreement will be the volume weighted average price of the Class A Shares during the applicable purchase date on which the Company has timely delivered written notice to CFPI directing it to purchase the shares under the Purchase Agreement. The Company will receive 97% of the volume weighted average price of the shares so sold. The Company has filed a resale registration statement with the SEC to register under the Securities Act for the resale by CFPI of the Class A Shares that the Company may issue to CFPI under the Purchase Agreement.</w:t>
      </w:r>
    </w:p>
    <w:p>
      <w:pPr>
        <w:spacing w:after="0" w:line="100"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market price of shares of our Class A Common Stock could drop significantly if the holders of the shares described above sell them or are perceived by the market as intending to sell them or if we sell any shares pursuant to the Purchase Agreement. These factors could also make it more difficult for us to raise additional funds through future offerings of shares of our common stock or other securities.</w:t>
      </w:r>
    </w:p>
    <w:p>
      <w:pPr>
        <w:spacing w:after="0" w:line="163"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publish inaccurate or unfavorable research or reports about SoundHound AI’s business, its stock price and trading volume could decline.</w:t>
      </w:r>
    </w:p>
    <w:p>
      <w:pPr>
        <w:spacing w:after="0" w:line="7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384"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 may be subject to securities litigation, which is expensive and could divert management attention.</w:t>
      </w:r>
    </w:p>
    <w:p>
      <w:pPr>
        <w:spacing w:after="0" w:line="7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6" w:name="page37"/>
    <w:bookmarkEnd w:id="3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Applicable to a Dual Class Common Stock Structure</w:t>
      </w:r>
    </w:p>
    <w:p>
      <w:pPr>
        <w:spacing w:after="0" w:line="217" w:lineRule="exact"/>
        <w:rPr>
          <w:sz w:val="20"/>
          <w:szCs w:val="20"/>
          <w:color w:val="auto"/>
        </w:rPr>
      </w:pPr>
    </w:p>
    <w:p>
      <w:pPr>
        <w:jc w:val="both"/>
        <w:ind w:left="620" w:right="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93"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SoundHound AI has a dual class common stock structure and the holders of SoundHound AI Class B Common Stock have ten votes per share. SoundHound Founders own shares of Class B Common Stock representing approximately 72.6% of the voting power of the outstanding capital stock of SoundHound AI.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1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9"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97"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7" w:name="page38"/>
    <w:bookmarkEnd w:id="3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84" w:lineRule="exact"/>
        <w:rPr>
          <w:sz w:val="20"/>
          <w:szCs w:val="20"/>
          <w:color w:val="auto"/>
        </w:rPr>
      </w:pPr>
    </w:p>
    <w:p>
      <w:pPr>
        <w:jc w:val="both"/>
        <w:ind w:left="620" w:right="619" w:firstLine="415"/>
        <w:spacing w:after="0" w:line="270" w:lineRule="auto"/>
        <w:rPr>
          <w:sz w:val="20"/>
          <w:szCs w:val="20"/>
          <w:color w:val="auto"/>
        </w:rPr>
      </w:pPr>
      <w:r>
        <w:rPr>
          <w:rFonts w:ascii="Times New Roman" w:cs="Times New Roman" w:eastAsia="Times New Roman" w:hAnsi="Times New Roman"/>
          <w:sz w:val="17"/>
          <w:szCs w:val="17"/>
          <w:color w:val="auto"/>
        </w:rPr>
        <w:t>SoundHound AI has a dual class structure and upon the Closing, SoundHound Founders exchanged their shares of SoundHound Class B Common Stock for shares of Class B Common Stock of SoundHound AI which allows SoundHound Founders to also control a majority of the voting power of SoundHound AI after the Closing.</w:t>
      </w:r>
    </w:p>
    <w:p>
      <w:pPr>
        <w:spacing w:after="0" w:line="313"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388"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charter documents could make a merger, tender offer, or proxy contest difficult, thereby depressing the trading price of our common stock.</w:t>
      </w:r>
    </w:p>
    <w:p>
      <w:pPr>
        <w:spacing w:after="0" w:line="7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Amended Charter, Amended Bylaws, and Delaware law contain provisions that could depress the trading price of our common stock by acting to discourage, delay, or prevent a change of control of SoundHound AI or changes in SoundHound AI that our management or stockholders may deem advantageous. Among other things, the Amended Charter and Amended Bylaws include the following provisions:</w:t>
      </w:r>
    </w:p>
    <w:p>
      <w:pPr>
        <w:spacing w:after="0" w:line="90" w:lineRule="exact"/>
        <w:rPr>
          <w:sz w:val="20"/>
          <w:szCs w:val="20"/>
          <w:color w:val="auto"/>
        </w:rPr>
      </w:pPr>
    </w:p>
    <w:p>
      <w:pPr>
        <w:ind w:left="1440" w:right="639" w:hanging="411"/>
        <w:spacing w:after="0" w:line="292" w:lineRule="auto"/>
        <w:tabs>
          <w:tab w:leader="none" w:pos="14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board of directors to establish the number of directors and fill any vacancies and newly created directorships;</w:t>
      </w:r>
    </w:p>
    <w:p>
      <w:pPr>
        <w:spacing w:after="0" w:line="8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of directors could use to implement a stockholder rights plan;</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eliminates the ability of our stockholders to call special meetings of stockholders, except to the extent otherwise provided in the Amended Bylaws;</w:t>
      </w:r>
    </w:p>
    <w:p>
      <w:pPr>
        <w:spacing w:after="0" w:line="68" w:lineRule="exact"/>
        <w:rPr>
          <w:rFonts w:ascii="Times New Roman" w:cs="Times New Roman" w:eastAsia="Times New Roman" w:hAnsi="Times New Roman"/>
          <w:sz w:val="17"/>
          <w:szCs w:val="17"/>
          <w:color w:val="auto"/>
        </w:rPr>
      </w:pPr>
    </w:p>
    <w:p>
      <w:pPr>
        <w:jc w:val="both"/>
        <w:ind w:left="1440" w:right="619" w:hanging="411"/>
        <w:spacing w:after="0" w:line="284" w:lineRule="auto"/>
        <w:tabs>
          <w:tab w:leader="none" w:pos="14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except to the extent otherwise provided in the Amended Bylaws, which requires all stockholder actions to be taken at a meeting of our stockholders;</w:t>
      </w:r>
    </w:p>
    <w:p>
      <w:pPr>
        <w:spacing w:after="0" w:line="302"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the board of directors is expressly authorized to make, alter, or repeal our Amended Bylaws; and</w:t>
      </w:r>
    </w:p>
    <w:p>
      <w:pPr>
        <w:spacing w:after="0" w:line="8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of directors or for proposing matters that can be acted upon by stockholders at annual stockholder meetings.</w:t>
      </w:r>
    </w:p>
    <w:p>
      <w:pPr>
        <w:spacing w:after="0" w:line="69"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8" w:name="page39"/>
    <w:bookmarkEnd w:id="3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73" w:lineRule="auto"/>
        <w:rPr>
          <w:sz w:val="20"/>
          <w:szCs w:val="20"/>
          <w:color w:val="auto"/>
        </w:rPr>
      </w:pPr>
      <w:r>
        <w:rPr>
          <w:rFonts w:ascii="Times New Roman" w:cs="Times New Roman" w:eastAsia="Times New Roman" w:hAnsi="Times New Roman"/>
          <w:sz w:val="17"/>
          <w:szCs w:val="17"/>
          <w:color w:val="auto"/>
        </w:rPr>
        <w:t>provisions contained in Section 203 of the DGCL, which are designed to limit SoundHound AI’s ability to enter into certain business combination transactions within a three (3) year period following the adoption of the Amended Charter.</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Any provision of our Amended Charter, our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Related to U.S. and International Taxation Generally</w:t>
      </w:r>
    </w:p>
    <w:p>
      <w:pPr>
        <w:spacing w:after="0" w:line="217"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exposure to additional income tax liabilities could affect SoundHound AI’s future profitability.</w:t>
      </w:r>
    </w:p>
    <w:p>
      <w:pPr>
        <w:spacing w:after="0" w:line="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Factors that could materially affect SoundHound AI’s future effective tax rates include but are not limited</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w:t>
      </w:r>
    </w:p>
    <w:p>
      <w:pPr>
        <w:spacing w:after="0" w:line="123" w:lineRule="exact"/>
        <w:rPr>
          <w:sz w:val="20"/>
          <w:szCs w:val="20"/>
          <w:color w:val="auto"/>
        </w:rPr>
      </w:pPr>
    </w:p>
    <w:p>
      <w:pPr>
        <w:ind w:left="1440" w:hanging="411"/>
        <w:spacing w:after="0"/>
        <w:tabs>
          <w:tab w:leader="none" w:pos="14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or the regulatory environment;</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and tax standards or practices;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composition of operating income by tax jurisdiction; and</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operating results before taxes.</w:t>
      </w:r>
    </w:p>
    <w:p>
      <w:pPr>
        <w:spacing w:after="0" w:line="15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0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 AI’s 2018 and 2019 or 2020 provision for income taxes because SoundHound AI incurred losses in the U.S. in these years, and the management set up a full valuation allowance against its U.S. federal and states deferred tax assets.</w:t>
      </w:r>
    </w:p>
    <w:p>
      <w:pPr>
        <w:spacing w:after="0" w:line="10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spacing w:after="0" w:line="176"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ability to use its net operating loss carryforwards and certain other tax attributes may be limited.</w:t>
      </w:r>
    </w:p>
    <w:p>
      <w:pPr>
        <w:spacing w:after="0" w:line="7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 of December 31, 2021, SoundHound AI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9" w:name="page40"/>
    <w:bookmarkEnd w:id="3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57" w:lineRule="auto"/>
        <w:rPr>
          <w:sz w:val="20"/>
          <w:szCs w:val="20"/>
          <w:color w:val="auto"/>
        </w:rPr>
      </w:pPr>
      <w:r>
        <w:rPr>
          <w:rFonts w:ascii="Times New Roman" w:cs="Times New Roman" w:eastAsia="Times New Roman" w:hAnsi="Times New Roman"/>
          <w:sz w:val="17"/>
          <w:szCs w:val="17"/>
          <w:color w:val="auto"/>
        </w:rPr>
        <w:t>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SoundHound AI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386"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7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98" w:lineRule="exact"/>
        <w:rPr>
          <w:sz w:val="20"/>
          <w:szCs w:val="20"/>
          <w:color w:val="auto"/>
        </w:rPr>
      </w:pPr>
    </w:p>
    <w:p>
      <w:pPr>
        <w:ind w:left="1440" w:hanging="411"/>
        <w:spacing w:after="0"/>
        <w:tabs>
          <w:tab w:leader="none" w:pos="14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valuation of our deferred tax assets and liabilities;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timing and amount of the release of any tax valuation allowances;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effects of stock-based compensation;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intercompany restructurings;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regulations or interpretations thereof; or</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than anticipated future earnings in jurisdictions where we have lower statutory tax rates and higher than anticipated future earnings in jurisdictions where we have higher statutory tax rates.</w:t>
      </w:r>
    </w:p>
    <w:p>
      <w:pPr>
        <w:spacing w:after="0" w:line="8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0" w:name="page41"/>
    <w:bookmarkEnd w:id="4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8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Assuming the cash exercise of all outstanding Warrants, we will receive an aggregate of approximately $78.9 million. We expect to use the net proceeds from the exercise of the Warrants, if any, for working capital and general corporate purposes. We will have broad discretion over the use of any proceeds from the exercise of the Warrants. There is no assurance that the holders of the Warrants will elect to exercise any or all of their Warrants. To the extent that any Warrants are exercised on a “cashless basis,” the amount of cash we would receive from the exercise of the Warrants will decrease. Cash proceeds associated with the exercise of Warrants to purchase our Class A Shares are dependent on our stock price. To the extent the sales price of Class A Shares is lower than the exercise price of such Warrants, we are unlikely to receive proceeds from the exercise of such Warrants. We do not currently anticipate this will have a material impact on our liquidity.</w:t>
      </w:r>
    </w:p>
    <w:p>
      <w:pPr>
        <w:spacing w:after="0" w:line="111"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Selling Securityholders will pay any underwriting discounts and commissions and expenses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1" w:name="page42"/>
    <w:bookmarkEnd w:id="4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DETERMINATION OF OFFERING PRICE</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offering price of the shares of Class A Common Stock underlying the Warrants offered hereby is determined by reference to the exercise price of the Warrants of $11.50 per share. The Registered Warrants are listed on Nasdaq under the symbol “SOUNW”</w:t>
      </w:r>
    </w:p>
    <w:p>
      <w:pPr>
        <w:spacing w:after="0" w:line="9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We cannot currently determine the price at which shares of our Class A Common Stock may be sold by the Selling Securityholders under this prospectus.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2" w:name="page43"/>
    <w:bookmarkEnd w:id="4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MARKET INFORMATION FOR CLASS A STOCK AND DIVIDEND POLICY</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Our Class A Common Stock and Warrants are currently listed on Nasdaq under the symbols “SOUN” and “SOUNW,” respectively. Prior to the consummation of the Business Combination, ATSP’s units, subunits, and warrants were listed on the Nasdaq Stock Market, under the symbols “ATSPU,” “ATSPT,” and “ATSPW,” respectively. As of October 19, 2022, there were 168 holders of record of our Class A Common Stock, three holders of record of our Class B Common Stock, and 31 holders of record of our Warrants. Our Class B Common Stock is not listed on any exchange and we do not intend to list the Class B Common Stock on any exchange or stock market.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3" w:name="page44"/>
    <w:bookmarkEnd w:id="4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left="620" w:right="639"/>
        <w:spacing w:after="0" w:line="294" w:lineRule="auto"/>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 OF ATSP</w:t>
      </w:r>
    </w:p>
    <w:p>
      <w:pPr>
        <w:spacing w:after="0" w:line="5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ATSP’s financial condition and results of operations should be read in conjunction with the audited financial statements of ATSP and the notes related thereto which are included elsewhere in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SoundHound AI has not included the financial statements of ATSP for the three and six months ended June 30, 2022 since the Business Combination was accounted for as the acquisition of ATSP by SoundHound AI (a reverse recapitalization of SoundHound AI) and therefore S-X 3-05 and S-X 8-04 do not apply. Accordingly, the discussion and analysis of the financial condition and results of operations of ATSP is limited to the year ended December 31, 2021 and 2020.</w:t>
      </w:r>
    </w:p>
    <w:p>
      <w:pPr>
        <w:spacing w:after="0" w:line="86"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References in this section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1"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were formed on September 15, 2020 for the purpose of entering into a merger, share exchange, asset acquisition, stock purchase, recapitalization, reorganization or other similar business combination with one or more target businesses (the “Business Combination”).</w:t>
      </w:r>
    </w:p>
    <w:p>
      <w:pPr>
        <w:spacing w:after="0" w:line="8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All activity from the consummation of our IPO on March 15, 2021 through April 26, 2022, the date of the consummation of the Business Combination, related to our formation, the search for a prospective initial Business Combination target, and efforts toward consummating the initial Business Combination.</w:t>
      </w:r>
    </w:p>
    <w:p>
      <w:pPr>
        <w:spacing w:after="0" w:line="7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w:t>
      </w:r>
    </w:p>
    <w:p>
      <w:pPr>
        <w:spacing w:after="0" w:line="7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April 26, 2022, we consummated our Business Combination with SoundHound, Inc. (“Legacy SoundHound”) pursuant to the Merger Agreement. The aggregate merger consideration we paid to Legacy SoundHound security holders in connection with the Business Combination was an amount equal to $2,000,000,000, with outstanding Legacy SoundHound stock options and warrants assumed by us included on a net exercise basis. As a result of the Business Combination, we own 100% of the outstanding common stock of SoundHound, Inc. and we changed our name from “Archimedes Tech SPAC Partners Co.” to “SoundHound AI, Inc”</w:t>
      </w:r>
    </w:p>
    <w:p>
      <w:pPr>
        <w:spacing w:after="0" w:line="99"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Additional information about the Merger Agreement and related transactions can be found in the Current Report on Form 8-K filed on November 16, 2021, the Amendment No. 1 to the Registration Statement on Form S-4 filed on February 14, 2022, the Current Report on Form 8-K filed on May 2, 2022 and the Form 8-K/A filed on May 17, 2022.</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2022 and March 31, 2021</w:t>
      </w:r>
    </w:p>
    <w:p>
      <w:pPr>
        <w:spacing w:after="0" w:line="131"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As of March 31, 2022, we have not commenced any operations. All activity for the period from September 15, 2020 (inception) through March 31, 2022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the three months ended March 31, 2022, we had a net loss of $385,450, which was comprised of operating costs of $490,053, interest income of $11,857 from marketable securities held in our Trust Account, and unrealized gain on change in fair value of warrants of $92,746.</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4" w:name="page45"/>
    <w:bookmarkEnd w:id="4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Years Ended December 31, 2021 and December 31, 2020</w:t>
      </w:r>
    </w:p>
    <w:p>
      <w:pPr>
        <w:spacing w:after="0" w:line="131"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7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For the period from September 15, 2020 (inception) through December 31, 2020, we had a net loss of $716, which was comprised of operating costs of $716.</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9" w:lineRule="exact"/>
        <w:rPr>
          <w:sz w:val="20"/>
          <w:szCs w:val="20"/>
          <w:color w:val="auto"/>
        </w:rPr>
      </w:pPr>
    </w:p>
    <w:p>
      <w:pPr>
        <w:jc w:val="both"/>
        <w:ind w:left="620" w:right="619" w:firstLine="415"/>
        <w:spacing w:after="0" w:line="274" w:lineRule="auto"/>
        <w:rPr>
          <w:sz w:val="20"/>
          <w:szCs w:val="20"/>
          <w:color w:val="auto"/>
        </w:rPr>
      </w:pPr>
      <w:r>
        <w:rPr>
          <w:rFonts w:ascii="Times New Roman" w:cs="Times New Roman" w:eastAsia="Times New Roman" w:hAnsi="Times New Roman"/>
          <w:sz w:val="17"/>
          <w:szCs w:val="17"/>
          <w:color w:val="auto"/>
        </w:rPr>
        <w:t xml:space="preserve">Information relating to liquidity and capital resources is reported in the section titled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 of SoundHound AI, elsewhere in this prospectus.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31"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31"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31"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did not have any off-balance sheet arrangements during the periods presented.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5" w:name="page46"/>
    <w:bookmarkEnd w:id="4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left="620" w:right="639"/>
        <w:spacing w:after="0" w:line="294" w:lineRule="auto"/>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 OF SOUNDHOUND AI</w:t>
      </w:r>
    </w:p>
    <w:p>
      <w:pPr>
        <w:spacing w:after="0" w:line="66"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SoundHound AI’s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Legacy SoundHound and its subsidiaries prior to the Business Combination, which became the business of SoundHound AI, Inc. and its consolidated subsidiaries after giving effect to the Business Combination. Information relating to the audited financial statements for the years ended December 31, 2021 and 2020 are those of Legacy SoundHound prior to the Business Combination. Information relating to unaudited financial statements for the three and six month periods ended June 30, 2022 reflect the financial statements of SoundHound AI giving effect to the Business Combination.</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316"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03"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SoundHound AI developer platform, Houndify, is an open-access platform that allows developers to leverage SoundHound AI’s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0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SoundHound AI’s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first half of 2022, compared to the same period in 2021.</w:t>
      </w:r>
    </w:p>
    <w:p>
      <w:pPr>
        <w:spacing w:after="0" w:line="10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Our current partners span multiple industries and geographies, and together have a combined reach of over 2 billion end users.</w:t>
      </w:r>
    </w:p>
    <w:p>
      <w:pPr>
        <w:spacing w:after="0" w:line="6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AI has extensive technical expertise and a proven track record of innovation and value creation for us to continue to attract customers in the growing market for Voice AI transactions, which is estimated to grow to $160.0 billion per year by 2026.</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6" w:name="page47"/>
    <w:bookmarkEnd w:id="4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We believe that SoundHound AI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31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This creates a great opportunity for SoundHound AI: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90"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0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9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believe that we offer a superior ecosystem, benefitting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9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0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16"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Once the core features of a product are voice-enabled, it can be further enhanced in the second stage of integration: the addition of third-party content and domains. SoundHound AI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7" w:name="page48"/>
    <w:bookmarkEnd w:id="4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0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There are three pillars to our revenue model. The first pillar is Product Royalties, where we voice enable a product and the product creator pays us a royalty based on volume, usage or duration. SoundHound AI collects royalties when Houndify is placed in a car, smart speaker or an appliance, for example.</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second pillar is Service Subscription. This is when, for example, SoundHound AI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90"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AI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2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ATSP Merger</w:t>
      </w:r>
    </w:p>
    <w:p>
      <w:pPr>
        <w:spacing w:after="0" w:line="157"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On November 15, 2021, Archimedes Tec SPAC Partners Co. (“ATSP”), Legacy SoundHound and Merger Sub, Inc., entered into a merger agreement (“Merger Agreement”), resulting in the reverse recapitalization of Legacy SoundHound (the “Business Combination”) and the issuance of Archimedes Tech SPAC Partners Co. (“ATSP”) common stock (now common stock of the Company) in the PIPE investment. The Business Combination was completed on April 26, 2022 (the “Closing”). Upon the Closing of the Business Combination, ATSP changed its name to SoundHound AI, Inc.</w:t>
      </w:r>
    </w:p>
    <w:p>
      <w:pPr>
        <w:spacing w:after="0" w:line="9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Cash proceeds of the Business Combination were funded through a combination of $5.4 million in cash held in trust by ATSP (following satisfaction of redemptions by public stockholders), and $113.0 million in aggregate gross proceeds from PIPE investors in exchange for 11,300,000 shares of SoundHound AI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8" w:name="page49"/>
    <w:bookmarkEnd w:id="4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73" w:lineRule="auto"/>
        <w:rPr>
          <w:sz w:val="20"/>
          <w:szCs w:val="20"/>
          <w:color w:val="auto"/>
        </w:rPr>
      </w:pPr>
      <w:r>
        <w:rPr>
          <w:rFonts w:ascii="Times New Roman" w:cs="Times New Roman" w:eastAsia="Times New Roman" w:hAnsi="Times New Roman"/>
          <w:sz w:val="17"/>
          <w:szCs w:val="17"/>
          <w:color w:val="auto"/>
        </w:rPr>
        <w:t>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Accounting Impact of the Business Combination</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pacing w:after="0" w:line="10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Equity Line Financing</w:t>
      </w:r>
    </w:p>
    <w:p>
      <w:pPr>
        <w:spacing w:after="0" w:line="144" w:lineRule="exact"/>
        <w:rPr>
          <w:sz w:val="20"/>
          <w:szCs w:val="20"/>
          <w:color w:val="auto"/>
        </w:rPr>
      </w:pPr>
    </w:p>
    <w:p>
      <w:pPr>
        <w:jc w:val="both"/>
        <w:ind w:left="620" w:right="639" w:firstLine="415"/>
        <w:spacing w:after="0" w:line="266" w:lineRule="auto"/>
        <w:rPr>
          <w:sz w:val="20"/>
          <w:szCs w:val="20"/>
          <w:color w:val="auto"/>
        </w:rPr>
      </w:pPr>
      <w:r>
        <w:rPr>
          <w:rFonts w:ascii="Times New Roman" w:cs="Times New Roman" w:eastAsia="Times New Roman" w:hAnsi="Times New Roman"/>
          <w:sz w:val="17"/>
          <w:szCs w:val="17"/>
          <w:color w:val="auto"/>
        </w:rPr>
        <w:t>On August 16, 2022, we entered into a Purchase Agreement and CFPI Registration Rights Agreement with CFPI. Pursuant to the Purchase Agreement, we have the right to sell to CFPI up to the lesser of</w:t>
      </w:r>
    </w:p>
    <w:p>
      <w:pPr>
        <w:jc w:val="both"/>
        <w:ind w:left="620" w:right="639" w:hanging="5"/>
        <w:spacing w:after="0" w:line="258" w:lineRule="auto"/>
        <w:tabs>
          <w:tab w:leader="none" w:pos="83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25,000,000 shares of our Class A Common Stock and (ii) the Exchange Cap (as defined in the Purchase Agreement), subject to certain limitations and conditions set forth in the Purchase Agreement. We are obligated under the Purchase Agreement and the CFPI Registration Rights Agreement to file a registration statement with the SEC to register under the Securities Act for the resale by CFPI of shares of Class A Common Stock that we may issue to CFPI under the Purchase Agreement.</w:t>
      </w:r>
    </w:p>
    <w:p>
      <w:pPr>
        <w:spacing w:after="0" w:line="111"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We will not have the right to commence any sales of Class A Common Stock to CFPI under the Purchase Agreement until the Commencement Date (as defined in the Purchase Agreement), which is the time when all of the conditions to our right to commence sales of Class A Common Stock to CFPI set forth in the Purchase Agreement have been satisfied, including that a registration statement relating to the Class A Common Stock is filed and declared effective by the SEC.</w:t>
      </w:r>
    </w:p>
    <w:p>
      <w:pPr>
        <w:spacing w:after="0" w:line="10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After the Commencement Date, we will have the right from time to time at our sole discretion until the first day of the month next following the 36-month period from and after the Commencement Date, to direct CFPI to purchase up to a specified maximum amount of shares of Class A Common Stock as set forth in the Purchase Agreement by delivering written notice to CFPI prior to the commencement of trading on any trading day. We will control the timing and amount of any sales of the Class A Common Stock to CFPI. Actual sales of shares of the Class A Common Stock to CFPI under the Purchase Agreement will depend on a variety of factors to be determined by us from time to time, including, among other things, market conditions, and the trading price of our Class A Common Stock.</w:t>
      </w:r>
    </w:p>
    <w:p>
      <w:pPr>
        <w:spacing w:after="0" w:line="9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purchase price of the shares of Class A Common Stock that we elect to sell to CFPI pursuant to the Purchase Agreement will be the volume weighted average price of our Class A Common Stock during the applicable purchase date on which we have timely delivered written notice to CFPI directing it to purchase the shares of Class A Common Stock under the Agreement. We will receive 97% of the volume weighted average price of the Class A Common Stock so sold.</w:t>
      </w:r>
    </w:p>
    <w:p>
      <w:pPr>
        <w:spacing w:after="0" w:line="10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Stock Purchase Agreement and the CFPI Registration Rights Agreement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0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We will have the right to terminate the Purchase Agreement at any time after the Commencement Date, at no cost or penalty, upon three (3) trading days’ prior written notice. Additionally, CFPI will have the right to terminate the Purchase Agreement upon three (3) trading days’ prior written notice to us if there is a Material Adverse Effect or a Fundamental Transaction (as defined in the Purchase Agreement) or we are in breach or default in any material respect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9" w:name="page50"/>
    <w:bookmarkEnd w:id="4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of the CFPI Registration Rights Agreement, or trading in our Class A Common Stock on the Nasdaq is suspended. No termination of the Purchase Agreement will affect the registration rights provisions contained in the CFPI Registration Rights Agreement.</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we will issue to CFPI 250,000 shares of Class A Common Stock (the “Commitment Shares”) as consideration for its irrevocable commitment to purchase the shares of Class Common Stock upon the terms and subject to the satisfaction of the conditions set forth in the Purchase Agreement; provided, that, subject to the terms of the Purchase Agreement, CFPI shall be entitled to $1,000,000 in proceeds from its sale of the Commitment Shares.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w:t>
      </w:r>
    </w:p>
    <w:p>
      <w:pPr>
        <w:spacing w:after="0" w:line="159"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three and six months ended June 30, 2021, the COVID-19 pandemic had an impact on our billings and revenue recognized from per unit royalties for Houndify Solutions and, although the impact during the three and six months ended June 30, 2022 was not considered material, the extent of this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9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SoundHound AI continues to monitor its operations and government recommendations and has modified its operations because of the COVID-19 pandemic, including making remote work more accessible to its employees. SoundHound AI does not yet know the full extent of potential impacts on our business and operations. Given the extant uncertainty, SoundHound AI cannot reasonably estimate the impact on our future results of operations, cash flows or financial condition.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Known Trends, Demands, Commitments, Events or Uncertainties Impacting Our Business</w:t>
      </w:r>
    </w:p>
    <w:p>
      <w:pPr>
        <w:spacing w:after="0" w:line="157"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SoundHound AI believes that its performance and future success depend on many factors that present significant opportunities for us but also pose risks and challenges, including the following:</w:t>
      </w:r>
    </w:p>
    <w:p>
      <w:pPr>
        <w:spacing w:after="0" w:line="78" w:lineRule="exact"/>
        <w:rPr>
          <w:sz w:val="20"/>
          <w:szCs w:val="20"/>
          <w:color w:val="auto"/>
        </w:rPr>
      </w:pPr>
    </w:p>
    <w:p>
      <w:pPr>
        <w:jc w:val="both"/>
        <w:ind w:left="1440" w:right="619" w:hanging="411"/>
        <w:spacing w:after="0" w:line="263" w:lineRule="auto"/>
        <w:tabs>
          <w:tab w:leader="none" w:pos="14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Investments in Technology. </w:t>
      </w:r>
      <w:r>
        <w:rPr>
          <w:rFonts w:ascii="Times New Roman" w:cs="Times New Roman" w:eastAsia="Times New Roman" w:hAnsi="Times New Roman"/>
          <w:sz w:val="17"/>
          <w:szCs w:val="17"/>
          <w:color w:val="auto"/>
        </w:rPr>
        <w:t>Our business model since inception has been to invest significantly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88" w:lineRule="exact"/>
        <w:rPr>
          <w:rFonts w:ascii="Times New Roman" w:cs="Times New Roman" w:eastAsia="Times New Roman" w:hAnsi="Times New Roman"/>
          <w:sz w:val="17"/>
          <w:szCs w:val="17"/>
          <w:color w:val="auto"/>
        </w:rPr>
      </w:pPr>
    </w:p>
    <w:p>
      <w:pPr>
        <w:jc w:val="both"/>
        <w:ind w:left="1440" w:right="619" w:hanging="411"/>
        <w:spacing w:after="0" w:line="258" w:lineRule="auto"/>
        <w:tabs>
          <w:tab w:leader="none" w:pos="1436" w:val="left"/>
        </w:tabs>
        <w:numPr>
          <w:ilvl w:val="0"/>
          <w:numId w:val="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Revenue Growth. </w:t>
      </w:r>
      <w:r>
        <w:rPr>
          <w:rFonts w:ascii="Times New Roman" w:cs="Times New Roman" w:eastAsia="Times New Roman" w:hAnsi="Times New Roman"/>
          <w:sz w:val="17"/>
          <w:szCs w:val="17"/>
          <w:color w:val="auto"/>
        </w:rPr>
        <w:t>Our commercial success, including acceptance and use of our applications,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0" w:name="page51"/>
    <w:bookmarkEnd w:id="5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spacing w:after="0" w:line="258" w:lineRule="auto"/>
        <w:rPr>
          <w:sz w:val="20"/>
          <w:szCs w:val="20"/>
          <w:color w:val="auto"/>
        </w:rPr>
      </w:pPr>
      <w:r>
        <w:rPr>
          <w:rFonts w:ascii="Times New Roman" w:cs="Times New Roman" w:eastAsia="Times New Roman" w:hAnsi="Times New Roman"/>
          <w:sz w:val="17"/>
          <w:szCs w:val="17"/>
          <w:color w:val="auto"/>
        </w:rPr>
        <w:t>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AI provides an annual subscription contract to a customer and that customer does not execute an agreement for services for the subsequent annual period, SoundHound AI would not consider that customer as retained. As determined on the foregoing basis, based on the number of customers to whom we provide services during one year compared to the prior year period, our customer retention rate as of June 30, 2022 is at least 90%.</w:t>
      </w:r>
    </w:p>
    <w:p>
      <w:pPr>
        <w:spacing w:after="0" w:line="112" w:lineRule="exact"/>
        <w:rPr>
          <w:sz w:val="20"/>
          <w:szCs w:val="20"/>
          <w:color w:val="auto"/>
        </w:rPr>
      </w:pPr>
    </w:p>
    <w:p>
      <w:pPr>
        <w:jc w:val="both"/>
        <w:ind w:left="1440" w:right="619" w:hanging="411"/>
        <w:spacing w:after="0" w:line="261" w:lineRule="auto"/>
        <w:tabs>
          <w:tab w:leader="none" w:pos="14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Cost of Revenues. </w:t>
      </w:r>
      <w:r>
        <w:rPr>
          <w:rFonts w:ascii="Times New Roman" w:cs="Times New Roman" w:eastAsia="Times New Roman" w:hAnsi="Times New Roman"/>
          <w:sz w:val="17"/>
          <w:szCs w:val="17"/>
          <w:color w:val="auto"/>
        </w:rPr>
        <w:t>The results of our business will depend in part on our ability to establish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06" w:lineRule="exact"/>
        <w:rPr>
          <w:rFonts w:ascii="Times New Roman" w:cs="Times New Roman" w:eastAsia="Times New Roman" w:hAnsi="Times New Roman"/>
          <w:sz w:val="17"/>
          <w:szCs w:val="17"/>
          <w:color w:val="auto"/>
        </w:rPr>
      </w:pPr>
    </w:p>
    <w:p>
      <w:pPr>
        <w:jc w:val="both"/>
        <w:ind w:left="1440" w:right="619" w:hanging="411"/>
        <w:spacing w:after="0" w:line="265" w:lineRule="auto"/>
        <w:tabs>
          <w:tab w:leader="none" w:pos="14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Seasonality. </w:t>
      </w:r>
      <w:r>
        <w:rPr>
          <w:rFonts w:ascii="Times New Roman" w:cs="Times New Roman" w:eastAsia="Times New Roman" w:hAnsi="Times New Roman"/>
          <w:sz w:val="17"/>
          <w:szCs w:val="17"/>
          <w:color w:val="auto"/>
        </w:rPr>
        <w:t>Our ability to accurately forecast demand for our technology could be negatively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87" w:lineRule="exact"/>
        <w:rPr>
          <w:rFonts w:ascii="Times New Roman" w:cs="Times New Roman" w:eastAsia="Times New Roman" w:hAnsi="Times New Roman"/>
          <w:sz w:val="17"/>
          <w:szCs w:val="17"/>
          <w:color w:val="auto"/>
        </w:rPr>
      </w:pPr>
    </w:p>
    <w:p>
      <w:pPr>
        <w:jc w:val="both"/>
        <w:ind w:left="1440" w:right="619" w:hanging="411"/>
        <w:spacing w:after="0" w:line="268" w:lineRule="auto"/>
        <w:tabs>
          <w:tab w:leader="none" w:pos="14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Development of International Markets. </w:t>
      </w:r>
      <w:r>
        <w:rPr>
          <w:rFonts w:ascii="Times New Roman" w:cs="Times New Roman" w:eastAsia="Times New Roman" w:hAnsi="Times New Roman"/>
          <w:sz w:val="17"/>
          <w:szCs w:val="17"/>
          <w:color w:val="auto"/>
        </w:rPr>
        <w:t>We have rapidly expanded our capabilities and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reach. We have globalized our solution from 1 to 22 languages, with a roadmap of 38 languages and 114 acoustic variations. We view opportunities for conversational Voice AI to be global in reach, and we expect our growth to be fueled across multiple geographies.</w:t>
      </w:r>
    </w:p>
    <w:p>
      <w:pPr>
        <w:spacing w:after="0" w:line="99" w:lineRule="exact"/>
        <w:rPr>
          <w:rFonts w:ascii="Times New Roman" w:cs="Times New Roman" w:eastAsia="Times New Roman" w:hAnsi="Times New Roman"/>
          <w:sz w:val="17"/>
          <w:szCs w:val="17"/>
          <w:color w:val="auto"/>
        </w:rPr>
      </w:pPr>
    </w:p>
    <w:p>
      <w:pPr>
        <w:jc w:val="both"/>
        <w:ind w:left="1440" w:right="619" w:hanging="411"/>
        <w:spacing w:after="0" w:line="259" w:lineRule="auto"/>
        <w:tabs>
          <w:tab w:leader="none" w:pos="14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Industry Risks. </w:t>
      </w:r>
      <w:r>
        <w:rPr>
          <w:rFonts w:ascii="Times New Roman" w:cs="Times New Roman" w:eastAsia="Times New Roman" w:hAnsi="Times New Roman"/>
          <w:sz w:val="17"/>
          <w:szCs w:val="17"/>
          <w:color w:val="auto"/>
        </w:rPr>
        <w:t>The COVID-19 pandemic has adversely affected our business and results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to date. The duration and extent to which the COVID-19 pandemic will continue to adversely impact our business and results of operations remains uncertain and could be material. Additionally, the war 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accompanying audited consolidated financial statements were prepared in accordance with U.S. GAAP for the year ended December 31, 2021 (“Fiscal 2021”) and December 31, 2020 (“Fiscal 2020”). The accompanying unaudited condensed consolidated financial statements were prepared in accordance with U.S. GAAP for the three and six months ended June 30, 2022 and 2021.</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4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1" w:lineRule="exact"/>
        <w:rPr>
          <w:sz w:val="20"/>
          <w:szCs w:val="20"/>
          <w:color w:val="auto"/>
        </w:rPr>
      </w:pPr>
    </w:p>
    <w:p>
      <w:pPr>
        <w:jc w:val="both"/>
        <w:ind w:left="620" w:right="619" w:hanging="5"/>
        <w:spacing w:after="0" w:line="258" w:lineRule="auto"/>
        <w:tabs>
          <w:tab w:leader="none" w:pos="88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1" w:name="page52"/>
    <w:bookmarkEnd w:id="5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“Houndify Products,” meaning products of our customers that employ SoundHound AI technology, and “Houndify Services,” meaning services provided to customers related to SoundHound AI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0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have and may continue to experience volatility for our remaining performance obligations and deferred revenue as a result of the timing for completing our performance obligations. We had remaining performance obligations in the amount of $23.1 million as of June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320"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46" w:lineRule="exact"/>
        <w:rPr>
          <w:sz w:val="20"/>
          <w:szCs w:val="20"/>
          <w:color w:val="auto"/>
        </w:rPr>
      </w:pPr>
    </w:p>
    <w:p>
      <w:pPr>
        <w:jc w:val="both"/>
        <w:ind w:left="620" w:right="619" w:firstLine="415"/>
        <w:spacing w:after="0" w:line="270" w:lineRule="auto"/>
        <w:rPr>
          <w:sz w:val="20"/>
          <w:szCs w:val="20"/>
          <w:color w:val="auto"/>
        </w:rPr>
      </w:pPr>
      <w:r>
        <w:rPr>
          <w:rFonts w:ascii="Times New Roman" w:cs="Times New Roman" w:eastAsia="Times New Roman" w:hAnsi="Times New Roman"/>
          <w:sz w:val="17"/>
          <w:szCs w:val="17"/>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SoundHound AI’s cost of revenues are comprised of direct costs associated directly with SoundHound AI’s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greater investment in go-to-market strategies and customer engagement.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44"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Our research and development expenses are our largest operating expense as we continue to develop our software platforms and produce new technological capabilities.</w:t>
      </w:r>
    </w:p>
    <w:p>
      <w:pPr>
        <w:spacing w:after="0" w:line="8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General and administrative expenses consist of personnel-related costs, accounting and legal expenses, third-party consulting costs, insurance and allocated overhead including rent, depreciation and utilities.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2" w:name="page53"/>
    <w:bookmarkEnd w:id="5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3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4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the six months ended June 30,</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2022 or during the year ended December 31, 2021. The loss on extinguishment of convertible note during Fiscal</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2020 was attributable to the convertible note issued in May 2020 that was converted into shares of our Series D-</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3 and D-3A preferred stock in August 2020 at a loss.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57"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46"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3" w:name="page54"/>
    <w:bookmarkEnd w:id="5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tables set forth the significant components of our results of operations for the three and six months ended June 30, 2022 and 2021 (in thousands except for %):</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6"/>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3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3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0"/>
        </w:trPr>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32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2"/>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3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39"/>
        </w:trPr>
        <w:tc>
          <w:tcPr>
            <w:tcW w:w="3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6"/>
        </w:trPr>
        <w:tc>
          <w:tcPr>
            <w:tcW w:w="3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6"/>
        </w:trPr>
        <w:tc>
          <w:tcPr>
            <w:tcW w:w="3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2"/>
        </w:trPr>
        <w:tc>
          <w:tcPr>
            <w:tcW w:w="3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(28,930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(12,499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(16,431</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5"/>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(2,294)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39"/>
        </w:trPr>
        <w:tc>
          <w:tcPr>
            <w:tcW w:w="3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2"/>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6"/>
        </w:trPr>
        <w:tc>
          <w:tcPr>
            <w:tcW w:w="3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w:t>
            </w:r>
          </w:p>
        </w:tc>
      </w:tr>
      <w:tr>
        <w:trPr>
          <w:trHeight w:val="26"/>
        </w:trPr>
        <w:tc>
          <w:tcPr>
            <w:tcW w:w="3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2"/>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9"/>
              </w:rPr>
              <w:t>(14,609)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46"/>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805%</w:t>
            </w:r>
          </w:p>
        </w:tc>
      </w:tr>
      <w:tr>
        <w:trPr>
          <w:trHeight w:val="26"/>
        </w:trPr>
        <w:tc>
          <w:tcPr>
            <w:tcW w:w="3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(30,668</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(14,652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345"/>
        </w:trPr>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5"/>
        </w:trPr>
        <w:tc>
          <w:tcPr>
            <w:tcW w:w="3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3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0"/>
        </w:trPr>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32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r>
      <w:tr>
        <w:trPr>
          <w:trHeight w:val="252"/>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3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r>
      <w:tr>
        <w:trPr>
          <w:trHeight w:val="252"/>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39"/>
        </w:trPr>
        <w:tc>
          <w:tcPr>
            <w:tcW w:w="3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r>
      <w:tr>
        <w:trPr>
          <w:trHeight w:val="252"/>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46"/>
        </w:trPr>
        <w:tc>
          <w:tcPr>
            <w:tcW w:w="3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6"/>
        </w:trPr>
        <w:tc>
          <w:tcPr>
            <w:tcW w:w="3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52"/>
        </w:trPr>
        <w:tc>
          <w:tcPr>
            <w:tcW w:w="32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41,136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(49,647</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(29,118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(20,529</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5"/>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(4,549)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39"/>
        </w:trPr>
        <w:tc>
          <w:tcPr>
            <w:tcW w:w="3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r>
      <w:tr>
        <w:trPr>
          <w:trHeight w:val="272"/>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6"/>
        </w:trPr>
        <w:tc>
          <w:tcPr>
            <w:tcW w:w="3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(5,383</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2"/>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(55,030)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9"/>
              </w:rPr>
              <w:t>(33,702)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46"/>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6"/>
        </w:trPr>
        <w:tc>
          <w:tcPr>
            <w:tcW w:w="3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(55,771</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(33,912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504"/>
        </w:trPr>
        <w:tc>
          <w:tcPr>
            <w:tcW w:w="3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54" w:name="page55"/>
    <w:bookmarkEnd w:id="5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46"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tables summarize our revenues by type and geographic regions for the three and six months ended June 30, 2022 and 2021 (in thousands except for %):</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4"/>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left="37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5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line="20" w:lineRule="exact"/>
              <w:rPr>
                <w:sz w:val="1"/>
                <w:szCs w:val="1"/>
                <w:color w:val="auto"/>
              </w:rPr>
            </w:pPr>
          </w:p>
        </w:tc>
      </w:tr>
      <w:tr>
        <w:trPr>
          <w:trHeight w:val="233"/>
        </w:trPr>
        <w:tc>
          <w:tcPr>
            <w:tcW w:w="2560" w:type="dxa"/>
            <w:vAlign w:val="bottom"/>
          </w:tcPr>
          <w:p>
            <w:pPr>
              <w:spacing w:after="0"/>
              <w:rPr>
                <w:sz w:val="20"/>
                <w:szCs w:val="20"/>
                <w:color w:val="auto"/>
              </w:rPr>
            </w:pPr>
          </w:p>
        </w:tc>
        <w:tc>
          <w:tcPr>
            <w:tcW w:w="12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left="37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56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line="20" w:lineRule="exact"/>
              <w:rPr>
                <w:sz w:val="1"/>
                <w:szCs w:val="1"/>
                <w:color w:val="auto"/>
              </w:rPr>
            </w:pPr>
          </w:p>
        </w:tc>
      </w:tr>
      <w:tr>
        <w:trPr>
          <w:trHeight w:val="233"/>
        </w:trPr>
        <w:tc>
          <w:tcPr>
            <w:tcW w:w="2560" w:type="dxa"/>
            <w:vAlign w:val="bottom"/>
          </w:tcPr>
          <w:p>
            <w:pPr>
              <w:spacing w:after="0"/>
              <w:rPr>
                <w:sz w:val="20"/>
                <w:szCs w:val="20"/>
                <w:color w:val="auto"/>
              </w:rPr>
            </w:pPr>
          </w:p>
        </w:tc>
        <w:tc>
          <w:tcPr>
            <w:tcW w:w="12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4"/>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left="37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56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Japan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46"/>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4"/>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5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left="37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56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Japan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46"/>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6"/>
        </w:trPr>
        <w:tc>
          <w:tcPr>
            <w:tcW w:w="25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Total revenues decreased by $2.1 million, or 26% and $1.6 million, or 13% in the three and six months ended June 30, 2022, compared to the same periods in 2021. The decrease is primarily attributed to the recognition of $4.3 million in nonrecurring revenue as a result of a contract modification to end a distinct professional service contract prior to completion with a customer in Germany during the three and six months ended June 30, 2021, partially offset by a $1.3 million increase in hosted services during the three and six months ended June 30, 2022 and a $0.9 million and $1.5 million increase in professional services during the three and six months ended June 30, 2022, respectively. In addition, monetization revenue decreased by $0.2 million and $0.3 million during the three and six months ended June 30, 2022, respectively, compared to the same periods in 2021. The decrease in monetization revenue is due to a decrease in advertising revenue from lower traffic and less user impressions on the SoundHound AI music application.</w:t>
      </w:r>
    </w:p>
    <w:p>
      <w:pPr>
        <w:sectPr>
          <w:pgSz w:w="11900" w:h="16838" w:orient="portrait"/>
          <w:cols w:equalWidth="0" w:num="1">
            <w:col w:w="9019"/>
          </w:cols>
          <w:pgMar w:left="1440" w:top="26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5" w:name="page56"/>
    <w:bookmarkEnd w:id="5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We benefited from growth across the United States, France and other smaller foreign regions from scaling our Houndify Products with large automotive and device makers. We have experienced additional growth of revenue of Houndify Products in geographic regions of France and the United States of $1.4 million and $0.6 million, and $1.9 million and $0.9 million, respectively, during the three and six months ended June 30, 2022 compared to the same periods in 2021. In France, our revenue increased due to distinct customization services sold to an existing large automotive company which also commenced production of our Houndify Product in their vehicles. In the United States, the increase is primarily attributed to an increase in royalties from one customer due to higher usage and hosting. Additionally, we experienced a $4.1 million and $4.4 million decrease in revenue from Germany during the three and six months ended June 30, 2022, respectively, compared to the same periods in 2021. This was primarily due to a one-time contract modification to end a distinct professional service contract prior to completion with a customer in Germany during the three and six months ended June 30, 2021. This customer was retained through ongoing hosting services. Revenue in both periods came principally from customers across the automotive and IoT sectors, with less significant amounts derived from other industry verticals.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Cost of revenues increased by $ 0.9 million, or 53%, and $1.0 million, or 32%, in the three and six months ended June 30, 2022, respectively, compared to the same periods in 2021. The increases are primarily related to incurring additional data center and hosting costs due to system migrations in order to support our revenue growth. The increase in cost of revenues relative to revenues (gross margin) was primarily due to the one-time contract modification to end the distinct professional service contract prior to completion with a customer in Germany as described above during the three and six months ended June 30, 2021.</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Research and development expenses increased by $ 4.8 million, or 35%, and $7.0 million, or 25%, in the three and six months ended June 30, 2022, respectively, compared to the same periods in 2021. This increase in research and development expenses was primarily related to our investment in technology and engineering and increasing our full-time engineer headcount to ensure we remain at the forefront of innovation, while also helping to develop and scale new products and services.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46"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Sales and marketing expenses increased by $ 3.4 million, or 334%, and $4.9 million, or 234%, in the three and six months ended June 30, 2022, respectively, compared to the same periods in 2021. This increase is due to an increase in headcount and program spend to support a greater investment in go-to-market strategies and customer engagement.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59"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General and administrative costs increased by $ 5.2 million, or 127%, and $6.0 million, or 81%, in the three and six months ended June 30, 2022, respectively, compared to the same periods in 2021. This increase represents investments in our human resources, finance and legal functions, including increased personnel-related expenses as we prepared and began to function as a public entity. The increase includes higher salaries and compensation packages for executive hires as well as an additional $4.3 million and $4.7 million of stock - based compensation expense in the three and six months ended June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6" w:name="page57"/>
    <w:bookmarkEnd w:id="5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Interest expense decreased by $0.7 million, or 31%, and increased by $1.5 million, or 50%, in the three and six months ended June 30, 2022, respectively, compared to the same periods in 2021. The increase in the six months ended June 30, 2022, was attributable to the issuance of SoundHound AI’s 2021 note payable (“SVB March 2021 Note”) and 2021 convertible note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six months ended June 30, 2022.</w:t>
      </w:r>
    </w:p>
    <w:p>
      <w:pPr>
        <w:spacing w:after="0" w:line="10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decrease in interest expense in the three months ended June 30, 2022 was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three months ended June 30,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tables summarize our other income (expense), net, by type (in thousands except for %):</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4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0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39"/>
        </w:trPr>
        <w:tc>
          <w:tcPr>
            <w:tcW w:w="4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line="20" w:lineRule="exact"/>
              <w:rPr>
                <w:sz w:val="1"/>
                <w:szCs w:val="1"/>
                <w:color w:val="auto"/>
              </w:rPr>
            </w:pPr>
          </w:p>
        </w:tc>
      </w:tr>
      <w:tr>
        <w:trPr>
          <w:trHeight w:val="233"/>
        </w:trPr>
        <w:tc>
          <w:tcPr>
            <w:tcW w:w="40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Six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0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39"/>
        </w:trPr>
        <w:tc>
          <w:tcPr>
            <w:tcW w:w="4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line="20" w:lineRule="exact"/>
              <w:rPr>
                <w:sz w:val="1"/>
                <w:szCs w:val="1"/>
                <w:color w:val="auto"/>
              </w:rPr>
            </w:pPr>
          </w:p>
        </w:tc>
      </w:tr>
      <w:tr>
        <w:trPr>
          <w:trHeight w:val="233"/>
        </w:trPr>
        <w:tc>
          <w:tcPr>
            <w:tcW w:w="40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40" w:type="dxa"/>
            <w:vAlign w:val="bottom"/>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40" w:type="dxa"/>
            <w:vAlign w:val="bottom"/>
            <w:vMerge w:val="continue"/>
          </w:tcPr>
          <w:p>
            <w:pPr>
              <w:spacing w:after="0"/>
              <w:rPr>
                <w:sz w:val="20"/>
                <w:szCs w:val="20"/>
                <w:color w:val="auto"/>
              </w:rPr>
            </w:pP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gain attributable to the change in fair value of derivative and warrant liability decreased by $ 0.1 million, or 116%, in the three months ended June 30, 2022, compared to the same period in 2021. The loss attributable to the change in fair value of derivative and warrant liability decreased by $0.7 million, or 54%, in the six months ended June 30, 2022, compared to the same period in 2021. The changes were partially attributed to $0.6 million and $0.9 million in losses, from the change in fair value of the warrant liability during the three and six months ended June 30, 2021, respectively, as compared to no change in the fair value of the warrant liability during the three and six months ended June 30, 2022, due to the exercise of Series C Warrants in December 2021, which extinguished the Company’s corresponding warrant liability.</w:t>
      </w:r>
    </w:p>
    <w:p>
      <w:pPr>
        <w:spacing w:after="0" w:line="108"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The balances during the three and six months ended June 30, 2022 solely reflect the changes in fair value of the embedded derivative from the SNAP June 2020 Note. The fair value of the derivative liability decreased by a nominal amount and $0.6 million during the three and six months ended June 30, 2022, respectively, compared to an increase of $ 0.7 million and a decrease of $0.5 million during the three months and six months ended June 30, 2021, respectively. The changes in fair value of the derivative liability represent corresponding gains or losses on the Condensed Consolidated Statement of Operations and Comprehensive Loss due to changes in probability assumptions of a change in control or SPAC transaction as the transaction approached closing.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7" w:name="page58"/>
    <w:bookmarkEnd w:id="5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Other income, net increased by $0.1 million, or 113%, in the three months ended June 30, 2022, compared to the same period in 2021. This increase was primarily due to favorable foreign currency exchange rates during the three months ended June 30, 2022, resulting in greater gain from currency revaluation on transactions denominated in a foreign currency compared to those conducted in the three months ended June 30, 2021.</w:t>
      </w:r>
    </w:p>
    <w:p>
      <w:pPr>
        <w:spacing w:after="0" w:line="10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Other expense, net increased by a nominal amount in the six months ended June 30, 2022, compared to the same period in 2021. This increase was primarily due to unfavorable foreign currency exchange rates during the six months ended June 30, 2022, resulting in greater loss from currency revaluation on transactions denominated in a foreign currency compared to those conducted in the six months ended June 30, 2021.</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5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Provision for income taxes increased by $0.3 million, or 805%, and $0.5 million, or 253%, during the three and six months ended June 30, 2022, respectively, compared to the same periods in 2021. Our effective tax rates increased by approximately a percentage point for each of the three and six months ended June 30, 2022 when compared to the same periods in 2021.</w:t>
      </w:r>
    </w:p>
    <w:p>
      <w:pPr>
        <w:spacing w:after="0" w:line="90"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increase in the effective tax rate for the three and six months ended June 30, 2022, compared to the three and six months ended June 30, 2021, is primarily due to the amount and mix of income (loss) from multiple tax jurisdictions and withholding taxes in excluded loss jurisdictions.</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 Fiscal 2021 and Fiscal 2020</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the significant components of our results of operations for Fiscal 2021 and</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Fiscal 2020 (in thousands except for %):</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6"/>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6"/>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16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Revenues</w:t>
            </w: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34"/>
        </w:trPr>
        <w:tc>
          <w:tcPr>
            <w:tcW w:w="3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4"/>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39"/>
        </w:trPr>
        <w:tc>
          <w:tcPr>
            <w:tcW w:w="3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6"/>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(65,327)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3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(8,342)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39"/>
        </w:trPr>
        <w:tc>
          <w:tcPr>
            <w:tcW w:w="3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1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(13,757)</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(6,092)</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(79,084)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3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58" w:name="page59"/>
    <w:bookmarkEnd w:id="5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46"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summarizes our revenues by type for Fiscal 2021 and Fiscal 2020 (in thousands except for %):</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5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560" w:type="dxa"/>
            <w:vAlign w:val="bottom"/>
          </w:tcPr>
          <w:p>
            <w:pPr>
              <w:spacing w:after="0"/>
              <w:rPr>
                <w:sz w:val="20"/>
                <w:szCs w:val="20"/>
                <w:color w:val="auto"/>
              </w:rPr>
            </w:pPr>
          </w:p>
        </w:tc>
        <w:tc>
          <w:tcPr>
            <w:tcW w:w="12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56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Korea</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46"/>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6"/>
        </w:trPr>
        <w:tc>
          <w:tcPr>
            <w:tcW w:w="25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Houndify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 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spacing w:after="0" w:line="113"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increase in Service Subscriptions revenue of $0.3 million, or 22%, is primarily due to an increased number of customers with production-ready Houndify Services and increased usage by end users during Fiscal 2021.</w:t>
      </w:r>
    </w:p>
    <w:p>
      <w:pPr>
        <w:spacing w:after="0" w:line="9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Monetization revenue decreased nominally during Fiscal 2021 due to a decrease in advertising revenue through decreased user impressions on the SoundHound AI music application.</w:t>
      </w:r>
    </w:p>
    <w:p>
      <w:pPr>
        <w:spacing w:after="0" w:line="69"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Houndify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Houndify Product in their vehicles. We further experienced a $0.5 million decrease in revenue in Korea due to migrating customers from a music driven service to a Houndify Product for which there are usage delays during the transition phase. Revenue in both periods came principally from customers across the automotive and IoT sectors, with less significant amounts derived from other industry verticals.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9" w:name="page60"/>
    <w:bookmarkEnd w:id="5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46"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59"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46"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159"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summarizes our other expenses by type that comprise the other expense, net account for Fiscal 2021 and Fiscal 2020 (in thousands except for %):</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4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6"/>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4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6"/>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gridSpan w:val="4"/>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w w:val="95"/>
              </w:rPr>
              <w:t>Change</w:t>
            </w:r>
          </w:p>
        </w:tc>
      </w:tr>
      <w:tr>
        <w:trPr>
          <w:trHeight w:val="45"/>
        </w:trPr>
        <w:tc>
          <w:tcPr>
            <w:tcW w:w="4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0"/>
        </w:trPr>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40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32"/>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(3,114)</w:t>
            </w: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39"/>
        </w:trPr>
        <w:tc>
          <w:tcPr>
            <w:tcW w:w="4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6"/>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(3,053)%</w:t>
            </w:r>
          </w:p>
        </w:tc>
      </w:tr>
      <w:tr>
        <w:trPr>
          <w:trHeight w:val="26"/>
        </w:trPr>
        <w:tc>
          <w:tcPr>
            <w:tcW w:w="40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Interest income decreased by $0.2 million, or 96%, in Fiscal 2021, compared to Fiscal 2020 due to the gradual liquidation of our short-term investments throughout the prior period then ended.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0" w:name="page61"/>
    <w:bookmarkEnd w:id="6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44"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5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Liquidity</w:t>
      </w:r>
    </w:p>
    <w:p>
      <w:pPr>
        <w:spacing w:after="0" w:line="15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90"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had $65.0 million in cash and cash equivalents as of June 30, 2022. We believe our operating cash flows together with our cash on hand is sufficient to meet our current working capital and capital expenditure requirements for a period of at least twelve months from the date of this prospectus. However, the Company may choose to raise additional capital through a debt or equity financing in order to pursue additional strategic investment opportunities. Additional capital, if required, may not be available on reasonable terms, if at all.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Contractual and Other Obligations</w:t>
      </w:r>
    </w:p>
    <w:p>
      <w:pPr>
        <w:spacing w:after="0" w:line="159"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for the three and six month periods ended June 30, 2022 and Note 6 and Note 13 to our audited consolidated financial statements included in this prospectus for more information.</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Financing</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Below are our material debt agreements as of June 30, 2022:</w:t>
      </w:r>
    </w:p>
    <w:p>
      <w:pPr>
        <w:spacing w:after="0" w:line="140" w:lineRule="exact"/>
        <w:rPr>
          <w:sz w:val="20"/>
          <w:szCs w:val="20"/>
          <w:color w:val="auto"/>
        </w:rPr>
      </w:pPr>
    </w:p>
    <w:p>
      <w:pPr>
        <w:jc w:val="both"/>
        <w:ind w:left="1440" w:right="619" w:hanging="411"/>
        <w:spacing w:after="0" w:line="262" w:lineRule="auto"/>
        <w:tabs>
          <w:tab w:leader="none" w:pos="14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SVB March 2021 </w:t>
      </w:r>
      <w:r>
        <w:rPr>
          <w:rFonts w:ascii="Times New Roman" w:cs="Times New Roman" w:eastAsia="Times New Roman" w:hAnsi="Times New Roman"/>
          <w:sz w:val="17"/>
          <w:szCs w:val="17"/>
          <w:color w:val="auto"/>
        </w:rPr>
        <w:t>— In March 2021, we entered into a loan and security agreement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106" w:lineRule="exact"/>
        <w:rPr>
          <w:rFonts w:ascii="Times New Roman" w:cs="Times New Roman" w:eastAsia="Times New Roman" w:hAnsi="Times New Roman"/>
          <w:sz w:val="17"/>
          <w:szCs w:val="17"/>
          <w:color w:val="auto"/>
        </w:rPr>
      </w:pPr>
    </w:p>
    <w:p>
      <w:pPr>
        <w:jc w:val="both"/>
        <w:ind w:left="1440" w:right="619" w:hanging="411"/>
        <w:spacing w:after="0" w:line="267" w:lineRule="auto"/>
        <w:tabs>
          <w:tab w:leader="none" w:pos="1436" w:val="left"/>
        </w:tabs>
        <w:numPr>
          <w:ilvl w:val="0"/>
          <w:numId w:val="3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SCI June 2021 Note </w:t>
      </w:r>
      <w:r>
        <w:rPr>
          <w:rFonts w:ascii="Times New Roman" w:cs="Times New Roman" w:eastAsia="Times New Roman" w:hAnsi="Times New Roman"/>
          <w:sz w:val="17"/>
          <w:szCs w:val="17"/>
          <w:color w:val="auto"/>
        </w:rPr>
        <w:t>— In June 2021, we issued a note pursuant to a loan and security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 lender to borrow up to a commitment amount of $15.0 million in $5.0 million increments (“SCI June 2021 Note”). Through December 31, 2021, we had borrowed $15.0 million. The maturity date of the loan is May 31, 2025.</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1" w:name="page62"/>
    <w:bookmarkEnd w:id="6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46"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summarizes our cash flows for the six months ended June 30, 2022 and 2021 (in thousands):</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4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4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5"/>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5"/>
        </w:trPr>
        <w:tc>
          <w:tcPr>
            <w:tcW w:w="4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0"/>
        </w:trPr>
        <w:tc>
          <w:tcPr>
            <w:tcW w:w="4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5"/>
        </w:trPr>
        <w:tc>
          <w:tcPr>
            <w:tcW w:w="404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2"/>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(46,767)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(32,625)</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(111)</w:t>
            </w:r>
          </w:p>
        </w:tc>
      </w:tr>
      <w:tr>
        <w:trPr>
          <w:trHeight w:val="39"/>
        </w:trPr>
        <w:tc>
          <w:tcPr>
            <w:tcW w:w="4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2"/>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3"/>
        </w:trPr>
        <w:tc>
          <w:tcPr>
            <w:tcW w:w="4040" w:type="dxa"/>
            <w:vAlign w:val="bottom"/>
          </w:tcPr>
          <w:p>
            <w:pPr>
              <w:spacing w:after="0"/>
              <w:rPr>
                <w:sz w:val="20"/>
                <w:szCs w:val="20"/>
                <w:color w:val="auto"/>
              </w:rPr>
            </w:pPr>
          </w:p>
        </w:tc>
        <w:tc>
          <w:tcPr>
            <w:tcW w:w="14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ind w:right="16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12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Used in Operating Activities</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during the six months ended June 30, 2022, was $ 46.8 million, consisting primarily of our net loss of $55.8 million adjusted for non-cash charges of $ 16.9 million and net cash used by changes in our operating assets and liabilities of $7.9 million. The non-cash charges were driven by $10.3 million in stock-based compensation expense, $2.2 million in amortization of debt issuance cost, $2.3 million in depreciation and amortization expense, $ 1.5 million in non-cash lease amortization and $0.6 million in remeasurement of derivative and warrant liability fair value. Net cash used in changes in our operating assets and liabilities of $7.9 million was primarily due to a decrease of $5.4 million in deferred revenue due to amortization of customers’ contracts during the six months ended June 30, 2022, an increase of $3.4 million in prepaid expenses due to a prepayment for directors and officers insurance as well as our increased activity with more subscriptions and prepaid costs, a decrease in operating lease liabilities of $2.3 million due to monthly lease payments and the maturity of some of our leases during the six months ended June 30, 2022 and was partially offset by an increase of $1.8 million in accounts payable.</w:t>
      </w:r>
    </w:p>
    <w:p>
      <w:pPr>
        <w:spacing w:after="0" w:line="11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during the six months ended June 30, 2021 was $32.6 million, consisting primarily of our net loss of $ 33.9 million adjusted for non-cash charges of $10.1 million and net cash used by changes in our operating assets and liabilities of $8.8 million. The non-cash charges were driven by depreciation and amortization expense of $2.8 million, stock-based compensation expense of $ 2.7 million, non-cash lease amortization of $1.8 million, amortization of debt issuance costs of $1.4 million and change in fair value of derivative and warrant liability of $1.3 million. Net cash used by changes in our operating assets and liabilities of $8.8 million was primarily due to a $4.8 million decrease in deferred revenue, a $2.3 million increase in accounts receivable, a $2.1 million decrease in operating lease liabilities and was partially offset by an increase of $ 1.5 million in accrued liabilities. The decrease in deferred revenue is primarily attributed to upfront billings in 2020 for three projects that began in 2021.</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Net cash used in investing activities during the six months ended June 30, 2022 and 2021 were $1.0 million and $0.1 million , respectively, driven by purchases of property and equipment.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Provided by Financing Activities</w:t>
      </w:r>
    </w:p>
    <w:p>
      <w:pPr>
        <w:spacing w:after="0" w:line="14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Net cash provided by financing activities during the six months ended June 30, 2022 was $90.2 million, consisting primarily of $91.7 million in proceeds from the Business Combination, net of transaction costs paid and $2.9 million in proceeds from common stock options exercised. This was partially offset by $ 3.4 million in repayments of the SVB March 2021 Note and the SCI June 2021 Note principal balances and $1.0 million in repayments of finance lease obligations.</w:t>
      </w:r>
    </w:p>
    <w:p>
      <w:pPr>
        <w:spacing w:after="0" w:line="10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Net cash provided by financing activities during the six months ended June 30, 2021 was $35.3 million, consisting primarily of $ 34.9 million in proceeds from the issuance of the SVB March 2021 Note and the SCI June 2021 Note and $1.7 million in proceeds from common stock options exercised. This was partially offset by $1.3 million in repayments of finance lease obligations.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arrangements, as defined in the rules and regulations of the SEC.</w:t>
      </w:r>
    </w:p>
    <w:p>
      <w:pPr>
        <w:sectPr>
          <w:pgSz w:w="11900" w:h="16838" w:orient="portrait"/>
          <w:cols w:equalWidth="0" w:num="1">
            <w:col w:w="9019"/>
          </w:cols>
          <w:pgMar w:left="1440" w:top="264"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2" w:name="page63"/>
    <w:bookmarkEnd w:id="6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have no material changes to our commitments and contingencies as of June 30, 2022 as disclosed in the contractual obligations and commitment section in our unaudited condensed consolidated financial statements as of June 30, 2022 included elsewhere in this prospectus.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Management Estimates</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audited consolidated financial statements and unaudited condensed consolidated financial statements, each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03" w:lineRule="exact"/>
        <w:rPr>
          <w:sz w:val="20"/>
          <w:szCs w:val="20"/>
          <w:color w:val="auto"/>
        </w:rPr>
      </w:pPr>
    </w:p>
    <w:p>
      <w:pPr>
        <w:jc w:val="both"/>
        <w:ind w:left="620" w:right="639" w:firstLine="415"/>
        <w:spacing w:after="0" w:line="284" w:lineRule="auto"/>
        <w:rPr>
          <w:sz w:val="20"/>
          <w:szCs w:val="20"/>
          <w:color w:val="auto"/>
        </w:rPr>
      </w:pPr>
      <w:r>
        <w:rPr>
          <w:rFonts w:ascii="Times New Roman" w:cs="Times New Roman" w:eastAsia="Times New Roman" w:hAnsi="Times New Roman"/>
          <w:sz w:val="17"/>
          <w:szCs w:val="17"/>
          <w:color w:val="auto"/>
        </w:rPr>
        <w:t>For a discussion of our critical accounting policies, see Note 2 to the audited consolidated financial statements and unaudited condensed consolidated financial statements each included elsewhere in this prospectus.</w:t>
      </w:r>
    </w:p>
    <w:p>
      <w:pPr>
        <w:spacing w:after="0" w:line="3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We enter into contracts that can include various products or services, which are generally capable of being distinct and accounted for as separate performance obligations.</w:t>
      </w:r>
    </w:p>
    <w:p>
      <w:pPr>
        <w:spacing w:after="0" w:line="1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derive our revenue primarily from the following performance obligations: (1) hosted services,</w:t>
      </w:r>
    </w:p>
    <w:p>
      <w:pPr>
        <w:spacing w:after="0" w:line="31" w:lineRule="exact"/>
        <w:rPr>
          <w:sz w:val="20"/>
          <w:szCs w:val="20"/>
          <w:color w:val="auto"/>
        </w:rPr>
      </w:pPr>
    </w:p>
    <w:p>
      <w:pPr>
        <w:ind w:left="620" w:right="619" w:hanging="5"/>
        <w:spacing w:after="0" w:line="269" w:lineRule="auto"/>
        <w:tabs>
          <w:tab w:leader="none" w:pos="86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services, (3) monetization, and (4) licensing. Revenue is reported net of applicable sales and use taxes that are passed through to customers.</w:t>
      </w:r>
    </w:p>
    <w:p>
      <w:pPr>
        <w:spacing w:after="0" w:line="8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Our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have the following performance obligations in contracts with customers: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Hosted Services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3" w:name="page64"/>
    <w:bookmarkEnd w:id="6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 (i.e., recognized as incurred).</w:t>
      </w:r>
    </w:p>
    <w:p>
      <w:pPr>
        <w:spacing w:after="0" w:line="10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We assess distinct professional services to determine whether the transfer of control is over-time or at a point in time. We consider three criteria in making their assessment, including (1) the customer simultaneously receives and consumes the benefits; (2) our performance creates or enhances an asset that the customer controls as the asset is created or enhanced; or (3) our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0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Monetization</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We derive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we do not set the price. Based on these factors, we report revenue on a net basis.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Licensing</w:t>
      </w:r>
    </w:p>
    <w:p>
      <w:pPr>
        <w:spacing w:after="0" w:line="144"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We license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We record licensing revenue as a usage-based royalty from customers’ usage of intellectual property in the same period in which the underlying sale occurs. We provide assurance-type warranty services and to date, post-contract support has been an immaterial performance obligation within the context of the contract.</w:t>
      </w:r>
    </w:p>
    <w:p>
      <w:pPr>
        <w:spacing w:after="0" w:line="108"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4" w:name="page65"/>
    <w:bookmarkEnd w:id="6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98" w:lineRule="exact"/>
        <w:rPr>
          <w:sz w:val="20"/>
          <w:szCs w:val="20"/>
          <w:color w:val="auto"/>
        </w:rPr>
      </w:pPr>
    </w:p>
    <w:p>
      <w:pPr>
        <w:ind w:left="1440" w:hanging="411"/>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 and Derivative Liabilities</w:t>
      </w:r>
    </w:p>
    <w:p>
      <w:pPr>
        <w:spacing w:after="0" w:line="146"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We evaluate our convertible notes, and other contracts, if any, to determine if those contracts or embedded components of those contracts qualify as derivatives requiring bifurcation. We account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w:t>
      </w:r>
    </w:p>
    <w:p>
      <w:pPr>
        <w:spacing w:after="0" w:line="116"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held our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5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its own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our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Determination of Fair Value of Common Stock</w:t>
      </w:r>
    </w:p>
    <w:p>
      <w:pPr>
        <w:spacing w:after="0" w:line="15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 there had been no public market for our common stock prior to the Business Combination, the estimated fair value of our common stock had been determined by our board of directors, or compensation committee thereof,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5" w:name="page66"/>
    <w:bookmarkEnd w:id="6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2" w:lineRule="auto"/>
        <w:rPr>
          <w:sz w:val="20"/>
          <w:szCs w:val="20"/>
          <w:color w:val="auto"/>
        </w:rPr>
      </w:pPr>
      <w:r>
        <w:rPr>
          <w:rFonts w:ascii="Times New Roman" w:cs="Times New Roman" w:eastAsia="Times New Roman" w:hAnsi="Times New Roman"/>
          <w:sz w:val="17"/>
          <w:szCs w:val="17"/>
          <w:color w:val="auto"/>
        </w:rPr>
        <w:t>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10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32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90"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8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addition to considering the results of these independent third-party valuations, our board of directors considered various objective and subjective factors to determine the fair value of our common stock as of each grant date, including:</w:t>
      </w:r>
    </w:p>
    <w:p>
      <w:pPr>
        <w:spacing w:after="0" w:line="98" w:lineRule="exact"/>
        <w:rPr>
          <w:sz w:val="20"/>
          <w:szCs w:val="20"/>
          <w:color w:val="auto"/>
        </w:rPr>
      </w:pPr>
    </w:p>
    <w:p>
      <w:pPr>
        <w:ind w:left="1440" w:right="639" w:hanging="411"/>
        <w:spacing w:after="0" w:line="292" w:lineRule="auto"/>
        <w:tabs>
          <w:tab w:leader="none" w:pos="14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at which we sold shares of our preferred stock and the superior rights, preferences and privileges of our preferred stock relative to our common stock at the time of each grant;</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features of the SNAP June 2020 Note, including valuation terms;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 and outlook for the continued commercialization our business strategy;</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market conditions and trends within the industry, including a review of the performance and metrics of guideline public companies;</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position, including cash on hand, and our historical and forecasted performance and operating results;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an active public market for our common stock and our preferred stock; and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achieving a liquidity event, such as a SPAC transaction, or sale of our company in light of prevailing market conditions.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6" w:name="page67"/>
    <w:bookmarkEnd w:id="6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02" w:lineRule="exact"/>
        <w:rPr>
          <w:sz w:val="20"/>
          <w:szCs w:val="20"/>
          <w:color w:val="auto"/>
        </w:rPr>
      </w:pPr>
    </w:p>
    <w:p>
      <w:pPr>
        <w:jc w:val="both"/>
        <w:ind w:left="620" w:right="619" w:firstLine="415"/>
        <w:spacing w:after="0" w:line="265" w:lineRule="auto"/>
        <w:rPr>
          <w:sz w:val="20"/>
          <w:szCs w:val="20"/>
          <w:color w:val="auto"/>
        </w:rPr>
      </w:pPr>
      <w:r>
        <w:rPr>
          <w:rFonts w:ascii="Times New Roman" w:cs="Times New Roman" w:eastAsia="Times New Roman" w:hAnsi="Times New Roman"/>
          <w:sz w:val="17"/>
          <w:szCs w:val="17"/>
          <w:color w:val="auto"/>
        </w:rPr>
        <w:t>As the result of the establishment of a public trading market for our common stock after the consummation of the Business Combination, it is no longer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316"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Recently Issued and Adopted Accounting Standards</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57" w:lineRule="exact"/>
        <w:rPr>
          <w:sz w:val="20"/>
          <w:szCs w:val="20"/>
          <w:color w:val="auto"/>
        </w:rPr>
      </w:pPr>
    </w:p>
    <w:p>
      <w:pPr>
        <w:jc w:val="both"/>
        <w:ind w:left="620" w:right="639" w:firstLine="415"/>
        <w:spacing w:after="0" w:line="257" w:lineRule="auto"/>
        <w:rPr>
          <w:sz w:val="20"/>
          <w:szCs w:val="20"/>
          <w:color w:val="auto"/>
        </w:rPr>
      </w:pPr>
      <w:r>
        <w:rPr>
          <w:rFonts w:ascii="Times New Roman" w:cs="Times New Roman" w:eastAsia="Times New Roman" w:hAnsi="Times New Roman"/>
          <w:sz w:val="17"/>
          <w:szCs w:val="17"/>
          <w:color w:val="auto"/>
        </w:rPr>
        <w:t>We are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we have the option to adopt the new or revised standard at the time nonpublic companies adopt the new or revised standard and can do so until such time that we either</w:t>
      </w:r>
    </w:p>
    <w:p>
      <w:pPr>
        <w:spacing w:after="0" w:line="5" w:lineRule="exact"/>
        <w:rPr>
          <w:sz w:val="20"/>
          <w:szCs w:val="20"/>
          <w:color w:val="auto"/>
        </w:rPr>
      </w:pPr>
    </w:p>
    <w:p>
      <w:pPr>
        <w:jc w:val="both"/>
        <w:ind w:left="620" w:right="619" w:hanging="5"/>
        <w:spacing w:after="0" w:line="262" w:lineRule="auto"/>
        <w:tabs>
          <w:tab w:leader="none" w:pos="84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elect to “opt out” of such extended transition period or (ii) no longer qualify as an emerging growth company. We have elected to use the extended transition period for complying with new or revised accounting standards unless we otherwise early adopt select standards.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7" w:name="page68"/>
    <w:bookmarkEnd w:id="6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620" w:right="619" w:firstLine="415"/>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112"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9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1"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six months ended June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$300M.</w:t>
      </w:r>
    </w:p>
    <w:p>
      <w:pPr>
        <w:spacing w:after="0" w:line="178" w:lineRule="exact"/>
        <w:rPr>
          <w:sz w:val="20"/>
          <w:szCs w:val="20"/>
          <w:color w:val="auto"/>
        </w:rPr>
      </w:pPr>
    </w:p>
    <w:p>
      <w:pPr>
        <w:jc w:val="both"/>
        <w:ind w:left="620" w:right="619" w:firstLine="415"/>
        <w:spacing w:after="0" w:line="252"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 Collective</w:t>
      </w:r>
    </w:p>
    <w:p>
      <w:pPr>
        <w:spacing w:after="0" w:line="37" w:lineRule="exact"/>
        <w:rPr>
          <w:sz w:val="20"/>
          <w:szCs w:val="20"/>
          <w:color w:val="auto"/>
        </w:rPr>
      </w:pPr>
    </w:p>
    <w:p>
      <w:pPr>
        <w:jc w:val="both"/>
        <w:ind w:left="620" w:right="619"/>
        <w:spacing w:after="0" w:line="253" w:lineRule="auto"/>
        <w:rPr>
          <w:sz w:val="20"/>
          <w:szCs w:val="20"/>
          <w:color w:val="auto"/>
        </w:rPr>
      </w:pPr>
      <w:r>
        <w:rPr>
          <w:rFonts w:ascii="Times New Roman" w:cs="Times New Roman" w:eastAsia="Times New Roman" w:hAnsi="Times New Roman"/>
          <w:sz w:val="17"/>
          <w:szCs w:val="17"/>
          <w:color w:val="auto"/>
        </w:rPr>
        <w:t>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01"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granted or pending patents,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 significant addressable market</w:t>
      </w:r>
    </w:p>
    <w:p>
      <w:pPr>
        <w:spacing w:after="0" w:line="14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8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spacing w:after="0" w:line="10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For those already employing a voice assistant, 81% are using the technology to improve customer service and 52% are using them for sales activity.</w:t>
      </w:r>
    </w:p>
    <w:p>
      <w:pPr>
        <w:spacing w:after="0" w:line="8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90"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According to Juniper Research, the broader market for Voice AI transactions will exceed $160 billion by 2026, enabled by a growing need for Voice AI in many industries.</w:t>
      </w:r>
    </w:p>
    <w:p>
      <w:pPr>
        <w:spacing w:after="0" w:line="8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All these trends are adding up to exponential growth for Voice AI in a variety of markets, including IoT, automotive, retail, hospitality, enterprise, healthcare, contact center, and banking and finance.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Strategy</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We believe that Voice AI is poised to be the next disruption in computing and the timing is right for our company and our vision.</w:t>
      </w:r>
    </w:p>
    <w:p>
      <w:pPr>
        <w:spacing w:after="0" w:line="69"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05"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316"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9" w:name="page70"/>
    <w:bookmarkEnd w:id="6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Technical Development</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SoundHound AI’s technology represents the evolution of several disruptive breakthroughs in voice-AI and sound recognition developed over the past 16 years. Using innovative audio and music identification technology, in 2009, our founders launched the SoundHound AI music identification app. Since its inception, the app has received over 315 million downloads and continues to be a top-ranked music app today.</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90"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SoundHound AI’s Vision</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 xml:space="preserve">A typical reaction to SoundHound AI’s technology is “Wow! Even humans cannot do this.” This is the crux of our vision: </w:t>
      </w:r>
      <w:r>
        <w:rPr>
          <w:rFonts w:ascii="Times New Roman" w:cs="Times New Roman" w:eastAsia="Times New Roman" w:hAnsi="Times New Roman"/>
          <w:sz w:val="17"/>
          <w:szCs w:val="17"/>
          <w:i w:val="1"/>
          <w:iCs w:val="1"/>
          <w:color w:val="auto"/>
        </w:rPr>
        <w:t>Create a Voice AI platform that exceeds human capabilities and brings value and delight via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 ecosystem of billions of products enhanced by innovation and monetization opportunities.</w:t>
      </w:r>
    </w:p>
    <w:p>
      <w:pPr>
        <w:spacing w:after="0" w:line="98"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can make humans more productive and help make the world a better place.</w:t>
      </w:r>
    </w:p>
    <w:p>
      <w:pPr>
        <w:spacing w:after="0" w:line="9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spacing w:after="0" w:line="10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 addition, users can follow up and ask it to refine the criteria such as “remove Korean and Vietnamese, sort by rating then by price, and only show the ones that are good for kids and have a patio.”</w:t>
      </w:r>
    </w:p>
    <w:p>
      <w:pPr>
        <w:spacing w:after="0" w:line="8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90"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0" w:name="page71"/>
    <w:bookmarkEnd w:id="7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Technology Breakthroughs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SoundHound AI’s momentum in the Voice AI market can, in large part, be attributed to our large number of technology breakthroughs. These are anchored by three important innovations: Speech-to-Meaning, Deep Meaning Understanding and Collective AI.</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Speech-to-Meaning</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1" w:name="page72"/>
    <w:bookmarkEnd w:id="7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Deep Meaning Understanding</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Deep Meaning Understanding is our innovative approach to language understanding that allows our Voice AI platform to understand highly complex conversation.</w:t>
      </w:r>
    </w:p>
    <w:p>
      <w:pPr>
        <w:spacing w:after="0" w:line="8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73660</wp:posOffset>
            </wp:positionV>
            <wp:extent cx="4931410" cy="36144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31410" cy="361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Collective AI</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third breakthrough is called Collective AI: an architecture that gives potential to SoundHound AI to improve the understanding capability of its platform exponentially based on linear contributions</w:t>
      </w:r>
    </w:p>
    <w:p>
      <w:pPr>
        <w:spacing w:after="0" w:line="8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2" w:name="page73"/>
    <w:bookmarkEnd w:id="7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SoundHound AI Products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Houndify platform</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98"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Houndify provides a web API that takes in text queries or audio and returns actionable JavaScript Object Notation to anyone with an internet connection wanting to add Voice AI to any product or application.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Automatic Speech Recognition (“ASR”)</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Natural Language Understanding (“NLU”)</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90" w:lineRule="exact"/>
        <w:rPr>
          <w:sz w:val="20"/>
          <w:szCs w:val="20"/>
          <w:color w:val="auto"/>
        </w:rPr>
      </w:pPr>
    </w:p>
    <w:p>
      <w:pPr>
        <w:jc w:val="both"/>
        <w:ind w:left="620" w:right="619" w:firstLine="415"/>
        <w:spacing w:after="0" w:line="270" w:lineRule="auto"/>
        <w:rPr>
          <w:sz w:val="20"/>
          <w:szCs w:val="20"/>
          <w:color w:val="auto"/>
        </w:rPr>
      </w:pPr>
      <w:r>
        <w:rPr>
          <w:rFonts w:ascii="Times New Roman" w:cs="Times New Roman" w:eastAsia="Times New Roman" w:hAnsi="Times New Roman"/>
          <w:sz w:val="17"/>
          <w:szCs w:val="17"/>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313"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0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Wake Words</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Custom Domains</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3" w:name="page74"/>
    <w:bookmarkEnd w:id="7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0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Text-to-speech (“TTS”)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8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Edge (Embedded)</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prospectus.</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Houndify Edge Hybrid</w:t>
      </w:r>
      <w:r>
        <w:rPr>
          <w:rFonts w:ascii="Times New Roman" w:cs="Times New Roman" w:eastAsia="Times New Roman" w:hAnsi="Times New Roman"/>
          <w:sz w:val="17"/>
          <w:szCs w:val="17"/>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Competitive Strengths and Differentiators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Independent Disruptor</w:t>
      </w:r>
    </w:p>
    <w:p>
      <w:pPr>
        <w:spacing w:after="0" w:line="144"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0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12" w:lineRule="exact"/>
        <w:rPr>
          <w:sz w:val="20"/>
          <w:szCs w:val="20"/>
          <w:color w:val="auto"/>
        </w:rPr>
      </w:pPr>
    </w:p>
    <w:p>
      <w:pPr>
        <w:jc w:val="both"/>
        <w:ind w:left="620" w:right="619" w:firstLine="415"/>
        <w:spacing w:after="0" w:line="265" w:lineRule="auto"/>
        <w:rPr>
          <w:sz w:val="20"/>
          <w:szCs w:val="20"/>
          <w:color w:val="auto"/>
        </w:rPr>
      </w:pPr>
      <w:r>
        <w:rPr>
          <w:rFonts w:ascii="Times New Roman" w:cs="Times New Roman" w:eastAsia="Times New Roman" w:hAnsi="Times New Roman"/>
          <w:sz w:val="17"/>
          <w:szCs w:val="17"/>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303"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4" w:name="page75"/>
    <w:bookmarkEnd w:id="7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76835</wp:posOffset>
            </wp:positionV>
            <wp:extent cx="4931410" cy="26593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31410" cy="265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Revenue Model</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Market Momentum</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76835</wp:posOffset>
            </wp:positionV>
            <wp:extent cx="4931410" cy="2461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31410" cy="246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5" w:name="page76"/>
    <w:bookmarkEnd w:id="7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Building a Diverse, Global Customer Base</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SoundHound AI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Three pillars for growth</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68580</wp:posOffset>
            </wp:positionV>
            <wp:extent cx="4931410" cy="25107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31410" cy="251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440" w:right="619" w:hanging="411"/>
        <w:spacing w:after="0" w:line="274" w:lineRule="auto"/>
        <w:tabs>
          <w:tab w:leader="none" w:pos="14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Royalties</w:t>
      </w:r>
      <w:r>
        <w:rPr>
          <w:rFonts w:ascii="Times New Roman" w:cs="Times New Roman" w:eastAsia="Times New Roman" w:hAnsi="Times New Roman"/>
          <w:sz w:val="17"/>
          <w:szCs w:val="17"/>
          <w:color w:val="auto"/>
        </w:rPr>
        <w:t>: This involves voice-enabling a product. The product creator pays us a royalty based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95" w:lineRule="exact"/>
        <w:rPr>
          <w:rFonts w:ascii="Times New Roman" w:cs="Times New Roman" w:eastAsia="Times New Roman" w:hAnsi="Times New Roman"/>
          <w:sz w:val="17"/>
          <w:szCs w:val="17"/>
          <w:color w:val="auto"/>
        </w:rPr>
      </w:pPr>
    </w:p>
    <w:p>
      <w:pPr>
        <w:jc w:val="both"/>
        <w:ind w:left="1440" w:right="639" w:hanging="411"/>
        <w:spacing w:after="0" w:line="267" w:lineRule="auto"/>
        <w:tabs>
          <w:tab w:leader="none" w:pos="14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Subscription</w:t>
      </w:r>
      <w:r>
        <w:rPr>
          <w:rFonts w:ascii="Times New Roman" w:cs="Times New Roman" w:eastAsia="Times New Roman" w:hAnsi="Times New Roman"/>
          <w:sz w:val="17"/>
          <w:szCs w:val="17"/>
          <w:color w:val="auto"/>
        </w:rPr>
        <w:t>: This involves voice-enabling a service that doesn’t rely on a physical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102" w:lineRule="exact"/>
        <w:rPr>
          <w:rFonts w:ascii="Times New Roman" w:cs="Times New Roman" w:eastAsia="Times New Roman" w:hAnsi="Times New Roman"/>
          <w:sz w:val="17"/>
          <w:szCs w:val="17"/>
          <w:color w:val="auto"/>
        </w:rPr>
      </w:pPr>
    </w:p>
    <w:p>
      <w:pPr>
        <w:jc w:val="both"/>
        <w:ind w:left="1440" w:right="619" w:hanging="411"/>
        <w:spacing w:after="0" w:line="259" w:lineRule="auto"/>
        <w:tabs>
          <w:tab w:leader="none" w:pos="14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This pillar creates an ecosystem that enables monetization services in products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During the years presented in this prospectus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6" w:name="page77"/>
    <w:bookmarkEnd w:id="7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108" w:lineRule="exact"/>
        <w:rPr>
          <w:sz w:val="20"/>
          <w:szCs w:val="20"/>
          <w:color w:val="auto"/>
        </w:rPr>
      </w:pPr>
    </w:p>
    <w:p>
      <w:pPr>
        <w:jc w:val="both"/>
        <w:ind w:left="620" w:right="619" w:firstLine="415"/>
        <w:spacing w:after="0" w:line="265" w:lineRule="auto"/>
        <w:rPr>
          <w:sz w:val="20"/>
          <w:szCs w:val="20"/>
          <w:color w:val="auto"/>
        </w:rPr>
      </w:pPr>
      <w:r>
        <w:rPr>
          <w:rFonts w:ascii="Times New Roman" w:cs="Times New Roman" w:eastAsia="Times New Roman" w:hAnsi="Times New Roman"/>
          <w:sz w:val="17"/>
          <w:szCs w:val="17"/>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212725</wp:posOffset>
            </wp:positionV>
            <wp:extent cx="4931410" cy="3408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31410" cy="340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7" w:name="page78"/>
    <w:bookmarkEnd w:id="7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SoundHound AI’s undeniable criteria for adoption</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We envision that if we win on all criteria for adoption, the only reason not to choose SoundHound AI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63500</wp:posOffset>
            </wp:positionV>
            <wp:extent cx="4931410" cy="22066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31410"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 xml:space="preserve">The first two criteria customers typically consider are </w:t>
      </w:r>
      <w:r>
        <w:rPr>
          <w:rFonts w:ascii="Times New Roman" w:cs="Times New Roman" w:eastAsia="Times New Roman" w:hAnsi="Times New Roman"/>
          <w:sz w:val="17"/>
          <w:szCs w:val="17"/>
          <w:b w:val="1"/>
          <w:bCs w:val="1"/>
          <w:color w:val="auto"/>
        </w:rPr>
        <w:t>technology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brand control</w:t>
      </w:r>
      <w:r>
        <w:rPr>
          <w:rFonts w:ascii="Times New Roman" w:cs="Times New Roman" w:eastAsia="Times New Roman" w:hAnsi="Times New Roman"/>
          <w:sz w:val="17"/>
          <w:szCs w:val="17"/>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92" w:lineRule="exact"/>
        <w:rPr>
          <w:sz w:val="20"/>
          <w:szCs w:val="20"/>
          <w:color w:val="auto"/>
        </w:rPr>
      </w:pPr>
    </w:p>
    <w:p>
      <w:pPr>
        <w:jc w:val="both"/>
        <w:ind w:left="620" w:right="619" w:firstLine="415"/>
        <w:spacing w:after="0" w:line="274" w:lineRule="auto"/>
        <w:rPr>
          <w:sz w:val="20"/>
          <w:szCs w:val="20"/>
          <w:color w:val="auto"/>
        </w:rPr>
      </w:pPr>
      <w:r>
        <w:rPr>
          <w:rFonts w:ascii="Times New Roman" w:cs="Times New Roman" w:eastAsia="Times New Roman" w:hAnsi="Times New Roman"/>
          <w:sz w:val="17"/>
          <w:szCs w:val="17"/>
          <w:color w:val="auto"/>
        </w:rPr>
        <w:t xml:space="preserve">With our disruptive monetization strategy, we also provide a path to </w:t>
      </w: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By choosing our platform, product creators can generate additional revenue while making their product better using Voice AI, providing further incentive to choose our platform.</w:t>
      </w:r>
    </w:p>
    <w:p>
      <w:pPr>
        <w:spacing w:after="0" w:line="95"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 xml:space="preserve">We offer a superior </w:t>
      </w:r>
      <w:r>
        <w:rPr>
          <w:rFonts w:ascii="Times New Roman" w:cs="Times New Roman" w:eastAsia="Times New Roman" w:hAnsi="Times New Roman"/>
          <w:sz w:val="17"/>
          <w:szCs w:val="17"/>
          <w:b w:val="1"/>
          <w:bCs w:val="1"/>
          <w:color w:val="auto"/>
        </w:rPr>
        <w:t>ecosystem</w:t>
      </w:r>
      <w:r>
        <w:rPr>
          <w:rFonts w:ascii="Times New Roman" w:cs="Times New Roman" w:eastAsia="Times New Roman" w:hAnsi="Times New Roman"/>
          <w:sz w:val="17"/>
          <w:szCs w:val="17"/>
          <w:color w:val="auto"/>
        </w:rPr>
        <w:t xml:space="preserve"> with Collective AI along with definable </w:t>
      </w:r>
      <w:r>
        <w:rPr>
          <w:rFonts w:ascii="Times New Roman" w:cs="Times New Roman" w:eastAsia="Times New Roman" w:hAnsi="Times New Roman"/>
          <w:sz w:val="17"/>
          <w:szCs w:val="17"/>
          <w:b w:val="1"/>
          <w:bCs w:val="1"/>
          <w:color w:val="auto"/>
        </w:rPr>
        <w:t>privacy</w:t>
      </w:r>
      <w:r>
        <w:rPr>
          <w:rFonts w:ascii="Times New Roman" w:cs="Times New Roman" w:eastAsia="Times New Roman" w:hAnsi="Times New Roman"/>
          <w:sz w:val="17"/>
          <w:szCs w:val="17"/>
          <w:color w:val="auto"/>
        </w:rPr>
        <w:t xml:space="preserve"> controls, which are becoming increasingly important in the industry of Voice AI. Additionally, there is </w:t>
      </w:r>
      <w:r>
        <w:rPr>
          <w:rFonts w:ascii="Times New Roman" w:cs="Times New Roman" w:eastAsia="Times New Roman" w:hAnsi="Times New Roman"/>
          <w:sz w:val="17"/>
          <w:szCs w:val="17"/>
          <w:b w:val="1"/>
          <w:bCs w:val="1"/>
          <w:color w:val="auto"/>
        </w:rPr>
        <w:t>no conflict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interest </w:t>
      </w:r>
      <w:r>
        <w:rPr>
          <w:rFonts w:ascii="Times New Roman" w:cs="Times New Roman" w:eastAsia="Times New Roman" w:hAnsi="Times New Roman"/>
          <w:sz w:val="17"/>
          <w:szCs w:val="17"/>
          <w:color w:val="auto"/>
        </w:rPr>
        <w:t>between us and our partners and customers as we do not compete with them (as some other Voice AI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vendors do). We also offer </w:t>
      </w:r>
      <w:r>
        <w:rPr>
          <w:rFonts w:ascii="Times New Roman" w:cs="Times New Roman" w:eastAsia="Times New Roman" w:hAnsi="Times New Roman"/>
          <w:sz w:val="17"/>
          <w:szCs w:val="17"/>
          <w:b w:val="1"/>
          <w:bCs w:val="1"/>
          <w:color w:val="auto"/>
        </w:rPr>
        <w:t>edge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hybrid</w:t>
      </w:r>
      <w:r>
        <w:rPr>
          <w:rFonts w:ascii="Times New Roman" w:cs="Times New Roman" w:eastAsia="Times New Roman" w:hAnsi="Times New Roman"/>
          <w:sz w:val="17"/>
          <w:szCs w:val="17"/>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Times New Roman" w:cs="Times New Roman" w:eastAsia="Times New Roman" w:hAnsi="Times New Roman"/>
          <w:sz w:val="17"/>
          <w:szCs w:val="17"/>
          <w:b w:val="1"/>
          <w:bCs w:val="1"/>
          <w:color w:val="auto"/>
        </w:rPr>
        <w:t>differentiate and innovate</w:t>
      </w:r>
      <w:r>
        <w:rPr>
          <w:rFonts w:ascii="Times New Roman" w:cs="Times New Roman" w:eastAsia="Times New Roman" w:hAnsi="Times New Roman"/>
          <w:sz w:val="17"/>
          <w:szCs w:val="17"/>
          <w:color w:val="auto"/>
        </w:rPr>
        <w:t xml:space="preserve"> their overall experiences for their brands.</w:t>
      </w:r>
    </w:p>
    <w:p>
      <w:pPr>
        <w:spacing w:after="0" w:line="30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8" w:name="page79"/>
    <w:bookmarkEnd w:id="7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94"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316"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Key Strategic Global Partners</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with over 100 million queries per month. Additionally, traffic has experienced over 100% growth through the first half of 2022 compared to the same period in 2021. Information provided to us by our strategic partners suggest that our customers’ products are currently used by have a reach over a billion users.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Some of the strategic partners that are featured here utilizes SoundHound AI’s product integrations:</w:t>
      </w:r>
    </w:p>
    <w:p>
      <w:pPr>
        <w:spacing w:after="0" w:line="155" w:lineRule="exact"/>
        <w:rPr>
          <w:sz w:val="20"/>
          <w:szCs w:val="20"/>
          <w:color w:val="auto"/>
        </w:rPr>
      </w:pPr>
    </w:p>
    <w:p>
      <w:pPr>
        <w:ind w:left="1440" w:hanging="411"/>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Mercedes: MBUX (multiple models in North America)</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Hyundai/KIA: Dynamic Voice Recognition (multiple models in North America and India)</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Honda: Select models in Japan and Europe</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Snapchat: Voice Scan and Captioning features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Pandora: In-app Voice Mode</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VIZIO: Smart TV Voice Remote for multiple product lines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White Castle: Voice AI Drive Through</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Deutsche Telekom: Magenta Speaker in Germany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9" w:name="page80"/>
    <w:bookmarkEnd w:id="7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SoundHound AI currently has a team of 458 members, 449 of which are full-time employees and 9 of which are part-time, with a presence spanning 16 countries.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14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0" w:name="page81"/>
    <w:bookmarkEnd w:id="8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provides information regarding our executive officers and directors as of the date of this prospectus: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80" w:type="dxa"/>
            <w:vAlign w:val="bottom"/>
          </w:tcPr>
          <w:p>
            <w:pPr>
              <w:spacing w:after="0"/>
              <w:rPr>
                <w:sz w:val="17"/>
                <w:szCs w:val="17"/>
                <w:color w:val="auto"/>
              </w:rPr>
            </w:pPr>
          </w:p>
        </w:tc>
        <w:tc>
          <w:tcPr>
            <w:tcW w:w="410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5"/>
        </w:trPr>
        <w:tc>
          <w:tcPr>
            <w:tcW w:w="2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r>
      <w:tr>
        <w:trPr>
          <w:trHeight w:val="232"/>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Chief Executive Officer</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Hom</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 Vice President of Products</w:t>
            </w:r>
          </w:p>
        </w:tc>
      </w:tr>
      <w:tr>
        <w:trPr>
          <w:trHeight w:val="39"/>
        </w:trPr>
        <w:tc>
          <w:tcPr>
            <w:tcW w:w="2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100" w:type="dxa"/>
            <w:vAlign w:val="bottom"/>
          </w:tcPr>
          <w:p>
            <w:pPr>
              <w:spacing w:after="0"/>
              <w:rPr>
                <w:sz w:val="3"/>
                <w:szCs w:val="3"/>
                <w:color w:val="auto"/>
              </w:rPr>
            </w:pPr>
          </w:p>
        </w:tc>
      </w:tr>
      <w:tr>
        <w:trPr>
          <w:trHeight w:val="252"/>
        </w:trPr>
        <w:tc>
          <w:tcPr>
            <w:tcW w:w="2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4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Diana Sroka</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39"/>
        </w:trPr>
        <w:tc>
          <w:tcPr>
            <w:tcW w:w="2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100" w:type="dxa"/>
            <w:vAlign w:val="bottom"/>
          </w:tcPr>
          <w:p>
            <w:pPr>
              <w:spacing w:after="0"/>
              <w:rPr>
                <w:sz w:val="3"/>
                <w:szCs w:val="3"/>
                <w:color w:val="auto"/>
              </w:rPr>
            </w:pPr>
          </w:p>
        </w:tc>
      </w:tr>
      <w:tr>
        <w:trPr>
          <w:trHeight w:val="252"/>
        </w:trPr>
        <w:tc>
          <w:tcPr>
            <w:tcW w:w="2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4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Majid Emami</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Vice President of Engineering</w:t>
            </w:r>
          </w:p>
        </w:tc>
      </w:tr>
      <w:tr>
        <w:trPr>
          <w:trHeight w:val="39"/>
        </w:trPr>
        <w:tc>
          <w:tcPr>
            <w:tcW w:w="2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100" w:type="dxa"/>
            <w:vAlign w:val="bottom"/>
          </w:tcPr>
          <w:p>
            <w:pPr>
              <w:spacing w:after="0"/>
              <w:rPr>
                <w:sz w:val="3"/>
                <w:szCs w:val="3"/>
                <w:color w:val="auto"/>
              </w:rPr>
            </w:pPr>
          </w:p>
        </w:tc>
      </w:tr>
      <w:tr>
        <w:trPr>
          <w:trHeight w:val="252"/>
        </w:trPr>
        <w:tc>
          <w:tcPr>
            <w:tcW w:w="2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Zubin Irani</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4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Revenue Officer</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Stonehocker</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39"/>
        </w:trPr>
        <w:tc>
          <w:tcPr>
            <w:tcW w:w="2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100" w:type="dxa"/>
            <w:vAlign w:val="bottom"/>
          </w:tcPr>
          <w:p>
            <w:pPr>
              <w:spacing w:after="0"/>
              <w:rPr>
                <w:sz w:val="3"/>
                <w:szCs w:val="3"/>
                <w:color w:val="auto"/>
              </w:rPr>
            </w:pPr>
          </w:p>
        </w:tc>
      </w:tr>
      <w:tr>
        <w:trPr>
          <w:trHeight w:val="252"/>
        </w:trPr>
        <w:tc>
          <w:tcPr>
            <w:tcW w:w="2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4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Zagorsek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Operating Officer</w:t>
            </w:r>
          </w:p>
        </w:tc>
      </w:tr>
    </w:tbl>
    <w:p>
      <w:pPr>
        <w:spacing w:after="0" w:line="18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Keyvan Mohajer. </w:t>
      </w:r>
      <w:r>
        <w:rPr>
          <w:rFonts w:ascii="Times New Roman" w:cs="Times New Roman" w:eastAsia="Times New Roman" w:hAnsi="Times New Roman"/>
          <w:sz w:val="17"/>
          <w:szCs w:val="17"/>
          <w:color w:val="auto"/>
        </w:rPr>
        <w:t>Dr. Keyvan Mohajer has been our Chief Executive Officer and a member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since the consummation of the Business Combination in April 2022. Prior to that, Dr. Mohajer served as Legacy SoundHound’s Chief Executive Officer and a member of the Legacy SoundHound’s board of directors (the “Legacy SoundHound Board”) since 2005, when he co-founded Legacy SoundHound. Dr. Mohajer is a technical founder and visionary entrepreneur with over 20 years of experience scaling multiple companies. Dr. Mohajer is a key contributor to the Company’s core technologies, with over 90 patents granted or pending. He also plays a major role in our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Legacy SoundHound and its chief executive officer, he has extensive knowledge of the Company’s business.</w:t>
      </w:r>
    </w:p>
    <w:p>
      <w:pPr>
        <w:spacing w:after="0" w:line="10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Hom. </w:t>
      </w:r>
      <w:r>
        <w:rPr>
          <w:rFonts w:ascii="Times New Roman" w:cs="Times New Roman" w:eastAsia="Times New Roman" w:hAnsi="Times New Roman"/>
          <w:sz w:val="17"/>
          <w:szCs w:val="17"/>
          <w:color w:val="auto"/>
        </w:rPr>
        <w:t>James Hom has been a member of the Board and Vice President of Products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Mr. Hom, one of Legacy SoundHound’s co-founders, has served as Vice President of Products and a member of the Legacy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Legacy SoundHound, he has extensive knowledge of the Company’s business.</w:t>
      </w:r>
    </w:p>
    <w:p>
      <w:pPr>
        <w:spacing w:after="0" w:line="9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Marcus. </w:t>
      </w:r>
      <w:r>
        <w:rPr>
          <w:rFonts w:ascii="Times New Roman" w:cs="Times New Roman" w:eastAsia="Times New Roman" w:hAnsi="Times New Roman"/>
          <w:sz w:val="17"/>
          <w:szCs w:val="17"/>
          <w:color w:val="auto"/>
        </w:rPr>
        <w:t>Larry Marcus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spacing w:after="0" w:line="11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Diana Sroka. </w:t>
      </w:r>
      <w:r>
        <w:rPr>
          <w:rFonts w:ascii="Times New Roman" w:cs="Times New Roman" w:eastAsia="Times New Roman" w:hAnsi="Times New Roman"/>
          <w:sz w:val="17"/>
          <w:szCs w:val="17"/>
          <w:color w:val="auto"/>
        </w:rPr>
        <w:t>Diana Sroka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In 2001, Ms. Sroka joined HP Inc. (“HP”) (f/k/a Hewlett-Packard Company)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w:t>
      </w:r>
    </w:p>
    <w:p>
      <w:pPr>
        <w:sectPr>
          <w:pgSz w:w="11900" w:h="16838" w:orient="portrait"/>
          <w:cols w:equalWidth="0" w:num="1">
            <w:col w:w="9019"/>
          </w:cols>
          <w:pgMar w:left="1440" w:top="26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81" w:name="page82"/>
    <w:bookmarkEnd w:id="8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0" w:lineRule="auto"/>
        <w:rPr>
          <w:sz w:val="20"/>
          <w:szCs w:val="20"/>
          <w:color w:val="auto"/>
        </w:rPr>
      </w:pPr>
      <w:r>
        <w:rPr>
          <w:rFonts w:ascii="Times New Roman" w:cs="Times New Roman" w:eastAsia="Times New Roman" w:hAnsi="Times New Roman"/>
          <w:sz w:val="17"/>
          <w:szCs w:val="17"/>
          <w:color w:val="auto"/>
        </w:rPr>
        <w:t>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08"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our IPO in 2021. Since 2016,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spacing w:after="0" w:line="114"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Majid Emami. </w:t>
      </w:r>
      <w:r>
        <w:rPr>
          <w:rFonts w:ascii="Times New Roman" w:cs="Times New Roman" w:eastAsia="Times New Roman" w:hAnsi="Times New Roman"/>
          <w:sz w:val="17"/>
          <w:szCs w:val="17"/>
          <w:color w:val="auto"/>
        </w:rPr>
        <w:t>Dr. Majid Emami has been Vice President of Engineering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Dr. Emami is a co-founder of Legacy SoundHound and has served as Vice President of Engineering since 2006. Dr. Emami leads the Company’s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9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Zubin Irani. </w:t>
      </w:r>
      <w:r>
        <w:rPr>
          <w:rFonts w:ascii="Times New Roman" w:cs="Times New Roman" w:eastAsia="Times New Roman" w:hAnsi="Times New Roman"/>
          <w:sz w:val="17"/>
          <w:szCs w:val="17"/>
          <w:color w:val="auto"/>
        </w:rPr>
        <w:t>Zubin Irani has been Chief Revenue Officer of the Company since the consummation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Business Combination in April 2022. Prior to that, Mr. Irani served as Legacy SoundHound’s Chief Revenue Officer since 2021. Prior to joining Legacy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11"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Timothy Stonehocker. </w:t>
      </w:r>
      <w:r>
        <w:rPr>
          <w:rFonts w:ascii="Times New Roman" w:cs="Times New Roman" w:eastAsia="Times New Roman" w:hAnsi="Times New Roman"/>
          <w:sz w:val="17"/>
          <w:szCs w:val="17"/>
          <w:color w:val="auto"/>
        </w:rPr>
        <w:t>Timothy Stonehocker has been Chief Technology Officer of the Company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consummation of the Business Combination in April 2022. Prior to that, Mr. Stonehocker served as Legacy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11"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Nitesh Sharan. </w:t>
      </w:r>
      <w:r>
        <w:rPr>
          <w:rFonts w:ascii="Times New Roman" w:cs="Times New Roman" w:eastAsia="Times New Roman" w:hAnsi="Times New Roman"/>
          <w:sz w:val="17"/>
          <w:szCs w:val="17"/>
          <w:color w:val="auto"/>
        </w:rPr>
        <w:t>Nitesh Sharan has been Chief Financial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Sharan served as the Chief Financial Officer of Legacy SoundHound since September 2021. In this capacity, Mr. Sharan oversees the Company’s accounting, financial planning, investor relations, treasury and capital planning functions. Prior to joining Legacy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2" w:name="page83"/>
    <w:bookmarkEnd w:id="8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77" w:lineRule="auto"/>
        <w:rPr>
          <w:sz w:val="20"/>
          <w:szCs w:val="20"/>
          <w:color w:val="auto"/>
        </w:rPr>
      </w:pPr>
      <w:r>
        <w:rPr>
          <w:rFonts w:ascii="Times New Roman" w:cs="Times New Roman" w:eastAsia="Times New Roman" w:hAnsi="Times New Roman"/>
          <w:sz w:val="17"/>
          <w:szCs w:val="17"/>
          <w:color w:val="auto"/>
        </w:rPr>
        <w:t>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charterholder.</w:t>
      </w:r>
    </w:p>
    <w:p>
      <w:pPr>
        <w:spacing w:after="0" w:line="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Zagorsek. </w:t>
      </w:r>
      <w:r>
        <w:rPr>
          <w:rFonts w:ascii="Times New Roman" w:cs="Times New Roman" w:eastAsia="Times New Roman" w:hAnsi="Times New Roman"/>
          <w:sz w:val="17"/>
          <w:szCs w:val="17"/>
          <w:color w:val="auto"/>
        </w:rPr>
        <w:t>Michael Zagorsek has been Chief Operating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Zagorsek served as Legacy SoundHound’s Chief Operating Officer since November 2020. Mr. Zagorsek is principally responsible for the Company’s operations, oversight of business workflow, company planning, reporting, goal-setting, and strategy. Prior to assuming that role, Mr. Zagorsek was Legacy SoundHound’s Vice President of Product Marketing, from July 2016 to November 2020, in which capacity he was responsible for Legacy SoundHound’s marketing activities, including demand generation, product marketing, content marketing, public relations and design. Prior to his employment with Legacy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Kamyar Mohajer, the brother of the Company’s CEO, Keyvan Mohajer, is an employee of SoundHound and serves as the Company’s Vice President of Corporate Strategy and International Expansion.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Dr. Ball, Mr. Marcus and Ms. Sroka, will be an independent director under the Nasdaq listing rules and Rule 10A-3 of the Exchange Act. In making these determinations, our Board of Directors considered the current and prior relationships that each non-employee director has with SoundHound AI and all other facts and circumstances our Board of Directors deemed relevant in determining independence, including the beneficial ownership of our common stock by each non-employee director, and the transactions involving them described in the section entitled “</w:t>
      </w:r>
      <w:r>
        <w:rPr>
          <w:rFonts w:ascii="Times New Roman" w:cs="Times New Roman" w:eastAsia="Times New Roman" w:hAnsi="Times New Roman"/>
          <w:sz w:val="17"/>
          <w:szCs w:val="17"/>
          <w:i w:val="1"/>
          <w:iCs w:val="1"/>
          <w:color w:val="auto"/>
        </w:rPr>
        <w:t>Certain Relationships and Related Transactions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Our Board of Directors has one class of directors, with each director being elected in each year and serving a one-year term.</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Role of Board in Risk Oversight Process</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We face a number of risks, including those described under the caption “Risk Factors” contained elsewhere in this prospectus. Our board of directors believes that risk management is an important part of establishing, updating and executing on our business strategy. Our board of directors has oversight responsibility relating to risks that could affect the corporate strategy, business objectives, compliance, operations, and the financial condition and performance of our company. Our board of directors focuses its oversight on the most significant risks facing us and on our processes to identify, prioritize, assess, manage and mitigate those risks. Our board of directors receives regular reports from members of our senior management on areas of material risk to us,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us.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3" w:name="page84"/>
    <w:bookmarkEnd w:id="8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1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standing committees of our Board of Directors consist of an Audit Committee, a Compensation Committee, and a Nominating and Corporate Governance Committee. The composition of each committee is set forth below.</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1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spacing w:after="0" w:line="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audit committee’s duties are specified in our Audit Committee Charter.</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1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18"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6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1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 xml:space="preserve">We have adopted a new Code of Business Conduct and Ethics for our directors, officers, employees and certain affiliates in accordance with applicable federal securities laws, a copy of which is available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A printed copy of the Code of Business Conduct and Ethics available to any stockholder who so requests. Requests for a printed copy may be directed to: 5400 Betsy Ross Drive, Santa Clara, CA 95054 Attention: Dr. Keyvan Mohajer.</w:t>
      </w:r>
    </w:p>
    <w:p>
      <w:pPr>
        <w:spacing w:after="0" w:line="66"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on this website is not part of this prospectus.</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Officer and Director Compensation</w:t>
      </w:r>
    </w:p>
    <w:p>
      <w:pPr>
        <w:spacing w:after="0" w:line="11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Our board of directors adopted a nonemployee director compensation program (the “Director Compensation Policy”). The Director Compensation Policy is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 non-employee directors, in addition to equity grants determined by the compensation committee and reimbursement for reasonable expenses incurred in connection with attending board and committee meetings. Our board of directors expects to review non-employee director compensation periodically to ensure that non-employee director compensation remains competitive such that we are able to recruit and retain qualified directors.</w:t>
      </w:r>
    </w:p>
    <w:p>
      <w:pPr>
        <w:spacing w:after="0" w:line="7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Our policies with respect to the compensation of its executive officers are administered by our board of directors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p>
    <w:p>
      <w:pPr>
        <w:sectPr>
          <w:pgSz w:w="11900" w:h="16838" w:orient="portrait"/>
          <w:cols w:equalWidth="0" w:num="1">
            <w:col w:w="9019"/>
          </w:cols>
          <w:pgMar w:left="1440" w:top="26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84" w:name="page85"/>
    <w:bookmarkEnd w:id="8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2" w:lineRule="exact"/>
        <w:rPr>
          <w:sz w:val="20"/>
          <w:szCs w:val="20"/>
          <w:color w:val="auto"/>
        </w:rPr>
      </w:pPr>
    </w:p>
    <w:p>
      <w:pPr>
        <w:jc w:val="both"/>
        <w:ind w:left="620" w:right="639" w:firstLine="415"/>
        <w:spacing w:after="0" w:line="274" w:lineRule="auto"/>
        <w:rPr>
          <w:sz w:val="20"/>
          <w:szCs w:val="20"/>
          <w:color w:val="auto"/>
        </w:rPr>
      </w:pPr>
      <w:r>
        <w:rPr>
          <w:rFonts w:ascii="Times New Roman" w:cs="Times New Roman" w:eastAsia="Times New Roman" w:hAnsi="Times New Roman"/>
          <w:sz w:val="17"/>
          <w:szCs w:val="17"/>
          <w:i w:val="1"/>
          <w:iCs w:val="1"/>
          <w:color w:val="auto"/>
        </w:rPr>
        <w:t>Throughout this section, unless otherwise noted, “we,” “us,” “our,” the “Company”) and similar terms refer to SoundHound AI and its subsidiaries after the Business Combination. “Legacy SoundHound” refers to SoundHound, Inc. prior to the consummation of the Business Combination.</w:t>
      </w:r>
    </w:p>
    <w:p>
      <w:pPr>
        <w:spacing w:after="0" w:line="9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Legacy SoundHound’s compensation arrangements consisted principally of a base salary, an annual cash incentive bonus and equity compensation, as described below.</w:t>
      </w:r>
    </w:p>
    <w:p>
      <w:pPr>
        <w:spacing w:after="0" w:line="10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Legacy SoundHound’s board of directors (the “Legacy SoundHound Board”) had historically determined the compensation of Legacy SoundHound’s executive officers. For the year ended December 31, 2021, Legacy SoundHound’s named executive officers were Dr. Keyvan Mohajer, Chief Executive Officer, Nitesh Sharan, Chief Financial Officer, and Timothy Stonehocker, Chief Technology Officer.</w:t>
      </w:r>
    </w:p>
    <w:p>
      <w:pPr>
        <w:spacing w:after="0" w:line="90"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This section provides an overview of our executive compensation arrangements with our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See “Recent Developments” below for information regarding our current compensation arrangements with named executive officers.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Summary Compensation Table for Fiscal Year 2021</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the named executive officers for the fiscal year ended December 31, 2021.</w:t>
      </w:r>
    </w:p>
    <w:p>
      <w:pPr>
        <w:spacing w:after="0" w:line="102" w:lineRule="exact"/>
        <w:rPr>
          <w:sz w:val="20"/>
          <w:szCs w:val="20"/>
          <w:color w:val="auto"/>
        </w:rPr>
      </w:pPr>
    </w:p>
    <w:tbl>
      <w:tblPr>
        <w:tblLayout w:type="fixed"/>
        <w:tblInd w:w="620" w:type="dxa"/>
        <w:tblCellMar>
          <w:top w:w="0" w:type="dxa"/>
          <w:left w:w="0" w:type="dxa"/>
          <w:bottom w:w="0" w:type="dxa"/>
          <w:right w:w="0" w:type="dxa"/>
        </w:tblCellMar>
      </w:tblPr>
      <w:tr>
        <w:trPr>
          <w:trHeight w:val="180"/>
        </w:trPr>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9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6"/>
                <w:szCs w:val="16"/>
                <w:b w:val="1"/>
                <w:bCs w:val="1"/>
                <w:color w:val="auto"/>
                <w:vertAlign w:val="superscript"/>
              </w:rPr>
              <w:t>(1)</w:t>
            </w:r>
          </w:p>
        </w:tc>
        <w:tc>
          <w:tcPr>
            <w:tcW w:w="10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40" w:type="dxa"/>
            <w:vAlign w:val="bottom"/>
            <w:gridSpan w:val="2"/>
            <w:vMerge w:val="continue"/>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6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9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Dr. Keyvan Mohajer, </w:t>
            </w:r>
            <w:r>
              <w:rPr>
                <w:rFonts w:ascii="Times New Roman" w:cs="Times New Roman" w:eastAsia="Times New Roman" w:hAnsi="Times New Roman"/>
                <w:sz w:val="17"/>
                <w:szCs w:val="17"/>
                <w:i w:val="1"/>
                <w:iCs w:val="1"/>
                <w:color w:val="auto"/>
              </w:rPr>
              <w:t>CEO</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0" w:type="dxa"/>
            <w:vAlign w:val="bottom"/>
          </w:tcPr>
          <w:p>
            <w:pPr>
              <w:spacing w:after="0"/>
              <w:rPr>
                <w:sz w:val="1"/>
                <w:szCs w:val="1"/>
                <w:color w:val="auto"/>
              </w:rPr>
            </w:pPr>
          </w:p>
        </w:tc>
      </w:tr>
      <w:tr>
        <w:trPr>
          <w:trHeight w:val="272"/>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Nitesh Sharan, </w:t>
            </w:r>
            <w:r>
              <w:rPr>
                <w:rFonts w:ascii="Times New Roman" w:cs="Times New Roman" w:eastAsia="Times New Roman" w:hAnsi="Times New Roman"/>
                <w:sz w:val="17"/>
                <w:szCs w:val="17"/>
                <w:i w:val="1"/>
                <w:iCs w:val="1"/>
                <w:color w:val="auto"/>
              </w:rPr>
              <w:t>CFO</w:t>
            </w:r>
            <w:r>
              <w:rPr>
                <w:rFonts w:ascii="Times New Roman" w:cs="Times New Roman" w:eastAsia="Times New Roman" w:hAnsi="Times New Roman"/>
                <w:sz w:val="20"/>
                <w:szCs w:val="20"/>
                <w:color w:val="auto"/>
                <w:vertAlign w:val="superscript"/>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83,333</w:t>
            </w:r>
          </w:p>
        </w:tc>
        <w:tc>
          <w:tcPr>
            <w:tcW w:w="8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75,000​</w:t>
            </w:r>
            <w:r>
              <w:rPr>
                <w:rFonts w:ascii="Times New Roman" w:cs="Times New Roman" w:eastAsia="Times New Roman" w:hAnsi="Times New Roman"/>
                <w:sz w:val="20"/>
                <w:szCs w:val="20"/>
                <w:color w:val="auto"/>
                <w:vertAlign w:val="superscript"/>
              </w:rPr>
              <w:t>(3)</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952,070</w:t>
            </w:r>
          </w:p>
        </w:tc>
        <w:tc>
          <w:tcPr>
            <w:tcW w:w="80" w:type="dxa"/>
            <w:vAlign w:val="bottom"/>
          </w:tcPr>
          <w:p>
            <w:pPr>
              <w:spacing w:after="0"/>
              <w:rPr>
                <w:sz w:val="23"/>
                <w:szCs w:val="23"/>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1,110,403</w:t>
            </w:r>
          </w:p>
        </w:tc>
        <w:tc>
          <w:tcPr>
            <w:tcW w:w="0" w:type="dxa"/>
            <w:vAlign w:val="bottom"/>
          </w:tcPr>
          <w:p>
            <w:pPr>
              <w:spacing w:after="0"/>
              <w:rPr>
                <w:sz w:val="1"/>
                <w:szCs w:val="1"/>
                <w:color w:val="auto"/>
              </w:rPr>
            </w:pPr>
          </w:p>
        </w:tc>
      </w:tr>
      <w:tr>
        <w:trPr>
          <w:trHeight w:val="234"/>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Timothy Stonehocker, </w:t>
            </w:r>
            <w:r>
              <w:rPr>
                <w:rFonts w:ascii="Times New Roman" w:cs="Times New Roman" w:eastAsia="Times New Roman" w:hAnsi="Times New Roman"/>
                <w:sz w:val="17"/>
                <w:szCs w:val="17"/>
                <w:i w:val="1"/>
                <w:iCs w:val="1"/>
                <w:color w:val="auto"/>
              </w:rPr>
              <w:t>CTO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2,170</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252,170</w:t>
            </w:r>
          </w:p>
        </w:tc>
        <w:tc>
          <w:tcPr>
            <w:tcW w:w="0" w:type="dxa"/>
            <w:vAlign w:val="bottom"/>
          </w:tcPr>
          <w:p>
            <w:pPr>
              <w:spacing w:after="0"/>
              <w:rPr>
                <w:sz w:val="1"/>
                <w:szCs w:val="1"/>
                <w:color w:val="auto"/>
              </w:rPr>
            </w:pPr>
          </w:p>
        </w:tc>
      </w:tr>
      <w:tr>
        <w:trPr>
          <w:trHeight w:val="39"/>
        </w:trPr>
        <w:tc>
          <w:tcPr>
            <w:tcW w:w="1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____________</w:t>
      </w:r>
    </w:p>
    <w:p>
      <w:pPr>
        <w:spacing w:after="0" w:line="101" w:lineRule="exact"/>
        <w:rPr>
          <w:sz w:val="20"/>
          <w:szCs w:val="20"/>
          <w:color w:val="auto"/>
        </w:rPr>
      </w:pPr>
    </w:p>
    <w:p>
      <w:pPr>
        <w:jc w:val="both"/>
        <w:ind w:left="1020" w:right="639" w:hanging="405"/>
        <w:spacing w:after="0" w:line="292"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prospectus. This amount does not reflect the actual economic value that may be realized by the named executive officer.</w:t>
      </w:r>
    </w:p>
    <w:p>
      <w:pPr>
        <w:spacing w:after="0" w:line="1" w:lineRule="exact"/>
        <w:rPr>
          <w:rFonts w:ascii="Times New Roman" w:cs="Times New Roman" w:eastAsia="Times New Roman" w:hAnsi="Times New Roman"/>
          <w:sz w:val="14"/>
          <w:szCs w:val="14"/>
          <w:color w:val="auto"/>
        </w:rPr>
      </w:pPr>
    </w:p>
    <w:p>
      <w:pPr>
        <w:ind w:left="1020" w:right="619" w:hanging="405"/>
        <w:spacing w:after="0" w:line="253"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assumed responsibilities as Legacy SoundHound’s Chief Financial Officer in October 2021. Pursuant to his offer letter, Mr. Sharan’s annual salary is $300,000.</w:t>
      </w:r>
    </w:p>
    <w:p>
      <w:pPr>
        <w:spacing w:after="0" w:line="1" w:lineRule="exact"/>
        <w:rPr>
          <w:rFonts w:ascii="Times New Roman" w:cs="Times New Roman" w:eastAsia="Times New Roman" w:hAnsi="Times New Roman"/>
          <w:sz w:val="16"/>
          <w:szCs w:val="16"/>
          <w:color w:val="auto"/>
        </w:rPr>
      </w:pPr>
    </w:p>
    <w:p>
      <w:pPr>
        <w:ind w:left="1020" w:right="619" w:hanging="405"/>
        <w:spacing w:after="0" w:line="267"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received a $75,000 sign-on/retention payment, subject to repayment if executive’s employment terminates prior to the one-year anniversary of his start date.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Narrative Disclosure to Summary Compensation Table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2006 Stock Plan</w:t>
      </w:r>
    </w:p>
    <w:p>
      <w:pPr>
        <w:spacing w:after="0" w:line="157"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In 2006, the Legacy SoundHound Board adopted, and Legacy SoundHound’s stockholders approved, the Melodis Corporation 2006 Stock Plan (the “2006 Stock Plan”). Mr. Stonehocker holds options under the 2006 Stock Plan, as described below. Following adoption of the 2016 Incentive Plan, as described below, no new awards were made under the 2006 Stock Plan and the 2006 Plan terminated in 2006, except with respect to awards that continued after such termination. The following describes the material terms of the 2006 Stock Plan.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5" w:name="page86"/>
    <w:bookmarkEnd w:id="8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Grants, Generally. </w:t>
      </w:r>
      <w:r>
        <w:rPr>
          <w:rFonts w:ascii="Times New Roman" w:cs="Times New Roman" w:eastAsia="Times New Roman" w:hAnsi="Times New Roman"/>
          <w:sz w:val="17"/>
          <w:szCs w:val="17"/>
          <w:color w:val="auto"/>
        </w:rPr>
        <w:t>The 2006 Stock Plan provided both for the direct award or sale of shares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incentive stock options (“ISOs”) and non-qualified stock options (“NSOs”). ISOs could be granted only to employees of Legacy SoundHound and its affiliates. All other awards could be granted to employees, non-employee directors and consultants of Legacy SoundHound and its affiliates.</w:t>
      </w:r>
    </w:p>
    <w:p>
      <w:pPr>
        <w:spacing w:after="0" w:line="104"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The maximum number of shares of SoundHound common stock (now shares of our Class A Common Stock) that could be issued over the term of the 2006 Stock Plan was 3,313,368 shares. As of December 31, 2021, stock options to purchase 894,474 shares of SoundHound’s common stock (now shares of our Class A Common Stock) with a weighted-average exercise price of $4.76 per share were outstanding under the 2006 Stock Plan. As of December 31, 2021, there were no outstanding awards under the 2006 Stock Plan other than these options.</w:t>
      </w:r>
    </w:p>
    <w:p>
      <w:pPr>
        <w:spacing w:after="0" w:line="31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2006 Stock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Legacy SoundHound’s common stock (now shares of our Class A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9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Legacy 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2006 Stock Plan. Mr. Stonehocker was granted a mix of ISOs and NSOs. See the “Outstanding Equity Awards at 2021 Fiscal Year End” table below for further information about the Company’s named executive officers’ outstanding options as of December 31, 2021.</w:t>
      </w:r>
    </w:p>
    <w:p>
      <w:pPr>
        <w:spacing w:after="0" w:line="10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2006 Stock Plan were required to be at least 100% of the fair market value per share of Legacy SoundHound’s common stock on the grant date. Subject to the provisions of the 2006 Stock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split, reverse stock split, stock dividend, combination, recapitalization or reclassification of the common stock, or any other increase or decrease in the number of issued shares of Legacy SoundHound’s common stock (now shares of shares of our Class A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we are a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97" w:lineRule="exact"/>
        <w:rPr>
          <w:sz w:val="20"/>
          <w:szCs w:val="20"/>
          <w:color w:val="auto"/>
        </w:rPr>
      </w:pPr>
    </w:p>
    <w:p>
      <w:pPr>
        <w:jc w:val="both"/>
        <w:ind w:left="620" w:right="619" w:firstLine="415"/>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had the right to amend, modify,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2006 Stock Plan at any time, prior to its termination, although such change could not materially and adversely affect a participant’s rights under an outstanding award without the participant’s written consent.</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2016 Equity Incentive Plan</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2016, the Legacy SoundHound Board adopted, and Legacy SoundHound’s stockholders approved, the SoundHound, Inc. 2016 Equity Incentive Plan (the “2016 Incentive Plan”). Each of the named executive officers hold options under the 2016 Incentive Plan, as described below.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6" w:name="page87"/>
    <w:bookmarkEnd w:id="8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As the SoundHound AI, Inc. 2022 Incentive Award Plan was approved by the Company’s stockholders as August 4, 2022, no further awards will be granted under the 2016 Incentive Plan.</w:t>
      </w:r>
    </w:p>
    <w:p>
      <w:pPr>
        <w:spacing w:after="0" w:line="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describes the material terms of the 2016 Incentive Plan.</w:t>
      </w:r>
    </w:p>
    <w:p>
      <w:pPr>
        <w:spacing w:after="0" w:line="153"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Grants. </w:t>
      </w:r>
      <w:r>
        <w:rPr>
          <w:rFonts w:ascii="Times New Roman" w:cs="Times New Roman" w:eastAsia="Times New Roman" w:hAnsi="Times New Roman"/>
          <w:sz w:val="17"/>
          <w:szCs w:val="17"/>
          <w:color w:val="auto"/>
        </w:rPr>
        <w:t>The 2016 Incentive Plan provided both for the direct award or sale of shares and for the grant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and NQSOs. ISOs could be granted only to employees of Legacy SoundHound and its affiliates. All other awards could be granted to employees, non-employee directors and consultants of Legacy SoundHound and its affiliates.</w:t>
      </w:r>
    </w:p>
    <w:p>
      <w:pPr>
        <w:spacing w:after="0" w:line="9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maximum number of shares of Legacy SoundHound common stock (now shares of our Class A Common Stock) that could be issued over the term of the 2016 Incentive Plan was 701,460 shares. As of December 31, 2021, stock options to purchase 4,575,809 shares of Legacy SoundHound’s common stock (now shares of our Class A Common Stock) with a weighted-average exercise price of $22.01 per share were outstanding under the 2016 Incentive Plan. As of December 31, 2021, there were no outstanding awards under the 2016 Incentive Plan other than these options.</w:t>
      </w:r>
    </w:p>
    <w:p>
      <w:pPr>
        <w:spacing w:after="0" w:line="10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2016 Incentive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 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10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Options. Legacy </w:t>
      </w:r>
      <w:r>
        <w:rPr>
          <w:rFonts w:ascii="Times New Roman" w:cs="Times New Roman" w:eastAsia="Times New Roman" w:hAnsi="Times New Roman"/>
          <w:sz w:val="17"/>
          <w:szCs w:val="17"/>
          <w:color w:val="auto"/>
        </w:rPr>
        <w:t>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2016 Incentive Plan. Each of the named executive officers has been granted a mix of ISOs and NSOs. See the “Outstanding Equity Awards at 2021 Fiscal Year End” table below for further information about the Company’s named executive officers’ outstanding options as of December 31, 2021.</w:t>
      </w:r>
    </w:p>
    <w:p>
      <w:pPr>
        <w:spacing w:after="0" w:line="9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2016 Incentive Plan were required to be at least 100% of the fair market value per share of Legacy SoundHound’s common stock on the grant date. Subject to the provisions of the 2016 Incentive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3"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RSUs. </w:t>
      </w:r>
      <w:r>
        <w:rPr>
          <w:rFonts w:ascii="Times New Roman" w:cs="Times New Roman" w:eastAsia="Times New Roman" w:hAnsi="Times New Roman"/>
          <w:sz w:val="17"/>
          <w:szCs w:val="17"/>
          <w:color w:val="auto"/>
        </w:rPr>
        <w:t>A restricted stock unit (“RSU”) is a right to receive a share of Legacy SoundHound’s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(now shares of our Class A Common Stock), at 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11"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the Company is party to a “corporate transaction” or “change in control” (as each is defined in the 2016 Incentive Plan), the administrator may take one or more of the following actions to provide for: (i) the continuation of the awards by the Company (if the Company is the surviving corporation),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7" w:name="page88"/>
    <w:bookmarkEnd w:id="8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hanging="5"/>
        <w:spacing w:after="0" w:line="264" w:lineRule="auto"/>
        <w:tabs>
          <w:tab w:leader="none" w:pos="87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or substitution of awards by the successor or surviving corporation, (iii) upon written notice, the termination of unexercised or unvested awards prior to the reorganization event, (iv) 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103" w:lineRule="exact"/>
        <w:rPr>
          <w:sz w:val="20"/>
          <w:szCs w:val="20"/>
          <w:color w:val="auto"/>
        </w:rPr>
      </w:pPr>
    </w:p>
    <w:p>
      <w:pPr>
        <w:jc w:val="both"/>
        <w:ind w:left="620" w:right="639" w:firstLine="415"/>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and then the Board, had the right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 modify, or terminate the 2016 Incentive Plan at any time, although such change could not materially impair a participant’s rights under an outstanding award without the participant’s written consent.</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2022 Equity Incentive Plan</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For a summary of the Company’s 2022 Equity Incentive Plan see </w:t>
      </w:r>
      <w:r>
        <w:rPr>
          <w:rFonts w:ascii="Times New Roman" w:cs="Times New Roman" w:eastAsia="Times New Roman" w:hAnsi="Times New Roman"/>
          <w:sz w:val="17"/>
          <w:szCs w:val="17"/>
          <w:i w:val="1"/>
          <w:iCs w:val="1"/>
          <w:color w:val="auto"/>
        </w:rPr>
        <w:t>Executive Compensation Arrangements</w:t>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 2022 Equity Incentive Plan </w:t>
      </w:r>
      <w:r>
        <w:rPr>
          <w:rFonts w:ascii="Times New Roman" w:cs="Times New Roman" w:eastAsia="Times New Roman" w:hAnsi="Times New Roman"/>
          <w:sz w:val="17"/>
          <w:szCs w:val="17"/>
          <w:color w:val="auto"/>
        </w:rPr>
        <w:t>elsewhere in this prospectus.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2022 Employee Stock Purchase Plan</w:t>
      </w:r>
    </w:p>
    <w:p>
      <w:pPr>
        <w:spacing w:after="0" w:line="142" w:lineRule="exact"/>
        <w:rPr>
          <w:sz w:val="20"/>
          <w:szCs w:val="20"/>
          <w:color w:val="auto"/>
        </w:rPr>
      </w:pPr>
    </w:p>
    <w:p>
      <w:pPr>
        <w:jc w:val="both"/>
        <w:ind w:left="620" w:right="639" w:firstLine="415"/>
        <w:spacing w:after="0" w:line="294" w:lineRule="auto"/>
        <w:rPr>
          <w:sz w:val="20"/>
          <w:szCs w:val="20"/>
          <w:color w:val="auto"/>
        </w:rPr>
      </w:pPr>
      <w:r>
        <w:rPr>
          <w:rFonts w:ascii="Times New Roman" w:cs="Times New Roman" w:eastAsia="Times New Roman" w:hAnsi="Times New Roman"/>
          <w:sz w:val="17"/>
          <w:szCs w:val="17"/>
          <w:color w:val="auto"/>
        </w:rPr>
        <w:t>For a summary of the Company’s 2022 Employee Stock Purchase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Arrangements — 2022 Employee Stock Purchase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Agreements with the Company’s Named Executive Officers as of December 31, 2021</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Our Chief Executive Officer was party to an employment Agreement with Legacy SoundHound and then SoundHound AI through June 2, 2022. Our Chief Financial Officer, Chief Technology Officer and Chief Revenue Officer were all parties to letter agreements with Legacy SoundHound and then SoundHound AI through June 2, 2022, provided that the letter agreement with Mr. Zubin Irani, our Chief Revenue Officer was not effective until January 5, 2022.</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New Employment Agreements with Named Executive</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Officers</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and Mr. Timothy Stonehocker, the Company’s Chief Technology Officer, which replaced and superseded all prior employment agreements with such named executive officers. In addition, the Board adopted and approved a Non-Employee Director Compensation Policy.</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Keyvan Mohajer, Chief Executive Officer</w:t>
      </w:r>
    </w:p>
    <w:p>
      <w:pPr>
        <w:spacing w:after="0" w:line="142" w:lineRule="exact"/>
        <w:rPr>
          <w:sz w:val="20"/>
          <w:szCs w:val="20"/>
          <w:color w:val="auto"/>
        </w:rPr>
      </w:pPr>
    </w:p>
    <w:p>
      <w:pPr>
        <w:jc w:val="both"/>
        <w:ind w:left="620" w:right="639" w:firstLine="415"/>
        <w:spacing w:after="0" w:line="263" w:lineRule="auto"/>
        <w:rPr>
          <w:sz w:val="20"/>
          <w:szCs w:val="20"/>
          <w:color w:val="auto"/>
        </w:rPr>
      </w:pPr>
      <w:r>
        <w:rPr>
          <w:rFonts w:ascii="Times New Roman" w:cs="Times New Roman" w:eastAsia="Times New Roman" w:hAnsi="Times New Roman"/>
          <w:sz w:val="17"/>
          <w:szCs w:val="17"/>
          <w:color w:val="auto"/>
        </w:rPr>
        <w:t>Under Dr. Mohajer’s employment agreement (the “June 2022 CEO Employment Agreement”), Dr. Mohajer receives a base salary of $450,000, effective retroactively as of May 1, 2022. In addition, Dr. Mohajer is eligible to earn an annual incentive bonus, with a target equal to 100%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31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Securities and Exchange Commission (“SEC”) on July 20, 2022 to register shares under the 2022 Incentive Award Plan. The RSUs have a 10-year term and 4-year vesting period, vesting in equal quarterly installments with vesting measured from the vesting commencement date of May 1, 2022, subject to continued employment with the Company through each vesting date.</w:t>
      </w:r>
    </w:p>
    <w:p>
      <w:pPr>
        <w:spacing w:after="0" w:line="11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Dr. Mohajer was also granted 480,000 RSUs that are subject to performance-based vesting (the “PSUs”) under the Incentive Award Plan, which grant became effective upon the filing of the Form S-8 with the SEC. The PSUs have a four-year performance period and are subject to the following vesting schedule: (i) 25% if the Company achieves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8" w:name="page89"/>
    <w:bookmarkEnd w:id="8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9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 addition, Dr. Mohajer is eligible to participate in the standard benefit plans offered to similarly situated employees by the Company from time to time.</w:t>
      </w:r>
    </w:p>
    <w:p>
      <w:pPr>
        <w:spacing w:after="0" w:line="8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June 2022 CEO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00"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Dr. Mohajer has also entered into the Company’s standard form of confidential information and inventions assignment agreement.</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Nitesh Sharan, Chief Financial Officer</w:t>
      </w:r>
    </w:p>
    <w:p>
      <w:pPr>
        <w:spacing w:after="0" w:line="15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Under Mr. Sharan’s employment agreement (the “June 2022 CFO Employment Agreement”), Mr. Sharan receives a base salary of $350,000, effective retroactively as of May 1, 2022. In addition, Mr. Sharan is eligible to earn an annual incentive bonus, with a target equal to 60%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June 2022 CFO Employment Agreement provides for a grant to Mr. Sharan of 300,000 RSUs under the 2022 Incentive Award Plan, which grant became effective upon the filing of the Form S-8 with the SEC. The RSUs have a 10-year term and 4-year vesting period vesting in equal quarterly installments with vesting measured from the vesting commencement date of September 15, 2021, subject to continued employment with the Company through each vesting date.</w:t>
      </w:r>
    </w:p>
    <w:p>
      <w:pPr>
        <w:spacing w:after="0" w:line="9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0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 addition, Mr. Sharan is eligible to participate in the standard benefit plans offered to similarly-situated employees by the Company from time to time.</w:t>
      </w:r>
    </w:p>
    <w:p>
      <w:pPr>
        <w:spacing w:after="0" w:line="8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2022 CFO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00"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Mr. Sharan has also entered into the Company’s standard form of confidential information and inventions assignment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9" w:name="page90"/>
    <w:bookmarkEnd w:id="8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Timothy Stonehocker, Chief Technology Officer</w:t>
      </w:r>
    </w:p>
    <w:p>
      <w:pPr>
        <w:spacing w:after="0" w:line="14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Under Mr. Stonehocker’s employment agreement (the “CTO Employment Agreement”), Mr. Stonehocker receives a base salary of $335,000, effective retroactively as of May 1, 2022. In addition, Mr. Stonehocker is eligible to earn an annual incentive bonus, with a target equal to 50%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0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CTO Employment Agreement provides for the grant to Mr. Stonehocker of 210,000 RSUs under the 2022 Incentive Award Plan, which grant became effective upon the filing of the Form S-8 with the SEC The RSUs have a 10-year term and 4-year vesting period vesting in equal quarterly installments with vesting measured from the vesting commencement date of May 1, 2022, subject to continued employment with the Company through each vesting date.</w:t>
      </w:r>
    </w:p>
    <w:p>
      <w:pPr>
        <w:spacing w:after="0" w:line="10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Mr. Stonehocker will also be granted 140,000 PSUs under the Incentive Award Plan, which grant will be made after a Form S-8 is on file with the SEC to register shares under the Incentive Award Plan. Once granted, the PSUs will have a four-year performance period and will be subject to the following vesting schedule:</w:t>
      </w:r>
    </w:p>
    <w:p>
      <w:pPr>
        <w:spacing w:after="0" w:line="1" w:lineRule="exact"/>
        <w:rPr>
          <w:sz w:val="20"/>
          <w:szCs w:val="20"/>
          <w:color w:val="auto"/>
        </w:rPr>
      </w:pPr>
    </w:p>
    <w:p>
      <w:pPr>
        <w:jc w:val="both"/>
        <w:ind w:left="620" w:right="639" w:hanging="5"/>
        <w:spacing w:after="0" w:line="262" w:lineRule="auto"/>
        <w:tabs>
          <w:tab w:leader="none" w:pos="85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93"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 addition, Mr. Stonehocker is eligible to participate in the standard benefit plans offered to similarly-situated employees by the Company from time to time.</w:t>
      </w:r>
    </w:p>
    <w:p>
      <w:pPr>
        <w:spacing w:after="0" w:line="82" w:lineRule="exact"/>
        <w:rPr>
          <w:sz w:val="20"/>
          <w:szCs w:val="20"/>
          <w:color w:val="auto"/>
        </w:rPr>
      </w:pPr>
    </w:p>
    <w:p>
      <w:pPr>
        <w:jc w:val="both"/>
        <w:ind w:left="620" w:right="639" w:firstLine="415"/>
        <w:spacing w:after="0" w:line="258" w:lineRule="auto"/>
        <w:rPr>
          <w:sz w:val="20"/>
          <w:szCs w:val="20"/>
          <w:color w:val="auto"/>
        </w:rPr>
      </w:pPr>
      <w:r>
        <w:rPr>
          <w:rFonts w:ascii="Times New Roman" w:cs="Times New Roman" w:eastAsia="Times New Roman" w:hAnsi="Times New Roman"/>
          <w:sz w:val="17"/>
          <w:szCs w:val="17"/>
          <w:color w:val="auto"/>
        </w:rPr>
        <w:t>The June 2022 CTO Employment Agreement provides for “at will employment,” and specifies certain compensation following termination of employment, including potential severance payments of three months of Mr. Stonehocker’s then current base salary and payment for three months of any COBRA premiums if Mr. Stonehocker’s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13"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Mr. Stonehocker’s has also entered into the Company’s standard form of confidential information and inventions assignment agreement.</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Agreement with Irani Zubin, Chief Revenue Officer</w:t>
      </w:r>
    </w:p>
    <w:p>
      <w:pPr>
        <w:spacing w:after="0" w:line="142"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The foregoing tables do not include information with respect to Mr. Zubin Irani, who commenced his service as Legacy SoundHound’s Chief Revenue Officer in January 2022, pursuant to the terms of an offer letter agreement dated September 14, 2021 (the “CRO Letter Agreement”). Under the CRO letter agreement, Mr. Irani receives a base salary of $300,000 per year, along with any standard benefit plans available to similarly-situated employees. Mr. Irani is eligible for an annual performance-based cash bonus of up to 100% of his annual base salary amount, which shall be linked to mutually agreed upon Company revenue goals and job performance.</w:t>
      </w:r>
    </w:p>
    <w:p>
      <w:pPr>
        <w:spacing w:after="0" w:line="31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In connection with his engagement, during the 2021 fiscal year, Mr. Irani received options to purchase 37,037 shares of Legacy SoundHound common stock, at an exercise price of $41.75 per share, pursuant to the 2016 Incentive Plan. As of December 21, 2021, the options had a fair value of $634,180 (calculated in accordance with Financial Accounting Standards Board ASC Topic 718).</w:t>
      </w:r>
    </w:p>
    <w:p>
      <w:pPr>
        <w:spacing w:after="0" w:line="102" w:lineRule="exact"/>
        <w:rPr>
          <w:sz w:val="20"/>
          <w:szCs w:val="20"/>
          <w:color w:val="auto"/>
        </w:rPr>
      </w:pPr>
    </w:p>
    <w:p>
      <w:pPr>
        <w:jc w:val="both"/>
        <w:ind w:left="620" w:right="639" w:firstLine="415"/>
        <w:spacing w:after="0" w:line="265" w:lineRule="auto"/>
        <w:rPr>
          <w:sz w:val="20"/>
          <w:szCs w:val="20"/>
          <w:color w:val="auto"/>
        </w:rPr>
      </w:pPr>
      <w:r>
        <w:rPr>
          <w:rFonts w:ascii="Times New Roman" w:cs="Times New Roman" w:eastAsia="Times New Roman" w:hAnsi="Times New Roman"/>
          <w:sz w:val="17"/>
          <w:szCs w:val="17"/>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were made pursuant to the SoundHound AI, Inc. 2022 Incentive Award Plan and were approved by the Board and awarded as of August 4, 2022.</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0" w:name="page91"/>
    <w:bookmarkEnd w:id="9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Options, RSUs, and PSUs have a four-year time-based vesting schedule, with 3/48th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0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PSUs are subject to additional GAAP revenue performance-based vesting conditions, with (a) 200,000 PSUs vesting, with respect to 50,000 PSUs each, upon the first achievement of (i) $30.0 million of GAAP revenue, (ii) $100.0 million or GAAP revenue exceeds the revenue target set by the Board for fiscal year 2023, (iii) $200.0 million or GAAP revenue exceeds the revenue target set by the Board for fiscal year 2024 and</w:t>
      </w:r>
    </w:p>
    <w:p>
      <w:pPr>
        <w:spacing w:after="0" w:line="1" w:lineRule="exact"/>
        <w:rPr>
          <w:sz w:val="20"/>
          <w:szCs w:val="20"/>
          <w:color w:val="auto"/>
        </w:rPr>
      </w:pPr>
    </w:p>
    <w:p>
      <w:pPr>
        <w:jc w:val="both"/>
        <w:ind w:left="620" w:right="619" w:hanging="5"/>
        <w:spacing w:after="0" w:line="258" w:lineRule="auto"/>
        <w:tabs>
          <w:tab w:leader="none" w:pos="92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 million or GAAP revenue exceeds the revenue target set by the Board for fiscal year 2025 in a trailing 12 months during the four-year PSU period; (b) 50,000 PSUs vesting upon the first achievement of the Class A Common Stock closing at a 90-day average closing price on the Nasdaq Capital Market of $15.00 or higher; and (c) 50,000 PSUs vesting upon the first achievement of the Class A Common Stock closing at a 90-day average closing price on the Nasdaq Capital Market of $20.00 or higher.</w:t>
      </w:r>
    </w:p>
    <w:p>
      <w:pPr>
        <w:spacing w:after="0" w:line="111"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If Mr. Irani’s employment is terminated without cause or due to a constructive termination (in each, as defined in the CRO Letter Agreement), he is entitled to continued payment of his then current base salary for six months.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1" w:name="page92"/>
    <w:bookmarkEnd w:id="9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OUTSTANDING EQUITY AWARDS AT 2021 FISCAL YEAR END</w:t>
      </w:r>
    </w:p>
    <w:p>
      <w:pPr>
        <w:spacing w:after="0" w:line="144"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the Company’s Named Executive Officers as of December 31, 2021.</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9"/>
                <w:szCs w:val="9"/>
                <w:color w:val="auto"/>
              </w:rPr>
            </w:pPr>
          </w:p>
        </w:tc>
        <w:tc>
          <w:tcPr>
            <w:tcW w:w="1000" w:type="dxa"/>
            <w:vAlign w:val="bottom"/>
            <w:gridSpan w:val="3"/>
          </w:tcPr>
          <w:p>
            <w:pPr>
              <w:jc w:val="center"/>
              <w:ind w:right="194"/>
              <w:spacing w:after="0" w:line="111"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14"/>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Pr>
          <w:p>
            <w:pPr>
              <w:spacing w:after="0"/>
              <w:rPr>
                <w:sz w:val="12"/>
                <w:szCs w:val="12"/>
                <w:color w:val="auto"/>
              </w:rPr>
            </w:pPr>
          </w:p>
        </w:tc>
        <w:tc>
          <w:tcPr>
            <w:tcW w:w="1000" w:type="dxa"/>
            <w:vAlign w:val="bottom"/>
            <w:gridSpan w:val="3"/>
          </w:tcPr>
          <w:p>
            <w:pPr>
              <w:jc w:val="center"/>
              <w:ind w:right="214"/>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tcPr>
          <w:p>
            <w:pPr>
              <w:ind w:left="100"/>
              <w:spacing w:after="0" w:line="143"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80" w:type="dxa"/>
            <w:vAlign w:val="bottom"/>
          </w:tcPr>
          <w:p>
            <w:pPr>
              <w:spacing w:after="0"/>
              <w:rPr>
                <w:sz w:val="12"/>
                <w:szCs w:val="12"/>
                <w:color w:val="auto"/>
              </w:rPr>
            </w:pPr>
          </w:p>
        </w:tc>
        <w:tc>
          <w:tcPr>
            <w:tcW w:w="1000" w:type="dxa"/>
            <w:vAlign w:val="bottom"/>
            <w:gridSpan w:val="3"/>
          </w:tcPr>
          <w:p>
            <w:pPr>
              <w:jc w:val="center"/>
              <w:ind w:right="194"/>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tcPr>
          <w:p>
            <w:pPr>
              <w:ind w:left="100"/>
              <w:spacing w:after="0" w:line="143"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2"/>
                <w:szCs w:val="12"/>
                <w:color w:val="auto"/>
              </w:rPr>
            </w:pPr>
          </w:p>
        </w:tc>
        <w:tc>
          <w:tcPr>
            <w:tcW w:w="1000" w:type="dxa"/>
            <w:vAlign w:val="bottom"/>
            <w:gridSpan w:val="3"/>
          </w:tcPr>
          <w:p>
            <w:pPr>
              <w:jc w:val="center"/>
              <w:ind w:right="214"/>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720" w:type="dxa"/>
            <w:vAlign w:val="bottom"/>
            <w:gridSpan w:val="2"/>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2"/>
                <w:szCs w:val="12"/>
                <w:color w:val="auto"/>
              </w:rPr>
            </w:pPr>
          </w:p>
        </w:tc>
        <w:tc>
          <w:tcPr>
            <w:tcW w:w="76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2"/>
                <w:szCs w:val="12"/>
                <w:color w:val="auto"/>
              </w:rPr>
            </w:pPr>
          </w:p>
        </w:tc>
        <w:tc>
          <w:tcPr>
            <w:tcW w:w="720" w:type="dxa"/>
            <w:vAlign w:val="bottom"/>
          </w:tcPr>
          <w:p>
            <w:pPr>
              <w:jc w:val="center"/>
              <w:ind w:right="2"/>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0" w:type="dxa"/>
            <w:vAlign w:val="bottom"/>
          </w:tcPr>
          <w:p>
            <w:pPr>
              <w:spacing w:after="0"/>
              <w:rPr>
                <w:sz w:val="12"/>
                <w:szCs w:val="12"/>
                <w:color w:val="auto"/>
              </w:rPr>
            </w:pPr>
          </w:p>
        </w:tc>
        <w:tc>
          <w:tcPr>
            <w:tcW w:w="1000" w:type="dxa"/>
            <w:vAlign w:val="bottom"/>
            <w:gridSpan w:val="3"/>
          </w:tcPr>
          <w:p>
            <w:pPr>
              <w:jc w:val="center"/>
              <w:ind w:right="194"/>
              <w:spacing w:after="0" w:line="143"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2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9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80" w:type="dxa"/>
            <w:vAlign w:val="bottom"/>
            <w:gridSpan w:val="4"/>
          </w:tcPr>
          <w:p>
            <w:pPr>
              <w:jc w:val="right"/>
              <w:ind w:right="174"/>
              <w:spacing w:after="0" w:line="143"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72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8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5"/>
                <w:szCs w:val="15"/>
                <w:color w:val="auto"/>
              </w:rPr>
            </w:pPr>
          </w:p>
        </w:tc>
        <w:tc>
          <w:tcPr>
            <w:tcW w:w="760" w:type="dxa"/>
            <w:vAlign w:val="bottom"/>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82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
        </w:trPr>
        <w:tc>
          <w:tcPr>
            <w:tcW w:w="20" w:type="dxa"/>
            <w:vAlign w:val="bottom"/>
            <w:vMerge w:val="continue"/>
          </w:tcPr>
          <w:p>
            <w:pPr>
              <w:spacing w:after="0" w:line="20" w:lineRule="exact"/>
              <w:rPr>
                <w:sz w:val="1"/>
                <w:szCs w:val="1"/>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Dr. Keyvan Mohajer, CEO</w:t>
            </w:r>
          </w:p>
        </w:tc>
        <w:tc>
          <w:tcPr>
            <w:tcW w:w="70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
                <w:szCs w:val="1"/>
                <w:color w:val="auto"/>
              </w:rPr>
              <w:t>03/28/2017</w:t>
            </w: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ind w:left="540"/>
              <w:spacing w:after="0"/>
              <w:rPr>
                <w:sz w:val="20"/>
                <w:szCs w:val="20"/>
                <w:color w:val="auto"/>
              </w:rPr>
            </w:pPr>
            <w:r>
              <w:rPr>
                <w:rFonts w:ascii="Times New Roman" w:cs="Times New Roman" w:eastAsia="Times New Roman" w:hAnsi="Times New Roman"/>
                <w:sz w:val="1"/>
                <w:szCs w:val="1"/>
                <w:color w:val="auto"/>
              </w:rPr>
              <w:t>​</w:t>
            </w: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jc w:val="right"/>
              <w:ind w:right="82"/>
              <w:spacing w:after="0"/>
              <w:rPr>
                <w:sz w:val="20"/>
                <w:szCs w:val="20"/>
                <w:color w:val="auto"/>
              </w:rPr>
            </w:pPr>
            <w:r>
              <w:rPr>
                <w:rFonts w:ascii="Times New Roman" w:cs="Times New Roman" w:eastAsia="Times New Roman" w:hAnsi="Times New Roman"/>
                <w:sz w:val="1"/>
                <w:szCs w:val="1"/>
                <w:color w:val="auto"/>
              </w:rPr>
              <w:t>150,000</w:t>
            </w: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jc w:val="right"/>
              <w:ind w:right="14"/>
              <w:spacing w:after="0"/>
              <w:rPr>
                <w:sz w:val="20"/>
                <w:szCs w:val="20"/>
                <w:color w:val="auto"/>
              </w:rPr>
            </w:pPr>
            <w:r>
              <w:rPr>
                <w:rFonts w:ascii="Times New Roman" w:cs="Times New Roman" w:eastAsia="Times New Roman" w:hAnsi="Times New Roman"/>
                <w:sz w:val="1"/>
                <w:szCs w:val="1"/>
                <w:color w:val="auto"/>
              </w:rPr>
              <w:t>$</w:t>
            </w:r>
          </w:p>
        </w:tc>
        <w:tc>
          <w:tcPr>
            <w:tcW w:w="6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
                <w:szCs w:val="1"/>
                <w:color w:val="auto"/>
              </w:rPr>
              <w:t>12.10</w:t>
            </w: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
                <w:szCs w:val="1"/>
                <w:color w:val="auto"/>
              </w:rPr>
              <w:t>03/28/2027</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Nitesh Sharan, CFO</w:t>
            </w:r>
          </w:p>
        </w:tc>
        <w:tc>
          <w:tcPr>
            <w:tcW w:w="7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09/27/2021</w:t>
            </w:r>
          </w:p>
        </w:tc>
        <w:tc>
          <w:tcPr>
            <w:tcW w:w="840" w:type="dxa"/>
            <w:vAlign w:val="bottom"/>
            <w:gridSpan w:val="2"/>
            <w:shd w:val="clear" w:color="auto" w:fill="CCEEFF"/>
          </w:tcPr>
          <w:p>
            <w:pPr>
              <w:jc w:val="right"/>
              <w:ind w:right="27"/>
              <w:spacing w:after="0" w:line="138" w:lineRule="exact"/>
              <w:rPr>
                <w:sz w:val="20"/>
                <w:szCs w:val="20"/>
                <w:color w:val="auto"/>
              </w:rPr>
            </w:pPr>
            <w:r>
              <w:rPr>
                <w:rFonts w:ascii="Times New Roman" w:cs="Times New Roman" w:eastAsia="Times New Roman" w:hAnsi="Times New Roman"/>
                <w:sz w:val="9"/>
                <w:szCs w:val="9"/>
                <w:color w:val="auto"/>
              </w:rPr>
              <w:t>09/15/2021</w:t>
            </w:r>
            <w:r>
              <w:rPr>
                <w:rFonts w:ascii="Times New Roman" w:cs="Times New Roman" w:eastAsia="Times New Roman" w:hAnsi="Times New Roman"/>
                <w:sz w:val="15"/>
                <w:szCs w:val="15"/>
                <w:color w:val="auto"/>
                <w:vertAlign w:val="subscript"/>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55,555</w:t>
            </w:r>
          </w:p>
        </w:tc>
        <w:tc>
          <w:tcPr>
            <w:tcW w:w="1080" w:type="dxa"/>
            <w:vAlign w:val="bottom"/>
            <w:gridSpan w:val="4"/>
            <w:shd w:val="clear" w:color="auto" w:fill="CCEEFF"/>
          </w:tcPr>
          <w:p>
            <w:pPr>
              <w:jc w:val="right"/>
              <w:ind w:right="14"/>
              <w:spacing w:after="0" w:line="13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41.75</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09/27/2031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1"/>
                <w:szCs w:val="11"/>
                <w:color w:val="auto"/>
              </w:rPr>
            </w:pPr>
          </w:p>
        </w:tc>
        <w:tc>
          <w:tcPr>
            <w:tcW w:w="720" w:type="dxa"/>
            <w:vAlign w:val="bottom"/>
            <w:vMerge w:val="restart"/>
          </w:tcPr>
          <w:p>
            <w:pPr>
              <w:jc w:val="right"/>
              <w:ind w:right="42"/>
              <w:spacing w:after="0" w:line="272" w:lineRule="exact"/>
              <w:rPr>
                <w:sz w:val="20"/>
                <w:szCs w:val="20"/>
                <w:color w:val="auto"/>
              </w:rPr>
            </w:pPr>
            <w:r>
              <w:rPr>
                <w:rFonts w:ascii="Times New Roman" w:cs="Times New Roman" w:eastAsia="Times New Roman" w:hAnsi="Times New Roman"/>
                <w:sz w:val="13"/>
                <w:szCs w:val="13"/>
                <w:color w:val="auto"/>
              </w:rPr>
              <w:t>40,000</w:t>
            </w:r>
            <w:r>
              <w:rPr>
                <w:rFonts w:ascii="Times New Roman" w:cs="Times New Roman" w:eastAsia="Times New Roman" w:hAnsi="Times New Roman"/>
                <w:sz w:val="31"/>
                <w:szCs w:val="31"/>
                <w:color w:val="auto"/>
                <w:vertAlign w:val="subscript"/>
              </w:rPr>
              <w:t>​</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90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Timothy Stonehocker, CTO</w:t>
            </w: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05/19/2015</w:t>
            </w:r>
          </w:p>
        </w:tc>
        <w:tc>
          <w:tcPr>
            <w:tcW w:w="80" w:type="dxa"/>
            <w:vAlign w:val="bottom"/>
          </w:tcPr>
          <w:p>
            <w:pPr>
              <w:spacing w:after="0"/>
              <w:rPr>
                <w:sz w:val="11"/>
                <w:szCs w:val="11"/>
                <w:color w:val="auto"/>
              </w:rPr>
            </w:pPr>
          </w:p>
        </w:tc>
        <w:tc>
          <w:tcPr>
            <w:tcW w:w="760" w:type="dxa"/>
            <w:vAlign w:val="bottom"/>
          </w:tcPr>
          <w:p>
            <w:pPr>
              <w:ind w:left="540"/>
              <w:spacing w:after="0" w:line="13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4"/>
          </w:tcPr>
          <w:p>
            <w:pPr>
              <w:jc w:val="right"/>
              <w:ind w:right="14"/>
              <w:spacing w:after="0" w:line="13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05/19/2025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12/15/2016</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27"/>
              <w:spacing w:after="0" w:line="138" w:lineRule="exact"/>
              <w:rPr>
                <w:sz w:val="20"/>
                <w:szCs w:val="20"/>
                <w:color w:val="auto"/>
              </w:rPr>
            </w:pPr>
            <w:r>
              <w:rPr>
                <w:rFonts w:ascii="Times New Roman" w:cs="Times New Roman" w:eastAsia="Times New Roman" w:hAnsi="Times New Roman"/>
                <w:sz w:val="9"/>
                <w:szCs w:val="9"/>
                <w:color w:val="auto"/>
              </w:rPr>
              <w:t>11/01/2016</w:t>
            </w:r>
            <w:r>
              <w:rPr>
                <w:rFonts w:ascii="Times New Roman" w:cs="Times New Roman" w:eastAsia="Times New Roman" w:hAnsi="Times New Roman"/>
                <w:sz w:val="15"/>
                <w:szCs w:val="15"/>
                <w:color w:val="auto"/>
                <w:vertAlign w:val="subscript"/>
              </w:rPr>
              <w:t>​</w:t>
            </w:r>
          </w:p>
        </w:tc>
        <w:tc>
          <w:tcPr>
            <w:tcW w:w="820" w:type="dxa"/>
            <w:vAlign w:val="bottom"/>
            <w:gridSpan w:val="2"/>
            <w:shd w:val="clear" w:color="auto" w:fill="CCEEFF"/>
          </w:tcPr>
          <w:p>
            <w:pPr>
              <w:jc w:val="right"/>
              <w:ind w:right="82"/>
              <w:spacing w:after="0" w:line="138" w:lineRule="exact"/>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80" w:type="dxa"/>
            <w:vAlign w:val="bottom"/>
            <w:gridSpan w:val="4"/>
            <w:shd w:val="clear" w:color="auto" w:fill="CCEEFF"/>
          </w:tcPr>
          <w:p>
            <w:pPr>
              <w:jc w:val="right"/>
              <w:ind w:right="14"/>
              <w:spacing w:after="0" w:line="13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12.10</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12/15/2026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08/15/2019</w:t>
            </w:r>
          </w:p>
        </w:tc>
        <w:tc>
          <w:tcPr>
            <w:tcW w:w="840" w:type="dxa"/>
            <w:vAlign w:val="bottom"/>
            <w:gridSpan w:val="2"/>
          </w:tcPr>
          <w:p>
            <w:pPr>
              <w:jc w:val="right"/>
              <w:ind w:right="27"/>
              <w:spacing w:after="0" w:line="138" w:lineRule="exact"/>
              <w:rPr>
                <w:sz w:val="20"/>
                <w:szCs w:val="20"/>
                <w:color w:val="auto"/>
              </w:rPr>
            </w:pPr>
            <w:r>
              <w:rPr>
                <w:rFonts w:ascii="Times New Roman" w:cs="Times New Roman" w:eastAsia="Times New Roman" w:hAnsi="Times New Roman"/>
                <w:sz w:val="9"/>
                <w:szCs w:val="9"/>
                <w:color w:val="auto"/>
              </w:rPr>
              <w:t>01/08/2019</w:t>
            </w:r>
            <w:r>
              <w:rPr>
                <w:rFonts w:ascii="Times New Roman" w:cs="Times New Roman" w:eastAsia="Times New Roman" w:hAnsi="Times New Roman"/>
                <w:sz w:val="15"/>
                <w:szCs w:val="15"/>
                <w:color w:val="auto"/>
                <w:vertAlign w:val="subscript"/>
              </w:rPr>
              <w:t>​</w:t>
            </w:r>
          </w:p>
        </w:tc>
        <w:tc>
          <w:tcPr>
            <w:tcW w:w="820" w:type="dxa"/>
            <w:vAlign w:val="bottom"/>
            <w:gridSpan w:val="2"/>
          </w:tcPr>
          <w:p>
            <w:pPr>
              <w:jc w:val="right"/>
              <w:ind w:right="82"/>
              <w:spacing w:after="0" w:line="138" w:lineRule="exact"/>
              <w:rPr>
                <w:sz w:val="20"/>
                <w:szCs w:val="20"/>
                <w:color w:val="auto"/>
              </w:rPr>
            </w:pPr>
            <w:r>
              <w:rPr>
                <w:rFonts w:ascii="Times New Roman" w:cs="Times New Roman" w:eastAsia="Times New Roman" w:hAnsi="Times New Roman"/>
                <w:sz w:val="14"/>
                <w:szCs w:val="14"/>
                <w:color w:val="auto"/>
              </w:rPr>
              <w:t>16,250</w:t>
            </w:r>
          </w:p>
        </w:tc>
        <w:tc>
          <w:tcPr>
            <w:tcW w:w="9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13,750</w:t>
            </w:r>
          </w:p>
        </w:tc>
        <w:tc>
          <w:tcPr>
            <w:tcW w:w="1080" w:type="dxa"/>
            <w:vAlign w:val="bottom"/>
            <w:gridSpan w:val="4"/>
          </w:tcPr>
          <w:p>
            <w:pPr>
              <w:jc w:val="right"/>
              <w:ind w:right="14"/>
              <w:spacing w:after="0" w:line="13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16.10</w:t>
            </w:r>
          </w:p>
        </w:tc>
        <w:tc>
          <w:tcPr>
            <w:tcW w:w="10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08/15/2029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____________</w:t>
      </w:r>
    </w:p>
    <w:p>
      <w:pPr>
        <w:spacing w:after="0" w:line="88" w:lineRule="exact"/>
        <w:rPr>
          <w:sz w:val="20"/>
          <w:szCs w:val="20"/>
          <w:color w:val="auto"/>
        </w:rPr>
      </w:pPr>
    </w:p>
    <w:p>
      <w:pPr>
        <w:ind w:left="1020" w:hanging="405"/>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was fully vested from the grant date.</w:t>
      </w:r>
    </w:p>
    <w:p>
      <w:pPr>
        <w:spacing w:after="0" w:line="18" w:lineRule="exact"/>
        <w:rPr>
          <w:rFonts w:ascii="Times New Roman" w:cs="Times New Roman" w:eastAsia="Times New Roman" w:hAnsi="Times New Roman"/>
          <w:sz w:val="16"/>
          <w:szCs w:val="16"/>
          <w:color w:val="auto"/>
        </w:rPr>
      </w:pPr>
    </w:p>
    <w:p>
      <w:pPr>
        <w:ind w:left="1020" w:right="619" w:hanging="405"/>
        <w:spacing w:after="0" w:line="244"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25% of the award vesting 12 months after Vesting Start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thereafter.</w:t>
      </w:r>
    </w:p>
    <w:p>
      <w:pPr>
        <w:spacing w:after="0" w:line="1" w:lineRule="exact"/>
        <w:rPr>
          <w:rFonts w:ascii="Times New Roman" w:cs="Times New Roman" w:eastAsia="Times New Roman" w:hAnsi="Times New Roman"/>
          <w:sz w:val="16"/>
          <w:szCs w:val="16"/>
          <w:color w:val="auto"/>
        </w:rPr>
      </w:pPr>
    </w:p>
    <w:p>
      <w:pPr>
        <w:ind w:left="1020" w:right="639" w:hanging="405"/>
        <w:spacing w:after="0" w:line="247"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May 19, 2015, option grant made to Mr. Stonehocker was under the 2006 Stock Plan. All other awards described in this chart were made under the 2016 Incentive Plan.</w:t>
      </w:r>
    </w:p>
    <w:p>
      <w:pPr>
        <w:ind w:left="1020" w:right="639" w:hanging="405"/>
        <w:spacing w:after="0" w:line="238"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month following Vesting Start Date.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2" w:name="page93"/>
    <w:bookmarkEnd w:id="9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No directors received compensation for their service on ATSP’s board of directors in 2021.</w:t>
      </w:r>
    </w:p>
    <w:p>
      <w:pPr>
        <w:spacing w:after="0" w:line="155" w:lineRule="exact"/>
        <w:rPr>
          <w:sz w:val="20"/>
          <w:szCs w:val="20"/>
          <w:color w:val="auto"/>
        </w:rPr>
      </w:pPr>
    </w:p>
    <w:p>
      <w:pPr>
        <w:ind w:left="620" w:right="639" w:firstLine="415"/>
        <w:spacing w:after="0" w:line="266" w:lineRule="auto"/>
        <w:rPr>
          <w:sz w:val="20"/>
          <w:szCs w:val="20"/>
          <w:color w:val="auto"/>
        </w:rPr>
      </w:pPr>
      <w:r>
        <w:rPr>
          <w:rFonts w:ascii="Times New Roman" w:cs="Times New Roman" w:eastAsia="Times New Roman" w:hAnsi="Times New Roman"/>
          <w:sz w:val="17"/>
          <w:szCs w:val="17"/>
          <w:color w:val="auto"/>
        </w:rPr>
        <w:t>On June 2, 2022, our Board of Directors adopted and approved a director compensation policy, which provides to each of the non-employee directors (i) an annual retainer of $32,000, payable quarterly</w:t>
      </w:r>
    </w:p>
    <w:p>
      <w:pPr>
        <w:jc w:val="both"/>
        <w:ind w:left="620" w:right="619" w:hanging="5"/>
        <w:spacing w:after="0" w:line="255" w:lineRule="auto"/>
        <w:tabs>
          <w:tab w:leader="none" w:pos="87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annual cash retainers, payable quarterly, for committee service as follows: (A) Chair of the Audit Committee: $20,000; (B) member of the Audit Committee: $10,000; (C) Chair of the Compensation Committee: $14,500; (D) 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 Notwithstanding the foregoing, no equity grants shall be made until a Form S-8 is on file with the SEC to register shares under the Incentive Award Plan.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3" w:name="page94"/>
    <w:bookmarkEnd w:id="9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EXECUTIVE COMPENSATION ARRANGEMENTS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2022 Incentive Award Plan</w:t>
      </w:r>
    </w:p>
    <w:p>
      <w:pPr>
        <w:spacing w:after="0" w:line="14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SoundHound AI, Inc. 2022 Incentive Award Plan (the “2022 Incentive Award Plan”), in order to facilitate the grant of equity awards to attract, retain and incentivize employees (including the named executive officers), independent contractors and directors of the Company and its affiliates, which is essential to the Company’s long term success.</w:t>
      </w:r>
    </w:p>
    <w:p>
      <w:pPr>
        <w:spacing w:after="0" w:line="10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purpose of the 2022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Summary of the 2022 Incentive Award Plan</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This section summarizes certain principal features of the 2022 Incentive Award Plan.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Board adopted, and stockholders approved, the 2022 Incentive Award Plan. The Company is authorized to grant equity awards to eligible service providers following consummation of the Business Combination (the “Business Combination Date”).</w:t>
      </w:r>
    </w:p>
    <w:p>
      <w:pPr>
        <w:spacing w:after="0" w:line="98" w:lineRule="exact"/>
        <w:rPr>
          <w:sz w:val="20"/>
          <w:szCs w:val="20"/>
          <w:color w:val="auto"/>
        </w:rPr>
      </w:pPr>
    </w:p>
    <w:p>
      <w:pPr>
        <w:ind w:left="1420" w:hanging="391"/>
        <w:spacing w:after="0"/>
        <w:tabs>
          <w:tab w:leader="none" w:pos="14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 of the 2022 Incentive Award Plan Proposal</w:t>
      </w:r>
    </w:p>
    <w:p>
      <w:pPr>
        <w:spacing w:after="0" w:line="15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purpose of the 2022 Incentive Award Plan is to promote the long-term success of the Company and the creation of shareholder value by encouraging service providers to focus on critical long-range corporate objectives and linking service providers directly to shareholder interests through increased stock ownership. The Company believes that the 2022 Incentive Award Plan will be important in helping to attract and retain service providers of the Company with exceptional qualifications.</w:t>
      </w:r>
    </w:p>
    <w:p>
      <w:pPr>
        <w:spacing w:after="0" w:line="92" w:lineRule="exact"/>
        <w:rPr>
          <w:sz w:val="20"/>
          <w:szCs w:val="20"/>
          <w:color w:val="auto"/>
        </w:rPr>
      </w:pPr>
    </w:p>
    <w:p>
      <w:pPr>
        <w:ind w:left="1440" w:hanging="411"/>
        <w:spacing w:after="0"/>
        <w:tabs>
          <w:tab w:leader="none" w:pos="14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2022 Incentive Award Plan Proposal</w:t>
      </w:r>
    </w:p>
    <w:p>
      <w:pPr>
        <w:spacing w:after="0" w:line="155"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Shareholder approval of the 2022 Incentive Award Plan is necessary in order for the Company to (a) meet the shareholder approval requirements of the Nasdaq and (b) grant incentive stock options (“ISOs”). Shareholders are also being asked to approve an annual limitation on 2022 Incentive Award Plan awards granted to non-employee directors as part of their compensation for their services as directors.</w:t>
      </w:r>
    </w:p>
    <w:p>
      <w:pPr>
        <w:spacing w:after="0" w:line="102" w:lineRule="exact"/>
        <w:rPr>
          <w:sz w:val="20"/>
          <w:szCs w:val="20"/>
          <w:color w:val="auto"/>
        </w:rPr>
      </w:pPr>
    </w:p>
    <w:p>
      <w:pPr>
        <w:ind w:left="1420" w:hanging="391"/>
        <w:spacing w:after="0"/>
        <w:tabs>
          <w:tab w:leader="none" w:pos="14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Terms of the Incentive Award Plan</w:t>
      </w:r>
    </w:p>
    <w:p>
      <w:pPr>
        <w:spacing w:after="0" w:line="142"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material terms of the 2022 Incentive Award Plan are summarized below. This summary, however, is not intended to be a complete description of the 2022 Incentive Award Plan and is qualified in its entirety by reference to the complete text of the 2022 Incentive Award Plan. To the extent there is a conflict between the terms of this summary and the 2022 Incentive Award Plan, the terms of the 2022 Incentive Award Plan will control.</w:t>
      </w:r>
    </w:p>
    <w:p>
      <w:pPr>
        <w:spacing w:after="0" w:line="10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2022 Incentive Award Plan is administered by the Company’s Board or by one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more committees to which the Board delegates such administration (as applicable, the “2022 Incentive Award Plan Administrator”). Subject to the terms of the 2022 Incentive Award Plan, the 2022 Incentive Award Plan Administrator has the authority to (a) determine the eligible individuals who are to receive awards under the 2022 Incentive Award Plan, (b) determine the terms and conditions of awards granted under the 2022 Incentive Award Plan, (c) determine performance criteria and the achievement of such criteria, (d) accelerate the vesting or exercisability of, payment for or lapse of restrictions on, awards and (e) make all other decisions related to the 2022 Incentive Award Plan and awards granted thereunder. The 2022 Incentive Award Plan Administrator may also delegate to one or more senior officers of the Company the authority to grant awards, subject to terms and conditions determined by the 2022 Incentive Award Plan Administrator and within the limitations of Section 16 of the Exchange Act.</w:t>
      </w:r>
    </w:p>
    <w:p>
      <w:pPr>
        <w:spacing w:after="0" w:line="113"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The 2022 Incentive Award Plan provides for the grant of stock options, which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or nonstatutory stock options (“NSOs”), stock appreciation rights (“SARs”), restricted shares, restricted stock units (“RSUs”) and other stock or cash-based awards that the 2022 Incentive Award Plan Administrator determines are consistent with the purpose of the Incentive Award Plan and the interests of the Company, or collectively, awards.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4" w:name="page95"/>
    <w:bookmarkEnd w:id="9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3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Share Reserve. </w:t>
      </w:r>
      <w:r>
        <w:rPr>
          <w:rFonts w:ascii="Times New Roman" w:cs="Times New Roman" w:eastAsia="Times New Roman" w:hAnsi="Times New Roman"/>
          <w:sz w:val="17"/>
          <w:szCs w:val="17"/>
          <w:color w:val="auto"/>
        </w:rPr>
        <w:t>The number of shares of the Company’s Class A Common Stock that may be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Incentive Award Plan is equal to the sum of (x) 19,650,371 shares plus (y) the annual increase in shares described below. The Company may issue up to 19,650,371 shares of Class A Common Stock the exercise of ISOs under the 2022 Incentive Award Plan. On the first day of each calendar year during the term of the 2022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Company’s Class A Common Stock issued and outstanding shares on December 31 of the calendar year immediately preceding the date of such increase and (b) a number of shares of the Company’s Class A Common Stock determined by the Company’s Board.</w:t>
      </w:r>
    </w:p>
    <w:p>
      <w:pPr>
        <w:spacing w:after="0" w:line="32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If options, stock appreciation rights, restricted stock units or any other awards are forfeited, cancelled or expire before being exercised or settled in full, the shares subject to such awards will again be available for issuance under the 2022 Incentive Award Plan. If stock appreciation rights are exercised or restricted stock units are settled, only the number of shares actually issued upon exercise or settlement of such awards will reduce the number of shares available under the 2022 Incentive Award Plan. If restricted shares or shares issued upon exercise of an option are reacquired by the Company pursuant to a forfeiture provision, repurchase right or for any other reason, then such shares will again be available for issuance under the 2022 Incentive Award Plan. Shares applied to pay the exercise price of an option or satisfy withholding taxes related to any award will again become available for issuance under the 2022 Incentive Award Plan. To the extent an award is settled in cash, the cash settlement will not reduce the number of shares available for issuance under the 2022 Incentive Award Plan.</w:t>
      </w:r>
    </w:p>
    <w:p>
      <w:pPr>
        <w:spacing w:after="0" w:line="323"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Shares issued under the 2022 Incentive Award Plan may be authorized but unissued shares or treasury shares. As of October 19, 2022, there were awards for an aggregate of 13,827,490 shares of Class A Common Stock granted under the 2022 Incentive Award Plan.</w:t>
      </w:r>
    </w:p>
    <w:p>
      <w:pPr>
        <w:spacing w:after="0" w:line="83"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Annual Limitation on Compensation of Non-Employee Directors. </w:t>
      </w:r>
      <w:r>
        <w:rPr>
          <w:rFonts w:ascii="Times New Roman" w:cs="Times New Roman" w:eastAsia="Times New Roman" w:hAnsi="Times New Roman"/>
          <w:sz w:val="17"/>
          <w:szCs w:val="17"/>
          <w:color w:val="auto"/>
        </w:rPr>
        <w:t>The grant date fair value of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to each non-employee director during any fiscal year of the Company may not exceed $500,000 (on a per-director basis). This limit is increased to $750,000 in the fiscal year a non-employee director is initially appointed or elected to the Company’s Board. The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08"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Employees (including officers), non-employee directors and consultants who render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Company or a parent thereof (whether now existing or subsequently established) are eligible to receive awards under the 2022 Incentive Award Plan. ISOs may only be granted to employees of the Company or a parent or subsidiary thereof (whether now existing or subsequently established). As of September 30, 2022, 473 employees, including seven executive officers (two of whom are employee directors), three non-employee directors, and two consultants are eligible to participate in the 2022 Incentive Award Plan.</w:t>
      </w:r>
    </w:p>
    <w:p>
      <w:pPr>
        <w:spacing w:after="0" w:line="10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The 2022 Incentive Award Plan Administrator has the authority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 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2022 Incentive Award Plan. Any shares issued in satisfaction of awards granted under a sub-plan will come from the 2022 Incentive Award Plan share reserve.</w:t>
      </w:r>
    </w:p>
    <w:p>
      <w:pPr>
        <w:spacing w:after="0" w:line="9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Repricing. </w:t>
      </w:r>
      <w:r>
        <w:rPr>
          <w:rFonts w:ascii="Times New Roman" w:cs="Times New Roman" w:eastAsia="Times New Roman" w:hAnsi="Times New Roman"/>
          <w:sz w:val="17"/>
          <w:szCs w:val="17"/>
          <w:color w:val="auto"/>
        </w:rPr>
        <w:t>The 2022 Incentive Award Plan Administrator has full authority to reprice (reduce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price of) options and stock appreciation rights or to approve programs in which options and stock appreciation rights are exchanged for cash or other equity awards on terms the 2022 Incentive Award Plan Administrator determines.</w:t>
      </w:r>
    </w:p>
    <w:p>
      <w:pPr>
        <w:spacing w:after="0" w:line="10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A stock option is the right to purchase a certain number of shares of Class A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at a fixed exercise price which, pursuant to the 2022 Incentive Award Plan, may not be less than 100% of the fair market value of the Company’s Class A Common Stock on the date of grant. Subject to limited exceptions, an option may have a term of up to 10 years and will generally expire sooner if the optionee’s service terminates. Options will vest at the rate determined by the 2022 Incentive Award Plan Administrator. An optionee may pay the exercise price of an option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5" w:name="page96"/>
    <w:bookmarkEnd w:id="9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73" w:lineRule="auto"/>
        <w:rPr>
          <w:sz w:val="20"/>
          <w:szCs w:val="20"/>
          <w:color w:val="auto"/>
        </w:rPr>
      </w:pPr>
      <w:r>
        <w:rPr>
          <w:rFonts w:ascii="Times New Roman" w:cs="Times New Roman" w:eastAsia="Times New Roman" w:hAnsi="Times New Roman"/>
          <w:sz w:val="17"/>
          <w:szCs w:val="17"/>
          <w:color w:val="auto"/>
        </w:rPr>
        <w:t>in cash, or, with the consent of the 2022 Incentive Award Plan Administrator, with shares of Class A Common Stock the optionee already owns, with proceeds from an immediate sale of the option shares through a broker approved by us, through a net exercise procedure or by any other method permitted by applicable law.</w:t>
      </w:r>
    </w:p>
    <w:p>
      <w:pPr>
        <w:spacing w:after="0" w:line="9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Tax Limitations on Incentive Stock Options. </w:t>
      </w:r>
      <w:r>
        <w:rPr>
          <w:rFonts w:ascii="Times New Roman" w:cs="Times New Roman" w:eastAsia="Times New Roman" w:hAnsi="Times New Roman"/>
          <w:sz w:val="17"/>
          <w:szCs w:val="17"/>
          <w:color w:val="auto"/>
        </w:rPr>
        <w:t>The aggregate fair market value, determined at the time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the Company’s Class A Common Stock with respect to ISOs that are exercisable for the first time by an option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affiliates unless (a) the option exercise price is at least 110% of the fair market value of the stock subject to the option on the date of grant and (b) the term of the ISO does not exceed five years from the date of grant.</w:t>
      </w:r>
    </w:p>
    <w:p>
      <w:pPr>
        <w:spacing w:after="0" w:line="10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An SAR provides the recipient with the right to the appreciation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number of shares of Class A Common Stock. The 2022 Incentive Award Plan Administrator determines the exercise price of SARs granted under the 2022 Incentive Award Plan, which may not be less than 100% of the fair market value of the Company’s Class A Common Stock on the date of grant. Subject to limited exceptions, an SAR may have a term of up to 10 years and will generally expire sooner if the recipient’s service terminates. SARs will vest at the rate determined by the 2022 Incentive Award Plan Administrator. Upon exercise of a SAR, the recipient will receive an amount in cash, stock, or a combination of stock and cash determined by the 2022 Incentive Award Plan Administrator, equal to the excess of the fair market value of the shares being exercised over their exercise price.</w:t>
      </w:r>
    </w:p>
    <w:p>
      <w:pPr>
        <w:spacing w:after="0" w:line="98"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Awards. </w:t>
      </w:r>
      <w:r>
        <w:rPr>
          <w:rFonts w:ascii="Times New Roman" w:cs="Times New Roman" w:eastAsia="Times New Roman" w:hAnsi="Times New Roman"/>
          <w:sz w:val="17"/>
          <w:szCs w:val="17"/>
          <w:color w:val="auto"/>
        </w:rPr>
        <w:t>Shares of restricted stock may be issued under the 2022 Incentive Award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such consideration as the 2022 Incentive Award Plan Administrator may determine, including cash, services rendered or to be rendered to the Company or such other forms of consideration permitted under applicable law. Restricted shares may be subject to vesting, as determined by the 2022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10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An RSU is a right to receive a share, at no cost to the recipient, upon satisfaction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certain conditions, including vesting conditions, established by the 2022 Incentive Award Plan Administrator. RSUs vest at the rate determined by the 2022 Incentive Award Plan Administrator and any unvested RSUs will generally be forfeited upon termination of the recipient’s service. Settlement of RSUs may be made in the form of cash, stock or a combination of cash and stock, as determined by the 2022 Incentive Award Plan Administrator. Recipients of RSUs generally will have no voting or dividend rights prior to the time the vesting conditions are satisfied and the award is settled. At the 2022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11"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Other Awards. </w:t>
      </w:r>
      <w:r>
        <w:rPr>
          <w:rFonts w:ascii="Times New Roman" w:cs="Times New Roman" w:eastAsia="Times New Roman" w:hAnsi="Times New Roman"/>
          <w:sz w:val="17"/>
          <w:szCs w:val="17"/>
          <w:color w:val="auto"/>
        </w:rPr>
        <w:t>The 2022 Incentive Award Plan Administrator may grant other awards based in whole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part by reference to the Company’s Class A Common Stock and may grant awards under other plans and programs that will be settled with shares issued under the 2022 Incentive Award Plan. The 2022 Incentive Award Plan Administrator will determine the terms and conditions of any such awards.</w:t>
      </w:r>
    </w:p>
    <w:p>
      <w:pPr>
        <w:spacing w:after="0" w:line="90"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w:t>
      </w:r>
      <w:r>
        <w:rPr>
          <w:rFonts w:ascii="Times New Roman" w:cs="Times New Roman" w:eastAsia="Times New Roman" w:hAnsi="Times New Roman"/>
          <w:sz w:val="17"/>
          <w:szCs w:val="17"/>
          <w:color w:val="auto"/>
        </w:rPr>
        <w:t>In the event of certain changes in capitalization, including a stock split,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reverse stock split or stock dividend, proportionate adjustments will be made in the number and kind of shares available for issuance under the 2022 Incentive Award Plan, the limit on the number of shares that may be issued under the 2022 Incentive Award Plan as ISOs, the number and kind of shares subject to each outstanding award and/or the exercise price of each outstanding award.</w:t>
      </w:r>
    </w:p>
    <w:p>
      <w:pPr>
        <w:spacing w:after="0" w:line="10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If the Company is party to a merger, consolidation or certain change in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each outstanding award will be treated as described in the definitive transaction agreement or as the 2022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6" w:name="page97"/>
    <w:bookmarkEnd w:id="9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The 2022 Incentive Award Plan Administrator may provide, in an individual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Transferability of Awards. </w:t>
      </w:r>
      <w:r>
        <w:rPr>
          <w:rFonts w:ascii="Times New Roman" w:cs="Times New Roman" w:eastAsia="Times New Roman" w:hAnsi="Times New Roman"/>
          <w:sz w:val="17"/>
          <w:szCs w:val="17"/>
          <w:color w:val="auto"/>
        </w:rPr>
        <w:t>Unless the 2022 Incentive Award Plan Administrator determines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award generally will not be transferable other than by beneficiary designation, a will or the laws of descent and distribution. The 2022 Incentive Award Plan Administrator may permit transfer of an award in a manner consistent with applicable law.</w:t>
      </w:r>
    </w:p>
    <w:p>
      <w:pPr>
        <w:spacing w:after="0" w:line="102"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2022 Incentive Award Plan Administrator may amend or terminate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2022 Incentive Award Plan at any time. Any such amendment or termination will not affect outstanding awards. If not sooner terminated, the 2022 Incentive Award Plan will terminate automatically on August 4, 2032, which is 10 years after its adoption by the Board. Shareholder approval is not required for any amendment of the 2022 Incentive Award Plan, unless required by applicable law, government regulation or exchange listing standards.</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Certain Federal Income Tax Aspects of Awards Under the 2022 Incentive Award Plan</w:t>
      </w:r>
    </w:p>
    <w:p>
      <w:pPr>
        <w:spacing w:after="0" w:line="144"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This is a brief summary of the U.S. federal income tax aspects of awards that may be made under the 2022 Incentive Award Plan based on existing U.S. federal income tax laws as of the date of this 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2022 Incentive Award Plan should consult their own professional tax advisors concerning tax aspects of awards under the 2022 Incentive Award Plan. The discussion below concerning tax deductions that may become available to the Company under U.S. federal tax law is not intended to imply that the Company will necessarily obtain a tax benefit or asset from those deductions. The tax consequences of awards under the 2022 Incentive Award Plan depend upon the type of award. Changes to tax laws following the date of this prospectus could alter the tax consequences described below.</w:t>
      </w:r>
    </w:p>
    <w:p>
      <w:pPr>
        <w:spacing w:after="0" w:line="116"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No taxable income is recognized by an optionee upon the grant or vesting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0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9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Nonstatutory Stock Options. </w:t>
      </w:r>
      <w:r>
        <w:rPr>
          <w:rFonts w:ascii="Times New Roman" w:cs="Times New Roman" w:eastAsia="Times New Roman" w:hAnsi="Times New Roman"/>
          <w:sz w:val="17"/>
          <w:szCs w:val="17"/>
          <w:color w:val="auto"/>
        </w:rPr>
        <w:t>No taxable income is recognized by an optionee upon the grant or vesting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7" w:name="page98"/>
    <w:bookmarkEnd w:id="9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participant who receives an award of restricted stock generally does not recognize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10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Restricted Stock Unit Awards. </w:t>
      </w:r>
      <w:r>
        <w:rPr>
          <w:rFonts w:ascii="Times New Roman" w:cs="Times New Roman" w:eastAsia="Times New Roman" w:hAnsi="Times New Roman"/>
          <w:sz w:val="17"/>
          <w:szCs w:val="17"/>
          <w:color w:val="auto"/>
        </w:rPr>
        <w:t>In general, no taxable income results upon the grant of an RSU.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07" w:lineRule="exact"/>
        <w:rPr>
          <w:sz w:val="20"/>
          <w:szCs w:val="20"/>
          <w:color w:val="auto"/>
        </w:rPr>
      </w:pPr>
    </w:p>
    <w:p>
      <w:pPr>
        <w:jc w:val="both"/>
        <w:ind w:left="620" w:right="639" w:firstLine="415"/>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In general, no taxable income results upon the grant of a SAR.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generally recognize ordinary income in the year of exercise equal to the value of the shares or other consideration received. In the case of a current or former employee, this amount is subject to withholding.</w:t>
      </w:r>
    </w:p>
    <w:p>
      <w:pPr>
        <w:spacing w:after="0" w:line="8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The foregoing description assumes that Section 409A of the Code does not apply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Company’s fiscal year in which vesting occurs or</w:t>
      </w:r>
    </w:p>
    <w:p>
      <w:pPr>
        <w:spacing w:after="0" w:line="3" w:lineRule="exact"/>
        <w:rPr>
          <w:sz w:val="20"/>
          <w:szCs w:val="20"/>
          <w:color w:val="auto"/>
        </w:rPr>
      </w:pPr>
    </w:p>
    <w:p>
      <w:pPr>
        <w:jc w:val="both"/>
        <w:ind w:left="620" w:right="619" w:hanging="5"/>
        <w:spacing w:after="0" w:line="257" w:lineRule="auto"/>
        <w:tabs>
          <w:tab w:leader="none" w:pos="88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Times New Roman" w:cs="Times New Roman" w:eastAsia="Times New Roman" w:hAnsi="Times New Roman"/>
          <w:sz w:val="17"/>
          <w:szCs w:val="17"/>
          <w:i w:val="1"/>
          <w:iCs w:val="1"/>
          <w:color w:val="auto"/>
        </w:rPr>
        <w:t>in addition to</w:t>
      </w:r>
      <w:r>
        <w:rPr>
          <w:rFonts w:ascii="Times New Roman" w:cs="Times New Roman" w:eastAsia="Times New Roman" w:hAnsi="Times New Roman"/>
          <w:sz w:val="17"/>
          <w:szCs w:val="17"/>
          <w:color w:val="auto"/>
        </w:rPr>
        <w:t xml:space="preserve"> the U.S. federal income tax at the participant’s usual marginal rate for ordinary income.</w:t>
      </w:r>
    </w:p>
    <w:p>
      <w:pPr>
        <w:spacing w:after="0" w:line="111"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Tax Treatment of the Company. </w:t>
      </w:r>
      <w:r>
        <w:rPr>
          <w:rFonts w:ascii="Times New Roman" w:cs="Times New Roman" w:eastAsia="Times New Roman" w:hAnsi="Times New Roman"/>
          <w:sz w:val="17"/>
          <w:szCs w:val="17"/>
          <w:color w:val="auto"/>
        </w:rPr>
        <w:t>The Company will generally be entitled to an income tax deduction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time and to the extent a participant recognizes ordinary income as a result of an award granted under the 2022 Incentive Award Plan. However, Section 162(m) of the Code may limit the deductibility of certain awards granted under the 2022 Incentive Award Plan. Although the 2022 Incentive Award Plan Administrator considers the deductibility of compensation as one factor in determining executive compensation, the 2022 Incentive Award Plan Administrator retains the discretion to award and pay compensation that is not deductible as it believes that it is in the shareholders’ best interests to maintain flexibility in the approach to executive compensation and to structure a program that the Company considers to be the most effective in attracting, motivating and retaining key employees.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Incentive Award Plan Benefits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Benefits to be received under the 2022 Incentive Award Plan are not determinable since they depend on discretionary decisions to be made by the 2022 Incentive Award Plan Administrator regarding which participants are selected and what awards are made under the 2022 Incentive Award Plan.</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Registration with the SEC</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2022 Incentive Award Plan, which became effective immediately upon filing.</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2022 Employee Stock Purchase Plan</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Employee Stock Purchase Agreement (the “ESPP”), in order to allow employees of the Company and its affiliates to purchase shares of Class A Common Stock at a discount through payroll deductions and to benefit from stock price appreciation, thus enhancing the alignment of employee and stockholder interests.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8" w:name="page99"/>
    <w:bookmarkEnd w:id="9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ESPP is described in more detail below.</w:t>
      </w:r>
    </w:p>
    <w:p>
      <w:pPr>
        <w:spacing w:after="0" w:line="155" w:lineRule="exact"/>
        <w:rPr>
          <w:sz w:val="20"/>
          <w:szCs w:val="20"/>
          <w:color w:val="auto"/>
        </w:rPr>
      </w:pPr>
    </w:p>
    <w:p>
      <w:pPr>
        <w:ind w:left="1440" w:hanging="411"/>
        <w:spacing w:after="0"/>
        <w:tabs>
          <w:tab w:leader="none" w:pos="14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Overview</w:t>
      </w:r>
    </w:p>
    <w:p>
      <w:pPr>
        <w:spacing w:after="0" w:line="15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Board has approved and adopted, and the Company’s shareholders approved, the ESPP. The Company is authorized to provide eligible employees of the Company and its designated subsidiaries with an opportunity to purchase shares of the Company’s Class A Common Stock at a discount to the market price and to pay for such purchases through payroll deductions in accordance with the ESPP’s terms.</w:t>
      </w:r>
    </w:p>
    <w:p>
      <w:pPr>
        <w:spacing w:after="0" w:line="90"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(b)</w:t>
        <w:tab/>
        <w:t>Purpose of the ESPP</w:t>
      </w:r>
    </w:p>
    <w:p>
      <w:pPr>
        <w:spacing w:after="0" w:line="15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purpose of the ESPP is to provide employees of the Company and its designated subsidiaries (whether now existing or subsequently established) with the ability to acquire shares of the Company’s Class A Common Stock at a discount to the market price and to pay for such purchases through payroll deductions or other approved contributions. The Company believes that the ESPP will be important in helping to attract and retain employees of the Company.</w:t>
      </w:r>
    </w:p>
    <w:p>
      <w:pPr>
        <w:spacing w:after="0" w:line="105" w:lineRule="exact"/>
        <w:rPr>
          <w:sz w:val="20"/>
          <w:szCs w:val="20"/>
          <w:color w:val="auto"/>
        </w:rPr>
      </w:pPr>
    </w:p>
    <w:p>
      <w:pPr>
        <w:ind w:left="1440" w:hanging="411"/>
        <w:spacing w:after="0"/>
        <w:tabs>
          <w:tab w:leader="none" w:pos="14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ESPP</w:t>
      </w:r>
    </w:p>
    <w:p>
      <w:pPr>
        <w:spacing w:after="0" w:line="14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ESPP, and the right of participants to make purchases thereunder, is intended to meet the requirements of an employee stock purchase plan as defined in Section 423 of the Code. Shareholder approval of the ESPP was necessary in order to satisfy the requirements under Section 423 of the Code and to meet the shareholder approval requirements of the Nasdaq.</w:t>
      </w:r>
    </w:p>
    <w:p>
      <w:pPr>
        <w:spacing w:after="0" w:line="102"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(d)</w:t>
        <w:tab/>
        <w:t>Summary of the ESPP’s Material Terms and Features</w:t>
      </w:r>
    </w:p>
    <w:p>
      <w:pPr>
        <w:spacing w:after="0" w:line="15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following summary of the principal provisions of the ESPP is qualified in its entirety by reference to the full text of the ESPP. To the extent there is a conflict between this summary and the ESPP, the terms of the ESPP will govern.</w:t>
      </w:r>
    </w:p>
    <w:p>
      <w:pPr>
        <w:spacing w:after="0" w:line="83"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The ESPP is intended to qualify as an “employee stock purchase plan” under Section 423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Code; however, the ESPP also allows the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Company’s Class A Common Stock at a discount to the market price and in an amount determined in accordance with the ESPP’s terms.</w:t>
      </w:r>
    </w:p>
    <w:p>
      <w:pPr>
        <w:spacing w:after="0" w:line="1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ESPP is administered by the Company’s Board or by one or more committees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105" w:lineRule="exact"/>
        <w:rPr>
          <w:sz w:val="20"/>
          <w:szCs w:val="20"/>
          <w:color w:val="auto"/>
        </w:rPr>
      </w:pPr>
    </w:p>
    <w:p>
      <w:pPr>
        <w:jc w:val="both"/>
        <w:ind w:left="620" w:right="619" w:firstLine="415"/>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Shares Available for Issuance. </w:t>
      </w:r>
      <w:r>
        <w:rPr>
          <w:rFonts w:ascii="Times New Roman" w:cs="Times New Roman" w:eastAsia="Times New Roman" w:hAnsi="Times New Roman"/>
          <w:sz w:val="17"/>
          <w:szCs w:val="17"/>
          <w:color w:val="auto"/>
        </w:rPr>
        <w:t>Up to a maximum of 3,930,074 shares of Class A Common Stock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issued under the ESPP, plus an annual increase in shares described below.</w:t>
      </w:r>
    </w:p>
    <w:p>
      <w:pPr>
        <w:spacing w:after="0" w:line="6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On the first day of each calendar year during the term of the ESPP, beginning on January 1, 2023 and continuing until (and including) January 1, 2032, the aggregate number of shares of the Company’s Class A Common Stock that may be issued under the ESPP will automatically increase by a number equal to the lesser of (a) one percent (1%) of the total number of shares of the Company’s Class A Common Stock issued and outstanding shares on December 31 of the calendar year immediately preceding the date of such increase and</w:t>
      </w:r>
    </w:p>
    <w:p>
      <w:pPr>
        <w:spacing w:after="0" w:line="1" w:lineRule="exact"/>
        <w:rPr>
          <w:sz w:val="20"/>
          <w:szCs w:val="20"/>
          <w:color w:val="auto"/>
        </w:rPr>
      </w:pPr>
    </w:p>
    <w:p>
      <w:pPr>
        <w:jc w:val="both"/>
        <w:ind w:left="620" w:right="619" w:hanging="5"/>
        <w:spacing w:after="0" w:line="262" w:lineRule="auto"/>
        <w:tabs>
          <w:tab w:leader="none" w:pos="87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shares of the Company’s Class A Common Stock determined by the Company’s Board. Shares of the Company’s Class A Common Stock issued under the ESPP may be authorized but unissued shares or treasury shares. As of October 1, 2022, no rights to purchase shares have been granted under the ESPP.</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9" w:name="page100"/>
    <w:bookmarkEnd w:id="9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Eligibility and Participation. </w:t>
      </w:r>
      <w:r>
        <w:rPr>
          <w:rFonts w:ascii="Times New Roman" w:cs="Times New Roman" w:eastAsia="Times New Roman" w:hAnsi="Times New Roman"/>
          <w:sz w:val="17"/>
          <w:szCs w:val="17"/>
          <w:color w:val="auto"/>
        </w:rPr>
        <w:t>All employees (including officers and employee directors) who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employed by the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473 employees (including seven executive officers, two of whom are employee directors) as eligible participants, as of September 30, 2022.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Company’s Class A Common Stock under the ESPP if, immediately after such grant, such employee would own stock and/or hold outstanding options to purchase stock possessing 5% or more of the total combined voting power or value of all classes of stock of the Company or any parent or subsidiary (including in such calculation stock held directly or indirectly by or for the benefit of the employee and stock held by certain persons related to the employee).</w:t>
      </w:r>
    </w:p>
    <w:p>
      <w:pPr>
        <w:spacing w:after="0" w:line="33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ESPP will permit an eligible employee to purchase the Company’s Class A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11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Certain limitations on the number of shares of the Company’s Class A Common Stock that a participant may purchase apply. For example, the right granted to an employee may not permit him or her to purchase more than $25,000 worth of shares of the Company’s Class A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spacing w:after="0" w:line="93"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To provide the Company with greater flexibility in structuring its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programs for non-U.S. employees, the ESPP also permits the Company to grant employees of the Company’s non-U.S. subsidiaries and affiliates rights to purchase shares of the Company’s Class A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pacing w:after="0" w:line="10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Offering Periods and Purchase Price. </w:t>
      </w:r>
      <w:r>
        <w:rPr>
          <w:rFonts w:ascii="Times New Roman" w:cs="Times New Roman" w:eastAsia="Times New Roman" w:hAnsi="Times New Roman"/>
          <w:sz w:val="17"/>
          <w:szCs w:val="17"/>
          <w:color w:val="auto"/>
        </w:rPr>
        <w:t>The ESPP will be implemented through a series of offering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Company’s Class A Common Stock.</w:t>
      </w:r>
    </w:p>
    <w:p>
      <w:pPr>
        <w:spacing w:after="0" w:line="10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purchase price for each offering period will be established by the ESPP Administrator and may not be less than eighty-five percent (85%) of the fair market value per share of the Company’s Class A Common Stock on either the first trading day in an offering period or on the purchase date, whichever is lower.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0" w:name="page101"/>
    <w:bookmarkEnd w:id="10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Changes in Capital Structure. </w:t>
      </w:r>
      <w:r>
        <w:rPr>
          <w:rFonts w:ascii="Times New Roman" w:cs="Times New Roman" w:eastAsia="Times New Roman" w:hAnsi="Times New Roman"/>
          <w:sz w:val="17"/>
          <w:szCs w:val="17"/>
          <w:color w:val="auto"/>
        </w:rPr>
        <w:t>In the event that there is a specified type of change in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Corporate Reorganization. </w:t>
      </w:r>
      <w:r>
        <w:rPr>
          <w:rFonts w:ascii="Times New Roman" w:cs="Times New Roman" w:eastAsia="Times New Roman" w:hAnsi="Times New Roman"/>
          <w:sz w:val="17"/>
          <w:szCs w:val="17"/>
          <w:color w:val="auto"/>
        </w:rPr>
        <w:t>In the event of certain corporate reorganizations, any offering period then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0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ESPP Administrator will have the right to amend, suspend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ESPP at any time. Any increase in the aggregate number of shares to be issued under the ESPP is subject to shareholder approval except for (a) the automatic annual increase in shares and (b) any share increase resulting from changes in the Company’s capital structure. Any other amendment to the ESPP is subject to shareholder approval only to the extent required under applicable law or regulation. The ESPP will terminate automatically in April 2032, which is 10 years after its adoption by the Board.</w:t>
      </w:r>
    </w:p>
    <w:p>
      <w:pPr>
        <w:spacing w:after="0" w:line="96" w:lineRule="exact"/>
        <w:rPr>
          <w:sz w:val="20"/>
          <w:szCs w:val="20"/>
          <w:color w:val="auto"/>
        </w:rPr>
      </w:pPr>
    </w:p>
    <w:p>
      <w:pPr>
        <w:ind w:left="1420" w:hanging="391"/>
        <w:spacing w:after="0"/>
        <w:tabs>
          <w:tab w:leader="none" w:pos="14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Federal Income Tax Consequences of Participating in the ESPP</w:t>
      </w:r>
    </w:p>
    <w:p>
      <w:pPr>
        <w:spacing w:after="0" w:line="155"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The following is a brief summary of the general U.S. federal income tax consequences of participation in the ESPP as of the date of this 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0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prospectus could alter the tax consequences described below.</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U.S. Component</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Payroll deductions under the ESPP are made on an after-tax basis (i.e., contributions to the ESPP do not reduce a participant’s taxable income).</w:t>
      </w:r>
    </w:p>
    <w:p>
      <w:pPr>
        <w:spacing w:after="0" w:line="8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 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1" w:name="page102"/>
    <w:bookmarkEnd w:id="10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International Component</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Company’s Class A Common Stock on the day he or she purchases the Company’s Class A Common Stock, less the purchase price, and will be subject to withholding for income, Medicare and social security taxes, as applicable, on such amount. When a participant sells the Company’s Class A Common Stock purchased under the ESPP, he or she also will have a capital gain or loss equal to the difference between the sales proceeds and the value of the Company’s Class A Common Stock on the day he or she purchased the stock. Any capital gain or loss will be short-term or long-term, depending on how long the stock has been held.</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Tax Consequences to the Company</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There are no federal income tax consequences to the Company by reason of the grant or exercise of rights under the ESPP. The Company is generally entitled to a deduction to the extent amounts are taxed as ordinary income to a participant in connection with a sale or disposition of shares prior to satisfaction of the holding periods described above.</w:t>
      </w:r>
    </w:p>
    <w:p>
      <w:pPr>
        <w:spacing w:after="0" w:line="102"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(g)</w:t>
        <w:tab/>
        <w:t>New Plan Benefits</w:t>
      </w:r>
    </w:p>
    <w:p>
      <w:pPr>
        <w:spacing w:after="0" w:line="14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Benefits to be received under the ESPP are not determinable since they depend on terms to be established by the Company and discretionary participant elections whether and to what extent to participate in the ESPP.</w:t>
      </w:r>
    </w:p>
    <w:p>
      <w:pPr>
        <w:spacing w:after="0" w:line="82"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(h)</w:t>
        <w:tab/>
        <w:t>Registration with the SEC</w:t>
      </w:r>
    </w:p>
    <w:p>
      <w:pPr>
        <w:spacing w:after="0" w:line="15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ESPP, which became effective immediately upon filing.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2" w:name="page103"/>
    <w:bookmarkEnd w:id="10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44"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is a description of each transaction since January 1, 2019 and each currently proposed transaction in which:</w:t>
      </w:r>
    </w:p>
    <w:p>
      <w:pPr>
        <w:spacing w:after="0" w:line="82" w:lineRule="exact"/>
        <w:rPr>
          <w:sz w:val="20"/>
          <w:szCs w:val="20"/>
          <w:color w:val="auto"/>
        </w:rPr>
      </w:pPr>
    </w:p>
    <w:p>
      <w:pPr>
        <w:ind w:left="1440" w:hanging="411"/>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 or SoundHound has been or is to be a participant;</w:t>
      </w:r>
    </w:p>
    <w:p>
      <w:pPr>
        <w:spacing w:after="0" w:line="15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involved exceeded or exceeds the lesser of (a) $120,000 or (b) one percent of the average of Legacy SoundHound’s total assets at year-end for the fiscal years ended December 31, 2021, 2020 and 2019; and</w:t>
      </w:r>
    </w:p>
    <w:p>
      <w:pPr>
        <w:spacing w:after="0" w:line="84" w:lineRule="exact"/>
        <w:rPr>
          <w:rFonts w:ascii="Times New Roman" w:cs="Times New Roman" w:eastAsia="Times New Roman" w:hAnsi="Times New Roman"/>
          <w:sz w:val="17"/>
          <w:szCs w:val="17"/>
          <w:color w:val="auto"/>
        </w:rPr>
      </w:pPr>
    </w:p>
    <w:p>
      <w:pPr>
        <w:jc w:val="both"/>
        <w:ind w:left="1440" w:right="619" w:hanging="411"/>
        <w:spacing w:after="0" w:line="267" w:lineRule="auto"/>
        <w:tabs>
          <w:tab w:leader="none" w:pos="14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SoundHound AI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0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Since January 1, 2019, in connection with the equity financing rounds in which SoundHound AI or Legacy SoundHound has engaged since that date, the following agreements have been entered into (all of which are with investors in such financings, including holders of more than 5% of SoundHound A’s capital stock or Legacy SoundHound’s capital stock at the time of such agreements.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Investors’ Rights Agreement</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investors’ rights agreement (the “Investors’ Rights Agreement”) with certain holders of Legacy SoundHound’s capital stock. The Investors’ Rights Agreement provided for, among other things, certain preemptive rights and demand and S-3 registration rights. The following directors, executive officers and holders of more than 5% of Legacy SoundHound’s capital stock and their affiliates were parties to the Investors’ Rights Agreement:</w:t>
      </w:r>
    </w:p>
    <w:p>
      <w:pPr>
        <w:spacing w:after="0" w:line="94" w:lineRule="exact"/>
        <w:rPr>
          <w:sz w:val="20"/>
          <w:szCs w:val="20"/>
          <w:color w:val="auto"/>
        </w:rPr>
      </w:pPr>
    </w:p>
    <w:p>
      <w:pPr>
        <w:ind w:left="1440" w:hanging="411"/>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Investors’ Rights Agreement terminated upon the consummation of the Business Combination.</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Voting Agreement</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voting agreement (the “Voting Agreement”) with certain holders of Legacy SoundHound’s capital stock. The Voting Agreement provided for, among other things, holders party thereto with certain voting rights in accordance with its terms, including in matters related to the composition of the Legacy SoundHound Board. The following directors, executive officers and holders of more than 5% of SoundHound capital stock and their affiliates were parties to the Voting Agreement:</w:t>
      </w:r>
    </w:p>
    <w:p>
      <w:pPr>
        <w:spacing w:after="0" w:line="94" w:lineRule="exact"/>
        <w:rPr>
          <w:sz w:val="20"/>
          <w:szCs w:val="20"/>
          <w:color w:val="auto"/>
        </w:rPr>
      </w:pPr>
    </w:p>
    <w:p>
      <w:pPr>
        <w:ind w:left="1440" w:hanging="411"/>
        <w:spacing w:after="0"/>
        <w:tabs>
          <w:tab w:leader="none" w:pos="14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Voting Agreement terminated upon the consummation of the Business Combination.</w:t>
      </w:r>
    </w:p>
    <w:p>
      <w:pPr>
        <w:spacing w:after="0" w:line="18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3" w:name="page104"/>
    <w:bookmarkEnd w:id="10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Right of First Refusal and Co-Sale Agreement</w:t>
      </w:r>
    </w:p>
    <w:p>
      <w:pPr>
        <w:spacing w:after="0" w:line="146"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right of first refusal and co-sale agreement (the “Co-Sale Agreement”) with certain holders of Legacy SoundHound’s capital stock. The following directors, executive officers and holders of more than 5% of Legacy SoundHound capital stock and their affiliates were parties to the Co-Sale Agreement:</w:t>
      </w:r>
    </w:p>
    <w:p>
      <w:pPr>
        <w:spacing w:after="0" w:line="105" w:lineRule="exact"/>
        <w:rPr>
          <w:sz w:val="20"/>
          <w:szCs w:val="20"/>
          <w:color w:val="auto"/>
        </w:rPr>
      </w:pPr>
    </w:p>
    <w:p>
      <w:pPr>
        <w:ind w:left="1440" w:hanging="411"/>
        <w:spacing w:after="0"/>
        <w:tabs>
          <w:tab w:leader="none" w:pos="14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Co-Sale Agreement terminated upon the consummation of the Business Combination.</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Registration Rights Agreement</w:t>
      </w:r>
    </w:p>
    <w:p>
      <w:pPr>
        <w:spacing w:after="0" w:line="146"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In connection with the Business Combination, certain holders of Legacy SoundHound’s capital stock entered into an amended and restated registration rights agreement prior to the consummation of the Business Combination with certain existing stockholders of ATSP with respect to the shares of Class A Common Stock they owned at the time of the consummation of the Business Combination, and with certain Legacy SoundHound stockholders. The Amended and Restated Registration Rights Agreement requires the Company to, among other things, file a resale shelf registration statement on behalf of the stockholders no later than 60 days after consummation of the Business Combination. The Amended and Restated Registration Rights Agreement also provides certain demand registration rights and piggyback registration rights to the stockholders, subject to underwriter cutbacks and issuer blackout periods. The Company has agreed to pay certain fees and expenses relating to registrations under the Amended and Restated Registration Rights Agreement. The Company filed a Registration Statement on Form S-1 with the SEC on May 16, 2022 and Amendment No. 1 thereto on July 13, 2022, in satisfaction of such obligations. This registration is still pending as of the date hereof.</w:t>
      </w:r>
    </w:p>
    <w:p>
      <w:pPr>
        <w:spacing w:after="0" w:line="3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Legacy SoundHound’s Engagement of Guggenheim Securities</w:t>
      </w:r>
    </w:p>
    <w:p>
      <w:pPr>
        <w:spacing w:after="0" w:line="159" w:lineRule="exact"/>
        <w:rPr>
          <w:sz w:val="20"/>
          <w:szCs w:val="20"/>
          <w:color w:val="auto"/>
        </w:rPr>
      </w:pPr>
    </w:p>
    <w:p>
      <w:pPr>
        <w:jc w:val="both"/>
        <w:ind w:left="620" w:right="639" w:firstLine="415"/>
        <w:spacing w:after="0" w:line="266" w:lineRule="auto"/>
        <w:rPr>
          <w:sz w:val="20"/>
          <w:szCs w:val="20"/>
          <w:color w:val="auto"/>
        </w:rPr>
      </w:pPr>
      <w:r>
        <w:rPr>
          <w:rFonts w:ascii="Times New Roman" w:cs="Times New Roman" w:eastAsia="Times New Roman" w:hAnsi="Times New Roman"/>
          <w:sz w:val="17"/>
          <w:szCs w:val="17"/>
          <w:color w:val="auto"/>
        </w:rPr>
        <w:t>In February 2021, Legacy SoundHound entered into an engagement letter (the “Guggenheim Engagement Letter”) pursuant to which Legacy SoundHound engaged Guggenheim Securities to act as</w:t>
      </w:r>
    </w:p>
    <w:p>
      <w:pPr>
        <w:jc w:val="both"/>
        <w:ind w:left="620" w:right="619" w:hanging="5"/>
        <w:spacing w:after="0" w:line="258" w:lineRule="auto"/>
        <w:tabs>
          <w:tab w:leader="none" w:pos="89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financial advisor in connection with the Business Combination and (b) Legacy SoundHound’s capital markets advisor with respect to the PIPE Investment. Upon consummation of the Business Combination, Guggenheim Securities received certain agreed upon fees in consideration of its services pursuant to the Guggenheim Engagement Letter. In addition, we have agreed to reimburse Guggenheim Securities for certain expenses and to indemnify Guggenheim Securities against certain liabilities arising out of its engagement.</w:t>
      </w:r>
    </w:p>
    <w:p>
      <w:pPr>
        <w:spacing w:after="0" w:line="31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brother of Larry Marcus, one of the members of our Board, is a Senior Advisor to Guggenheim Securities, was a stockholder of Legacy SoundHound and a member of the Guggenheim Securities investment banking team engaged pursuant to the Guggenheim Engagement Letter. Mr. Marcus’ brother was an advisor to Legacy SoundHound (in consideration for which advisory services he received, in 2011, options to purchase shares of Legacy SoundHound common stock. In addition, Mr. Marcus’ brother separately owns an indirect equity stake in SoundHound AI that represents, in aggregate with the shares of Class A Common Stock he holds after exercising the options, an equity interest of less than one half of 1% of the total outstanding capital stock of SoundHound.AI. Mr. Marcus did not participate in Legacy SoundHound’s decision to engage Guggenheim Securities and disclosed the fact that his brother would be involved in the advisory services to be provided by Guggenheim Securities to Legacy SoundHound pursuant to the Guggenheim Engagement Letter in advance of the determination by the Legacy SoundHound Board to engage Guggenheim Securities.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4" w:name="page105"/>
    <w:bookmarkEnd w:id="10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Policies and Procedures for Related Party Transactions</w:t>
      </w:r>
    </w:p>
    <w:p>
      <w:pPr>
        <w:spacing w:after="0" w:line="146"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SoundHound AI has adopted a written related person transaction policy that sets forth the following policies and procedures for the review and approval or ratification of related person transactions.</w:t>
      </w:r>
    </w:p>
    <w:p>
      <w:pPr>
        <w:spacing w:after="0" w:line="82"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SoundHound AI or any of its subsidiaries was, is or will be a participant, the amount of which involved exceeds the lesser of $120,000 or one percent of the average of SoundHound AI’s total assets at year-end for the last two completed fiscal years, and in which any related person had, has or will have a direct or indirect material interest. A “Related Person” means:</w:t>
      </w:r>
    </w:p>
    <w:p>
      <w:pPr>
        <w:spacing w:after="0" w:line="105" w:lineRule="exact"/>
        <w:rPr>
          <w:sz w:val="20"/>
          <w:szCs w:val="20"/>
          <w:color w:val="auto"/>
        </w:rPr>
      </w:pPr>
    </w:p>
    <w:p>
      <w:pPr>
        <w:ind w:left="1440" w:right="639" w:hanging="411"/>
        <w:spacing w:after="0" w:line="292" w:lineRule="auto"/>
        <w:tabs>
          <w:tab w:leader="none" w:pos="143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at any time during the applicable period was, one of SoundHound AI’s officers or one of the SoundHound AI’s directors;</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known by SoundHound AI to be the beneficial owner of more than five percent (5%) of its voting stock;</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64" w:lineRule="auto"/>
        <w:tabs>
          <w:tab w:leader="none" w:pos="143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0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a partner or principal or in a similar position or in which such person has a ten percent (10%) or greater beneficial ownership interest.</w:t>
      </w:r>
    </w:p>
    <w:p>
      <w:pPr>
        <w:spacing w:after="0" w:line="85"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SoundHound AI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All of the transactions described in this section were entered into prior to the adoption of this policy.</w:t>
      </w:r>
    </w:p>
    <w:p>
      <w:pPr>
        <w:spacing w:after="0" w:line="15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Related Person Transaction Policy</w:t>
      </w:r>
    </w:p>
    <w:p>
      <w:pPr>
        <w:spacing w:after="0" w:line="146" w:lineRule="exact"/>
        <w:rPr>
          <w:sz w:val="20"/>
          <w:szCs w:val="20"/>
          <w:color w:val="auto"/>
        </w:rPr>
      </w:pPr>
    </w:p>
    <w:p>
      <w:pPr>
        <w:jc w:val="both"/>
        <w:ind w:left="620" w:right="639" w:firstLine="415"/>
        <w:spacing w:after="0" w:line="259" w:lineRule="auto"/>
        <w:rPr>
          <w:sz w:val="20"/>
          <w:szCs w:val="20"/>
          <w:color w:val="auto"/>
        </w:rPr>
      </w:pPr>
      <w:r>
        <w:rPr>
          <w:rFonts w:ascii="Times New Roman" w:cs="Times New Roman" w:eastAsia="Times New Roman" w:hAnsi="Times New Roman"/>
          <w:sz w:val="17"/>
          <w:szCs w:val="17"/>
          <w:color w:val="auto"/>
        </w:rPr>
        <w:t>Effective upon the consummation of the Business Combination, SoundHound AI adopted a related person transaction policy that sets forth its procedures for the identification, review, consideration and approval or ratification of related person transactions. For purposes of SoundHound AI’s policy only, a related person transaction is a transaction, arrangement or relationship, or any series of similar transactions, arrangements or relationships, in which SoundHound AI and any related person are, were or will be participants in which the amount involved exceeds $120,000. Transactions involving compensation for services provided to SoundHound AI as an employee or director are not covered by this policy. A related person is any executive officer, director or beneficial owner of more than 5% of any class of SoundHound AI’s voting securities and any of their respective immediate family members and any entity owned or controlled by such persons.</w:t>
      </w:r>
    </w:p>
    <w:p>
      <w:pPr>
        <w:spacing w:after="0" w:line="111"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 AI’s management must present information regarding the related person transaction to the Company’s audit committee, or, if audit committee approval would be inappropriate, to another independent body of SoundHound AI’s Board of Directors, for review, consideration and approval or ratification. The presentation must include a description of, among other things, the material facts, the interests, direct and indirect, of the related persons, the benefits to SoundHound AI of the transaction and whether the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5" w:name="page106"/>
    <w:bookmarkEnd w:id="10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58" w:lineRule="auto"/>
        <w:rPr>
          <w:sz w:val="20"/>
          <w:szCs w:val="20"/>
          <w:color w:val="auto"/>
        </w:rPr>
      </w:pPr>
      <w:r>
        <w:rPr>
          <w:rFonts w:ascii="Times New Roman" w:cs="Times New Roman" w:eastAsia="Times New Roman" w:hAnsi="Times New Roman"/>
          <w:sz w:val="17"/>
          <w:szCs w:val="17"/>
          <w:color w:val="auto"/>
        </w:rPr>
        <w:t>transaction is on terms that are comparable to the terms available to or from, as the case may be, an unrelated third party or to or from employees generally. Under the policy, SoundHound AI will collect information that SoundHound AI deems reasonably necessary from each director, executive officer and, to the extent feasible, significant stockholder to enable SoundHound AI to identify any existing or potential related-person transactions and to effectuate the terms of the policy. In addition, under SoundHound AI’s Code of Conduct that SoundHound AI expects to adopt prior to the Closing of this Business Combination, SoundHound AI’s employees and directors will have an affirmative responsibility to disclose any transaction or relationship that reasonably could be expected to give rise to a conflict of interest. In considering related person transactions, SoundHound AI’s audit committee, or other independent body of SoundHound AI’s Board of Directors, will take into account the relevant available facts and circumstances including, but not limited to:</w:t>
      </w:r>
    </w:p>
    <w:p>
      <w:pPr>
        <w:spacing w:after="0" w:line="116" w:lineRule="exact"/>
        <w:rPr>
          <w:sz w:val="20"/>
          <w:szCs w:val="20"/>
          <w:color w:val="auto"/>
        </w:rPr>
      </w:pPr>
    </w:p>
    <w:p>
      <w:pPr>
        <w:ind w:left="1440" w:hanging="411"/>
        <w:spacing w:after="0"/>
        <w:tabs>
          <w:tab w:leader="none" w:pos="14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costs and benefits to SoundHound AI;</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that the related person is a director, immediate family member of a director or an entity with which a director is affiliated;</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other sources for comparable services or products; and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available to or from, as the case may be, unrelated third parties or to or from employees generally.</w:t>
      </w:r>
    </w:p>
    <w:p>
      <w:pPr>
        <w:spacing w:after="0" w:line="82"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The policy requires that, in determining whether to approve, ratify or reject a related person transaction, SoundHound AI’s audit committee, or other independent body of SoundHound AI’s Board of Directors, must consider, in light of known circumstances, whether the transaction is in, or is not inconsistent with, SoundHound AI’s best interests and those of SoundHound AI’s stockholders, as SoundHound AI’s audit committee, or other independent body of SoundHound AI’s Board of Directors, determines in the good faith exercise of its discretion.</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ATSP Related Person Transactions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were not exercised in full). On March 19, 2021, the underwriters partially exercised the over-allotment option to purchase 1,300,000 public Units. As a result, 125,000 founder shares were forfeited.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Private Units</w:t>
      </w:r>
    </w:p>
    <w:p>
      <w:pPr>
        <w:spacing w:after="0" w:line="15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Simultaneously with the closing of the IPO, ATSP consummated the sale of 390,000 Private Units at a price of $10.00 per Private Unit in a private placement to the Sponsor and EarlyBirdCapital, generating gross proceeds of $3,900,000. Each Private Unit consists of (i) one Subunit, which consists of one share of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Promissory Note</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January 4, 2021, the Sponsor agreed to loan ATSP up to $300,000 to be used for a portion of the expenses of the IPO (the “Promissory Note”). These loans were non-interest bearing, unsecured and were due at the earlier of March 31, 2021 or the closing of the IPO.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6" w:name="page107"/>
    <w:bookmarkEnd w:id="10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was entitled to a finder’s fee of $2.66 million.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could have, but were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At the closing of the Business Combination, no such working capital loans were outstanding.</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of the IPO through the acquisition of a target business, ATSP paid an affiliate of the Chief Executive Officer, an aggregate fee of $10,000 per month for providing ATSP with office space and certain office and secretarial services. As of December 31, 2021, ATSP had recorded $97,097 for the period from March 10, 2021 through December 31, 2021.</w:t>
      </w:r>
    </w:p>
    <w:p>
      <w:pPr>
        <w:spacing w:after="0" w:line="10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Other than the foregoing, no compensation of any kind, including any reimbursement, consulting fee or monies in respect of any payment of a loan, was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were eligible to be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officers, directors or our or their affiliates and determined which expenses and the amount of expenses that were reimbursed. There was no cap or ceiling on the reimbursement of out-of-pocket expenses incurred by such persons in connection with activities on our behalf.</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7" w:name="page108"/>
    <w:bookmarkEnd w:id="10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144"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sets forth information known to the Company regarding beneficial ownership of shares of the Company’s Class A Common Stock and Class B Common Stock as of October 19, 2022 by:</w:t>
      </w:r>
    </w:p>
    <w:p>
      <w:pPr>
        <w:spacing w:after="0" w:line="82" w:lineRule="exact"/>
        <w:rPr>
          <w:sz w:val="20"/>
          <w:szCs w:val="20"/>
          <w:color w:val="auto"/>
        </w:rPr>
      </w:pPr>
    </w:p>
    <w:p>
      <w:pPr>
        <w:ind w:left="1440" w:right="639" w:hanging="411"/>
        <w:spacing w:after="0" w:line="292" w:lineRule="auto"/>
        <w:tabs>
          <w:tab w:leader="none" w:pos="143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be the beneficial owner of more than 5% of the Company’s outstanding Class A Common Stock and Class B Common Stock;</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named executive officers and directors; and</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as a group.</w:t>
      </w:r>
    </w:p>
    <w:p>
      <w:pPr>
        <w:spacing w:after="0" w:line="15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0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percentage of beneficial ownership is based on 197,519,802 shares of Company common stock issued and outstanding as of October 19, 2022, which calculation includes (i) 157,123,202 shares of the Company’s Class A Common Stock and (ii) 40,396,600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03"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In accordance with SEC rules, shares of our common stock which may be acquired upon exercise of stock options or warrants which are currently exercisable or which become exercisable within 60 days after October 19, 2022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05"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Beneficial Ownership Table</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3"/>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12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Class</w:t>
            </w:r>
          </w:p>
        </w:tc>
        <w:tc>
          <w:tcPr>
            <w:tcW w:w="12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 of Class B</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Class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20" w:type="dxa"/>
            <w:vAlign w:val="bottom"/>
            <w:gridSpan w:val="2"/>
            <w:vMerge w:val="continue"/>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820" w:type="dxa"/>
            <w:vAlign w:val="bottom"/>
            <w:gridSpan w:val="2"/>
            <w:vMerge w:val="continue"/>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0" w:type="dxa"/>
            <w:vAlign w:val="bottom"/>
            <w:gridSpan w:val="2"/>
            <w:vMerge w:val="continue"/>
          </w:tcPr>
          <w:p>
            <w:pPr>
              <w:spacing w:after="0"/>
              <w:rPr>
                <w:sz w:val="15"/>
                <w:szCs w:val="15"/>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Voting Power</w:t>
            </w:r>
          </w:p>
        </w:tc>
        <w:tc>
          <w:tcPr>
            <w:tcW w:w="0" w:type="dxa"/>
            <w:vAlign w:val="bottom"/>
          </w:tcPr>
          <w:p>
            <w:pPr>
              <w:spacing w:after="0"/>
              <w:rPr>
                <w:sz w:val="1"/>
                <w:szCs w:val="1"/>
                <w:color w:val="auto"/>
              </w:rPr>
            </w:pPr>
          </w:p>
        </w:tc>
      </w:tr>
      <w:tr>
        <w:trPr>
          <w:trHeight w:val="23"/>
        </w:trPr>
        <w:tc>
          <w:tcPr>
            <w:tcW w:w="2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2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Keyvan Mohajer</w:t>
            </w:r>
            <w:r>
              <w:rPr>
                <w:rFonts w:ascii="Times New Roman" w:cs="Times New Roman" w:eastAsia="Times New Roman" w:hAnsi="Times New Roman"/>
                <w:sz w:val="20"/>
                <w:szCs w:val="20"/>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988,435</w:t>
            </w:r>
          </w:p>
        </w:tc>
        <w:tc>
          <w:tcPr>
            <w:tcW w:w="8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16,639,064</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272"/>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Hom</w:t>
            </w:r>
            <w:r>
              <w:rPr>
                <w:rFonts w:ascii="Times New Roman" w:cs="Times New Roman" w:eastAsia="Times New Roman" w:hAnsi="Times New Roman"/>
                <w:sz w:val="20"/>
                <w:szCs w:val="20"/>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54,444</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5,173,780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7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Larry Marcus</w:t>
            </w:r>
            <w:r>
              <w:rPr>
                <w:rFonts w:ascii="Times New Roman" w:cs="Times New Roman" w:eastAsia="Times New Roman" w:hAnsi="Times New Roman"/>
                <w:sz w:val="20"/>
                <w:szCs w:val="20"/>
                <w:color w:val="auto"/>
                <w:vertAlign w:val="superscript"/>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938,017</w:t>
            </w:r>
          </w:p>
        </w:tc>
        <w:tc>
          <w:tcPr>
            <w:tcW w:w="8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2"/>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Diana Sroka</w:t>
            </w:r>
            <w:r>
              <w:rPr>
                <w:rFonts w:ascii="Times New Roman" w:cs="Times New Roman" w:eastAsia="Times New Roman" w:hAnsi="Times New Roman"/>
                <w:sz w:val="20"/>
                <w:szCs w:val="20"/>
                <w:color w:val="auto"/>
                <w:vertAlign w:val="superscript"/>
              </w:rPr>
              <w:t>(4)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18,266</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Eric R. Ball</w:t>
            </w:r>
            <w:r>
              <w:rPr>
                <w:rFonts w:ascii="Times New Roman" w:cs="Times New Roman" w:eastAsia="Times New Roman" w:hAnsi="Times New Roman"/>
                <w:sz w:val="20"/>
                <w:szCs w:val="20"/>
                <w:color w:val="auto"/>
                <w:vertAlign w:val="superscript"/>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18,266</w:t>
            </w:r>
          </w:p>
        </w:tc>
        <w:tc>
          <w:tcPr>
            <w:tcW w:w="8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2"/>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Seyed Majid Emami</w:t>
            </w:r>
            <w:r>
              <w:rPr>
                <w:rFonts w:ascii="Times New Roman" w:cs="Times New Roman" w:eastAsia="Times New Roman" w:hAnsi="Times New Roman"/>
                <w:sz w:val="20"/>
                <w:szCs w:val="20"/>
                <w:color w:val="auto"/>
                <w:vertAlign w:val="superscript"/>
              </w:rPr>
              <w:t>(6)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721,192</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18,583,756</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7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Zubin Irani</w:t>
            </w:r>
            <w:r>
              <w:rPr>
                <w:rFonts w:ascii="Times New Roman" w:cs="Times New Roman" w:eastAsia="Times New Roman" w:hAnsi="Times New Roman"/>
                <w:sz w:val="20"/>
                <w:szCs w:val="20"/>
                <w:color w:val="auto"/>
                <w:vertAlign w:val="superscript"/>
              </w:rPr>
              <w:t>(7)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163,947</w:t>
            </w:r>
          </w:p>
        </w:tc>
        <w:tc>
          <w:tcPr>
            <w:tcW w:w="8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2"/>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Stonehocker</w:t>
            </w:r>
            <w:r>
              <w:rPr>
                <w:rFonts w:ascii="Times New Roman" w:cs="Times New Roman" w:eastAsia="Times New Roman" w:hAnsi="Times New Roman"/>
                <w:sz w:val="20"/>
                <w:szCs w:val="20"/>
                <w:color w:val="auto"/>
                <w:vertAlign w:val="superscript"/>
              </w:rPr>
              <w:t>(8)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1,659,080</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Nitesh Sharan</w:t>
            </w:r>
            <w:r>
              <w:rPr>
                <w:rFonts w:ascii="Times New Roman" w:cs="Times New Roman" w:eastAsia="Times New Roman" w:hAnsi="Times New Roman"/>
                <w:sz w:val="20"/>
                <w:szCs w:val="20"/>
                <w:color w:val="auto"/>
                <w:vertAlign w:val="superscript"/>
              </w:rPr>
              <w:t>(9)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215,210</w:t>
            </w:r>
          </w:p>
        </w:tc>
        <w:tc>
          <w:tcPr>
            <w:tcW w:w="8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2"/>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Zagorsek</w:t>
            </w:r>
            <w:r>
              <w:rPr>
                <w:rFonts w:ascii="Times New Roman" w:cs="Times New Roman" w:eastAsia="Times New Roman" w:hAnsi="Times New Roman"/>
                <w:sz w:val="20"/>
                <w:szCs w:val="20"/>
                <w:color w:val="auto"/>
                <w:vertAlign w:val="superscript"/>
              </w:rPr>
              <w:t>(10)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980,898</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25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All directors and executive officers as 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5,757,755</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83"/>
        </w:trPr>
        <w:tc>
          <w:tcPr>
            <w:tcW w:w="25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group (10 individuals)</w:t>
            </w: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5% Holders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Global Catalyst Partners III, L.P.</w:t>
            </w:r>
            <w:r>
              <w:rPr>
                <w:rFonts w:ascii="Times New Roman" w:cs="Times New Roman" w:eastAsia="Times New Roman" w:hAnsi="Times New Roman"/>
                <w:sz w:val="20"/>
                <w:szCs w:val="20"/>
                <w:color w:val="auto"/>
                <w:vertAlign w:val="superscript"/>
              </w:rPr>
              <w:t>(11)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35,188,205</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000" w:hanging="385"/>
        <w:spacing w:after="0"/>
        <w:tabs>
          <w:tab w:leader="none" w:pos="10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19" w:lineRule="exact"/>
        <w:rPr>
          <w:sz w:val="20"/>
          <w:szCs w:val="20"/>
          <w:color w:val="auto"/>
        </w:rPr>
      </w:pPr>
    </w:p>
    <w:p>
      <w:pPr>
        <w:jc w:val="both"/>
        <w:ind w:left="1020" w:right="619" w:hanging="405"/>
        <w:spacing w:after="0" w:line="260" w:lineRule="auto"/>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833,435 shares of Class A Common Stock that are issuable upon exercise of stock options which are currently exercisable and 55,000 shares of Class A Common Stock issuable upon vesting of outstanding restricted stock units that vest within 60 days of October 19, 2022.</w:t>
      </w:r>
    </w:p>
    <w:p>
      <w:pPr>
        <w:sectPr>
          <w:pgSz w:w="11900" w:h="16838" w:orient="portrait"/>
          <w:cols w:equalWidth="0" w:num="1">
            <w:col w:w="9019"/>
          </w:cols>
          <w:pgMar w:left="1440" w:top="26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08" w:name="page109"/>
    <w:bookmarkEnd w:id="10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1" w:lineRule="exact"/>
        <w:rPr>
          <w:sz w:val="20"/>
          <w:szCs w:val="20"/>
          <w:color w:val="auto"/>
        </w:rPr>
      </w:pPr>
    </w:p>
    <w:p>
      <w:pPr>
        <w:ind w:left="1020" w:right="639" w:hanging="405"/>
        <w:spacing w:after="0" w:line="249"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19,722 shares of Class A Common Stock issuable upon vesting of outstanding restricted stock units that vest within 60 days of October 19, 2022.</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October 19, 2022 and 919,751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3" w:lineRule="exact"/>
        <w:rPr>
          <w:rFonts w:ascii="Times New Roman" w:cs="Times New Roman" w:eastAsia="Times New Roman" w:hAnsi="Times New Roman"/>
          <w:sz w:val="16"/>
          <w:szCs w:val="16"/>
          <w:color w:val="auto"/>
        </w:rPr>
      </w:pPr>
    </w:p>
    <w:p>
      <w:pPr>
        <w:ind w:left="1020" w:right="639" w:hanging="405"/>
        <w:spacing w:after="0" w:line="253"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October 19, 2022.</w:t>
      </w:r>
    </w:p>
    <w:p>
      <w:pPr>
        <w:spacing w:after="0" w:line="1" w:lineRule="exact"/>
        <w:rPr>
          <w:rFonts w:ascii="Times New Roman" w:cs="Times New Roman" w:eastAsia="Times New Roman" w:hAnsi="Times New Roman"/>
          <w:sz w:val="16"/>
          <w:szCs w:val="16"/>
          <w:color w:val="auto"/>
        </w:rPr>
      </w:pPr>
    </w:p>
    <w:p>
      <w:pPr>
        <w:ind w:left="1020" w:right="639" w:hanging="405"/>
        <w:spacing w:after="0" w:line="253"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October 19, 2022.</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666,748 shares of Class A Common Stock that are issuable upon exercise of stock options which are currently exercisable and 19,722 shares of Class A Common Stock issuable upon vesting of outstanding restricted stock units that vest within 60 days of October 19, 2022.</w:t>
      </w:r>
    </w:p>
    <w:p>
      <w:pPr>
        <w:spacing w:after="0" w:line="1" w:lineRule="exact"/>
        <w:rPr>
          <w:rFonts w:ascii="Times New Roman" w:cs="Times New Roman" w:eastAsia="Times New Roman" w:hAnsi="Times New Roman"/>
          <w:sz w:val="16"/>
          <w:szCs w:val="16"/>
          <w:color w:val="auto"/>
        </w:rPr>
      </w:pPr>
    </w:p>
    <w:p>
      <w:pPr>
        <w:jc w:val="both"/>
        <w:ind w:left="1020" w:right="639" w:hanging="405"/>
        <w:spacing w:after="0" w:line="253"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51,447 shares of Class A Common Stock that are issuable upon exercise of stock options which are currently exercisable and 25,000 shares of Class A Common Stock issuable upon vesting of outstanding restricted stock units that vest within 60 days of October 19, 2022.</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750,964 shares of Class A Common Stock in exchange for securities pursuant to the Merger Agreement, 12,337 shares of Class A Common Stock from settlement of RSUs, 777,878 shares of Class A Common Stock that are issuable upon exercise of stock options that are currently exercisable or exercisable within 60 days of October 19, 2022 and 117,901 shares of Class A Common Stock issuable upon vesting of outstanding restricted stock units that vest within 60 days of October 19, 2022.</w:t>
      </w:r>
    </w:p>
    <w:p>
      <w:pPr>
        <w:spacing w:after="0" w:line="2"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96,460 shares of Class A Common Stock that are issuable upon exercise of stock options which are currently exercisable or exercisable within 60 days of October 19, 2022 and 25,000 shares of Class A Common Stock issuable upon vesting of outstanding restricted stock units that vest within 60 days of October 19, 2022.</w:t>
      </w:r>
    </w:p>
    <w:p>
      <w:pPr>
        <w:spacing w:after="0" w:line="1" w:lineRule="exact"/>
        <w:rPr>
          <w:rFonts w:ascii="Times New Roman" w:cs="Times New Roman" w:eastAsia="Times New Roman" w:hAnsi="Times New Roman"/>
          <w:sz w:val="16"/>
          <w:szCs w:val="16"/>
          <w:color w:val="auto"/>
        </w:rPr>
      </w:pPr>
    </w:p>
    <w:p>
      <w:pPr>
        <w:jc w:val="both"/>
        <w:ind w:left="1020" w:right="639" w:hanging="405"/>
        <w:spacing w:after="0" w:line="253"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912,148 shares of Class A Common Stock that are issuable upon exercise of stock options which are currently exercisable or exercisable within 60 days of October 19, 2022 and 25,000 shares of Class A Common Stock issuable upon vesting of outstanding restricted stock units that vest within 60 days of October 19, 2022.</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58" w:lineRule="auto"/>
        <w:tabs>
          <w:tab w:leader="none" w:pos="1014"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9" w:name="page110"/>
    <w:bookmarkEnd w:id="10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This prospectus relates to the offer and resale of an aggregate of up to (i) 56,348,404 Class A Shares by Selling Securityholders (ii) the resale by certain of our affiliates from time to time of up to 40,396,600 Class A Shares issuable upon conversion of shares of Class B Shares, (iii) the resale from time to time of up to 174,750 Placement Warrants and (iv) the issuance by us of up to 3,457,996 Class A Shares upon the exercise of outstanding Registered Warrants. The Selling Securityholders may from time to time offer and sell any or all of the shares of Class A Common Stock and Placement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Class A Common Stock or Placement Warrants other than through a public sale. We are also registering the issuance of shares of Class A Common Stock issuable on exercise of Registered Warrants as required by the Warrant Agreement by and between ATSP and Continental Stock Transfer &amp; Trust Company.</w:t>
      </w:r>
    </w:p>
    <w:p>
      <w:pPr>
        <w:spacing w:after="0" w:line="110"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The table below lists the Selling Securityholders and other information regarding the beneficial ownership of the shares of Common Stock by each of the Selling Securityholders. Percentage of beneficial ownership of shares of Class A Common Stock by a Selling Securityholder after this offering is based on 157,123,202 shares of Class A Common Stock issued and outstanding on October 19, 2022. Additionally, in determining the percentage beneficial ownership of shares of Class A Common Stock of a Selling Securityholder shares of Class A Common Stock issuable to such Selling Securityholder upon the exercise of stock options are included in the number of issued and outstanding shares of Class A Common Stock for such Selling Securityholder, but not stock options held by any other Selling Securityholder.</w:t>
      </w:r>
    </w:p>
    <w:p>
      <w:pPr>
        <w:spacing w:after="0" w:line="108"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We cannot advise you as to whether the Selling Securityholders will in fact sell any or all of such securities. In particular, the Selling Securityholders identified below may have sold, transferred or otherwise disposed of all or a portion of their securities after the date on which they provided us with information regarding their securities.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w:t>
      </w:r>
    </w:p>
    <w:p>
      <w:pPr>
        <w:spacing w:after="0" w:line="304" w:lineRule="exact"/>
        <w:rPr>
          <w:sz w:val="20"/>
          <w:szCs w:val="20"/>
          <w:color w:val="auto"/>
        </w:rPr>
      </w:pPr>
    </w:p>
    <w:p>
      <w:pPr>
        <w:jc w:val="both"/>
        <w:ind w:left="620" w:right="619" w:firstLine="415"/>
        <w:spacing w:after="0" w:line="294" w:lineRule="auto"/>
        <w:rPr>
          <w:sz w:val="20"/>
          <w:szCs w:val="20"/>
          <w:color w:val="auto"/>
        </w:rPr>
      </w:pPr>
      <w:r>
        <w:rPr>
          <w:rFonts w:ascii="Times New Roman" w:cs="Times New Roman" w:eastAsia="Times New Roman" w:hAnsi="Times New Roman"/>
          <w:sz w:val="17"/>
          <w:szCs w:val="17"/>
          <w:color w:val="auto"/>
        </w:rPr>
        <w:t>Please see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for further information regarding the Selling Securityholders’ method of distributing these securities.</w:t>
      </w:r>
    </w:p>
    <w:p>
      <w:pPr>
        <w:spacing w:after="0" w:line="9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3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 Owned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380" w:type="dxa"/>
            <w:vAlign w:val="bottom"/>
            <w:gridSpan w:val="4"/>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to be Sold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 this Offering</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 this Offering</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after this Offering</w:t>
            </w:r>
            <w:r>
              <w:rPr>
                <w:rFonts w:ascii="Times New Roman" w:cs="Times New Roman" w:eastAsia="Times New Roman" w:hAnsi="Times New Roman"/>
                <w:sz w:val="14"/>
                <w:szCs w:val="14"/>
                <w:b w:val="1"/>
                <w:bCs w:val="1"/>
                <w:color w:val="auto"/>
                <w:w w:val="96"/>
                <w:vertAlign w:val="superscript"/>
              </w:rPr>
              <w:t>(1)</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83"/>
        </w:trPr>
        <w:tc>
          <w:tcPr>
            <w:tcW w:w="2200" w:type="dxa"/>
            <w:vAlign w:val="bottom"/>
            <w:gridSpan w:val="2"/>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760" w:type="dxa"/>
            <w:vAlign w:val="bottom"/>
            <w:gridSpan w:val="3"/>
            <w:vMerge w:val="continue"/>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760" w:type="dxa"/>
            <w:vAlign w:val="bottom"/>
            <w:gridSpan w:val="3"/>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 Gassar International Limited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Andrew Jordan</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Arvind Reddy Ramalingam</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Balasubramanya Bhat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Blythe Elizabeth Edwards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97,676</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97,676</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Brent Callinicos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Bryant B. Edwards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181,399</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181,399</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CDRD Irrevocable Trust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Christy Albeck</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CPS 2022 Trust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204,250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204,250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L. Sheehan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Cota Capital Master Fund, L.P.</w:t>
            </w:r>
            <w:r>
              <w:rPr>
                <w:rFonts w:ascii="Times New Roman" w:cs="Times New Roman" w:eastAsia="Times New Roman" w:hAnsi="Times New Roman"/>
                <w:sz w:val="20"/>
                <w:szCs w:val="20"/>
                <w:color w:val="auto"/>
                <w:vertAlign w:val="superscript"/>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2,038,595</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1,738,595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22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Delphi Asset Management</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Corporation</w:t>
            </w:r>
            <w:r>
              <w:rPr>
                <w:rFonts w:ascii="Times New Roman" w:cs="Times New Roman" w:eastAsia="Times New Roman" w:hAnsi="Times New Roman"/>
                <w:sz w:val="20"/>
                <w:szCs w:val="20"/>
                <w:color w:val="auto"/>
                <w:vertAlign w:val="superscript"/>
              </w:rPr>
              <w:t>(2)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 Rogers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 Keyvan Mohajer</w:t>
            </w:r>
            <w:r>
              <w:rPr>
                <w:rFonts w:ascii="Times New Roman" w:cs="Times New Roman" w:eastAsia="Times New Roman" w:hAnsi="Times New Roman"/>
                <w:sz w:val="20"/>
                <w:szCs w:val="20"/>
                <w:color w:val="auto"/>
                <w:vertAlign w:val="superscript"/>
              </w:rPr>
              <w:t>(3)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17,472,499</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17,472,499</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Majid Emami</w:t>
            </w:r>
            <w:r>
              <w:rPr>
                <w:rFonts w:ascii="Times New Roman" w:cs="Times New Roman" w:eastAsia="Times New Roman" w:hAnsi="Times New Roman"/>
                <w:sz w:val="20"/>
                <w:szCs w:val="20"/>
                <w:color w:val="auto"/>
                <w:vertAlign w:val="superscript"/>
              </w:rPr>
              <w:t>(4)</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19,250,504</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19,250,504</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2"/>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Eyal Gutkind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2"/>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Global Catalyst Partners III, L.P.</w:t>
            </w:r>
            <w:r>
              <w:rPr>
                <w:rFonts w:ascii="Times New Roman" w:cs="Times New Roman" w:eastAsia="Times New Roman" w:hAnsi="Times New Roman"/>
                <w:sz w:val="20"/>
                <w:szCs w:val="20"/>
                <w:color w:val="auto"/>
                <w:vertAlign w:val="superscript"/>
              </w:rPr>
              <w:t>(2)(5)</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35,188,205</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35,188,205</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2"/>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Gopi Rao</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Harald Link</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HTC (BVI) Corp.</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5,931.938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5,831,938</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IB Capital LLC</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Jagannadha Sri Harsha Putrevu</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1">
            <w:col w:w="9019"/>
          </w:cols>
          <w:pgMar w:left="1440" w:top="264" w:right="1440" w:bottom="8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840" w:gutter="0" w:footer="0" w:header="0"/>
          <w:type w:val="continuous"/>
        </w:sectPr>
      </w:pPr>
    </w:p>
    <w:bookmarkStart w:id="110" w:name="page111"/>
    <w:bookmarkEnd w:id="11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5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3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Securities Owned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380" w:type="dxa"/>
            <w:vAlign w:val="bottom"/>
            <w:gridSpan w:val="4"/>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to be Sold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 this Offering</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 this Offering</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after this Offering</w:t>
            </w:r>
            <w:r>
              <w:rPr>
                <w:rFonts w:ascii="Times New Roman" w:cs="Times New Roman" w:eastAsia="Times New Roman" w:hAnsi="Times New Roman"/>
                <w:sz w:val="14"/>
                <w:szCs w:val="14"/>
                <w:b w:val="1"/>
                <w:bCs w:val="1"/>
                <w:color w:val="auto"/>
                <w:vertAlign w:val="superscript"/>
              </w:rPr>
              <w:t>(1)</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48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Percentage Warrants</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83"/>
        </w:trPr>
        <w:tc>
          <w:tcPr>
            <w:tcW w:w="2200" w:type="dxa"/>
            <w:vAlign w:val="bottom"/>
            <w:gridSpan w:val="3"/>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760" w:type="dxa"/>
            <w:vAlign w:val="bottom"/>
            <w:gridSpan w:val="3"/>
            <w:vMerge w:val="continue"/>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760" w:type="dxa"/>
            <w:vAlign w:val="bottom"/>
            <w:gridSpan w:val="3"/>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gridSpan w:val="5"/>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Jalender Reddy Musku</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Jennifer Wade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Kai Ming Chan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Laxminarayan Chavani</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 Long</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484,963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484,963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Lorenzen Family Holdings, LLC</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Luc Julia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2"/>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James Hom</w:t>
            </w:r>
            <w:r>
              <w:rPr>
                <w:rFonts w:ascii="Times New Roman" w:cs="Times New Roman" w:eastAsia="Times New Roman" w:hAnsi="Times New Roman"/>
                <w:sz w:val="20"/>
                <w:szCs w:val="20"/>
                <w:color w:val="auto"/>
                <w:vertAlign w:val="superscript"/>
              </w:rPr>
              <w:t>(6)</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5,173,780</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5,173,780</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Jennifer Wade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M&amp;F Fund I LP</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Maheedhar Gunturu</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2"/>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Marcus Family Trust, dated 7/8/04</w:t>
            </w:r>
            <w:r>
              <w:rPr>
                <w:rFonts w:ascii="Times New Roman" w:cs="Times New Roman" w:eastAsia="Times New Roman" w:hAnsi="Times New Roman"/>
                <w:sz w:val="20"/>
                <w:szCs w:val="20"/>
                <w:color w:val="auto"/>
                <w:vertAlign w:val="superscript"/>
              </w:rPr>
              <w:t>(7)</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919,751</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919,751</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Mayank Kaul</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Melvin Honda</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Meteora Capital Partners, LP</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2"/>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Michael Zagorsek</w:t>
            </w:r>
            <w:r>
              <w:rPr>
                <w:rFonts w:ascii="Times New Roman" w:cs="Times New Roman" w:eastAsia="Times New Roman" w:hAnsi="Times New Roman"/>
                <w:sz w:val="20"/>
                <w:szCs w:val="20"/>
                <w:color w:val="auto"/>
                <w:vertAlign w:val="superscript"/>
              </w:rPr>
              <w:t>(8)</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1,139,030</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1,139,030</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Mike Zabaneh</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MKaNN LLC</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3,198,444</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3,098,444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Naveen Adibhatla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Nikesh Mukesh Jain</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Nitesh Sharan</w:t>
            </w:r>
            <w:r>
              <w:rPr>
                <w:rFonts w:ascii="Times New Roman" w:cs="Times New Roman" w:eastAsia="Times New Roman" w:hAnsi="Times New Roman"/>
                <w:sz w:val="20"/>
                <w:szCs w:val="20"/>
                <w:color w:val="auto"/>
                <w:vertAlign w:val="superscript"/>
              </w:rPr>
              <w:t>(9)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308,677</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308,677</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Pai Family Irrevocable Trust,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dated 02-22-2021</w:t>
            </w:r>
          </w:p>
        </w:tc>
        <w:tc>
          <w:tcPr>
            <w:tcW w:w="64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Patanjali Peri</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Patrick Jordan</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Pavan Reddy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Pejman Capital, LLC</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496,293</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396,293</w:t>
            </w:r>
          </w:p>
        </w:tc>
        <w:tc>
          <w:tcPr>
            <w:tcW w:w="74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Provco Ventures I, LP</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2"/>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QFB Tech LP</w:t>
            </w:r>
            <w:r>
              <w:rPr>
                <w:rFonts w:ascii="Times New Roman" w:cs="Times New Roman" w:eastAsia="Times New Roman" w:hAnsi="Times New Roman"/>
                <w:sz w:val="20"/>
                <w:szCs w:val="20"/>
                <w:color w:val="auto"/>
                <w:vertAlign w:val="superscript"/>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Qualcomm Ventures LLC</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Rajan Pai</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Ralph Kuskye Jr.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Ronald Perkes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Sasidhar Gunturu</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Seshu Kalluri</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Sharny Cherie Kieser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SOMPO Light Vortex Inc.</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Sophia Laurice Casey Cannon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Spring Creek Capital, LLC</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N. Cannon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Structural Capital Investments III,</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279,394</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179,394</w:t>
            </w:r>
          </w:p>
        </w:tc>
        <w:tc>
          <w:tcPr>
            <w:tcW w:w="7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LP</w:t>
            </w: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Subramanian Srinivasan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The Ball Axline Living Trust,</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dated July 22, 2014</w:t>
            </w:r>
            <w:r>
              <w:rPr>
                <w:rFonts w:ascii="Times New Roman" w:cs="Times New Roman" w:eastAsia="Times New Roman" w:hAnsi="Times New Roman"/>
                <w:sz w:val="20"/>
                <w:szCs w:val="20"/>
                <w:color w:val="auto"/>
                <w:vertAlign w:val="superscript"/>
              </w:rPr>
              <w:t>(10)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560,250</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560,250</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The Kollengode Family Trust,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dated April 8, 2022</w:t>
            </w: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Timothy Stonehocker</w:t>
            </w:r>
            <w:r>
              <w:rPr>
                <w:rFonts w:ascii="Times New Roman" w:cs="Times New Roman" w:eastAsia="Times New Roman" w:hAnsi="Times New Roman"/>
                <w:sz w:val="20"/>
                <w:szCs w:val="20"/>
                <w:color w:val="auto"/>
                <w:vertAlign w:val="superscript"/>
              </w:rPr>
              <w:t>(11)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1,556,621</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1,556,621</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VIZIO Investments LLC</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Vijay Parthasarathy</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Vishwesh Pai</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Walden Sprout Opportunities Fund-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 LLC</w:t>
            </w:r>
            <w:r>
              <w:rPr>
                <w:rFonts w:ascii="Times New Roman" w:cs="Times New Roman" w:eastAsia="Times New Roman" w:hAnsi="Times New Roman"/>
                <w:sz w:val="20"/>
                <w:szCs w:val="20"/>
                <w:color w:val="auto"/>
                <w:vertAlign w:val="superscript"/>
              </w:rPr>
              <w:t>(12)</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525,650</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525,650</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Wing Yee Teresa Yeung</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Worthy Ray Limited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Zubin Irani</w:t>
            </w:r>
            <w:r>
              <w:rPr>
                <w:rFonts w:ascii="Times New Roman" w:cs="Times New Roman" w:eastAsia="Times New Roman" w:hAnsi="Times New Roman"/>
                <w:sz w:val="20"/>
                <w:szCs w:val="20"/>
                <w:color w:val="auto"/>
                <w:vertAlign w:val="superscript"/>
              </w:rPr>
              <w:t>(13)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205,787</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205,787</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0"/>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7"/>
              </w:rPr>
              <w:t>*Less than 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0" w:gutter="0" w:footer="0" w:header="0"/>
        </w:sectPr>
      </w:pPr>
    </w:p>
    <w:bookmarkStart w:id="111" w:name="page112"/>
    <w:bookmarkEnd w:id="111"/>
    <w:p>
      <w:pPr>
        <w:jc w:val="both"/>
        <w:ind w:left="1020" w:right="619" w:hanging="405"/>
        <w:spacing w:after="0" w:line="259" w:lineRule="auto"/>
        <w:tabs>
          <w:tab w:leader="none" w:pos="10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know when or in what amounts the Selling Securityholders will offer the resale securities for sale, if at all. The Selling Securityholders may sell any or all of the resale securities included in and offered by this prospectus. We cannot estimate the number of resale securities that will be held by the Selling Securityholders after completion of the offering. However, for purposes of this table, we have assumed that after completion of the offering all of the resale securities will have been sold by the Selling Securityholders.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1" w:lineRule="exact"/>
        <w:rPr>
          <w:sz w:val="20"/>
          <w:szCs w:val="20"/>
          <w:color w:val="auto"/>
        </w:rPr>
      </w:pPr>
    </w:p>
    <w:p>
      <w:pPr>
        <w:ind w:left="1020" w:right="619" w:hanging="405"/>
        <w:spacing w:after="0" w:line="249" w:lineRule="auto"/>
        <w:tabs>
          <w:tab w:leader="none" w:pos="10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securities are being registered in accordance with the terms of Subscription Agreements dated November 15, 2021 and April 9, 2022, by and between the Company and certain accredited investors.</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89" w:lineRule="auto"/>
        <w:tabs>
          <w:tab w:leader="none" w:pos="10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16,639,064 shares of Class A Common Stock issuable upon conversion of 16,639,064 shares of Class B Common Stock of SoundHound AI. These securities are subject to a contractual lock-up for 12 months following the Closing, subject to limited exceptions, and are being registered in accordance with the terms of an Amended and Restated Registration Rights Agreement, dated as of April 26, 2022, by and between the Company, the Selling Securityholder and the other parties thereto. Also represents 833,435 shares of Class A Common Stock issuable upon exercise of stock options issued pursuant to the Merger Agreement in exchange for SoundHound options granted on March 28, 2017. The shares subject to the option vested 100% at grant date. Dr. Keyvan Mohajer has served as the Chief Executive Officer and a member of the board of directors of the Company since the Closing.</w:t>
      </w:r>
    </w:p>
    <w:p>
      <w:pPr>
        <w:spacing w:after="0" w:line="4" w:lineRule="exact"/>
        <w:rPr>
          <w:rFonts w:ascii="Times New Roman" w:cs="Times New Roman" w:eastAsia="Times New Roman" w:hAnsi="Times New Roman"/>
          <w:sz w:val="14"/>
          <w:szCs w:val="14"/>
          <w:color w:val="auto"/>
        </w:rPr>
      </w:pPr>
    </w:p>
    <w:p>
      <w:pPr>
        <w:jc w:val="both"/>
        <w:ind w:left="1020" w:right="619" w:hanging="405"/>
        <w:spacing w:after="0" w:line="253" w:lineRule="auto"/>
        <w:tabs>
          <w:tab w:leader="none" w:pos="10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18,583,756 shares of Class A Common Stock issuable upon conversion of 18,583,756 shares of Class B Common Stock of SoundHound AI. These securities are being registered in accordance with the terms of an Amended and Restated Registration Rights Agreement, dated as of April 26, 2022, by and between the Company, the Selling Securityholder and the other parties thereto. Also represents 666,748 shares of Class A Common Stock issuable upon exercise of stock options issued pursuant to the Merger Agreement in exchange for SoundHound options granted on March 28, 2017. The shares subject to the option vested 100% at grant date. Dr. Majid Emami has served as a member of the board of directors of the Company since the Closing.</w:t>
      </w:r>
    </w:p>
    <w:p>
      <w:pPr>
        <w:spacing w:after="0" w:line="3"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35,188,205 shares of Class A Common Stock of SoundHound AI, Inc. Kamran Elahian has voting and investment control of the shares held by Global Catalyst Partners III, L.P. and may be deemed to beneficially own the securities owned directly by Global Catalyst Partners III, L.P. Kamran Elahian served as a member of the board of directors of SoundHound, Inc. prior to the Closing.</w:t>
      </w:r>
    </w:p>
    <w:p>
      <w:pPr>
        <w:spacing w:after="0" w:line="2"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98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5,173,780 shares of Class A Common Stock issuable upon conversion of 5,173,780 shares of Class B Common Stock of SoundHound AI. James Hom has served as a member of the board of directors of the Company since the Closing. These securities are being registered in accordance with the terms of an Amended and Restated Registration Rights Agreement, dated as of April 26, 2022, by and between the Company, the Selling Securityholder and the other parties thereto.</w:t>
      </w:r>
    </w:p>
    <w:p>
      <w:pPr>
        <w:spacing w:after="0" w:line="2" w:lineRule="exact"/>
        <w:rPr>
          <w:rFonts w:ascii="Times New Roman" w:cs="Times New Roman" w:eastAsia="Times New Roman" w:hAnsi="Times New Roman"/>
          <w:sz w:val="16"/>
          <w:szCs w:val="16"/>
          <w:color w:val="auto"/>
        </w:rPr>
      </w:pPr>
    </w:p>
    <w:p>
      <w:pPr>
        <w:ind w:left="1020" w:right="619" w:hanging="405"/>
        <w:spacing w:after="0" w:line="253" w:lineRule="auto"/>
        <w:tabs>
          <w:tab w:leader="none" w:pos="10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Marcus Family Trust, dated 7/8/04, is a trust, with Larry Marcus appointed as the trustee with investment authority. Larry Marcus has served as a member of the board of directors of the Company since the Closing.</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95" w:lineRule="auto"/>
        <w:tabs>
          <w:tab w:leader="none" w:pos="10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issuance of (i) 416,718 shares of Class A Common Stock issuable upon exercise of stock options issued pursuant to the Merger Agreement in exchange for SoundHound options granted July 26, 2016 which are fully vested as of the date of this filing, (ii) 138,906 shares of Class A Common Stock issuable upon exercise of stock options issued pursuant to the Merger Agreement in exchange for SoundHound options granted on September 6, 2017 which are fully vested as of the date of this filing, (iii) 138,907 shares of Class A Common Stock issuable upon exercise of stock options issued pursuant to the Merger Agreement in exchange for SoundHound options granted on August 15, 2019; the shares subject to the option vested 25% of the shares on August 1, 2020 and the remainder vests in 36 equal monthly installments thereafter and (iv) 444,499 shares of Class A Common Stock issuable upon exercise of stock options issued pursuant to the Merger Agreement in exchange for SoundHound options granted on October 27, 2020; the shares subject to the option vest in 48 equal monthly installments beginning November 1, 2020. Michael Zagorsek served as the Chief Operating Officer of SoundHound, Inc. prior to the Closing.</w:t>
      </w:r>
    </w:p>
    <w:p>
      <w:pPr>
        <w:spacing w:after="0" w:line="160" w:lineRule="exact"/>
        <w:rPr>
          <w:rFonts w:ascii="Times New Roman" w:cs="Times New Roman" w:eastAsia="Times New Roman" w:hAnsi="Times New Roman"/>
          <w:sz w:val="14"/>
          <w:szCs w:val="14"/>
          <w:color w:val="auto"/>
        </w:rPr>
      </w:pPr>
    </w:p>
    <w:p>
      <w:pPr>
        <w:jc w:val="both"/>
        <w:ind w:left="1020" w:right="619" w:hanging="405"/>
        <w:spacing w:after="0" w:line="253" w:lineRule="auto"/>
        <w:tabs>
          <w:tab w:leader="none" w:pos="10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308,677 shares of Class A Common Stock of SoundHound AI, Inc., issuable upon exercise of options, issued pursuant to the Merger Agreement in exchange for SoundHound options granted on September 27, 2021. The shares subject to the option vested 25% of the shares on September 15, 2022 and the remainder vests in 36 equal monthly installments thereafter, subject to Mr. Nitesh’s continuous service through each such vesting date. Nitesh Sharan served as the Chief Financial Officer of SoundHound, Inc. prior to the Closing.</w:t>
      </w:r>
    </w:p>
    <w:p>
      <w:pPr>
        <w:spacing w:after="0" w:line="2"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Ball Axline Living Trust, dated July 22, 2014, is a trust, with Dr. Eric Ball appointed as the trustee with investment authority. Dr. Eric Ball has served as a member of the board of directors of the Company since the Closing.</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96" w:lineRule="auto"/>
        <w:tabs>
          <w:tab w:leader="none" w:pos="101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issuance of (i) 750,964 Class A Shares in exchange for securities of SoundHound, Inc. pursuant to the Merger Agreement (ii) 222,250 shares of Class A Common Stock issuable upon exercise of stock options issued pursuant to the Merger Agreement in exchange for SoundHound options granted on May19, 2015 which vested 100% at grant date, (iii) 416,719 shares of Class A Common Stock issuable upon exercise of stock options issued pursuant to the Merger Agreement in exchange for SoundHound options granted on December 15, 2016 which are fully vested as of the date of this filing and (iv) 166,688 shares of Class A Common Stock issuable upon exercise of stock options issued pursuant to the Merger Agreement in exchange for SoundHound options granted on August 15, 2019. The shares subject to the option vested 25% of the shares on January 8, 2019 and the remainder vests in 36 equal monthly installments thereafter, subject to Mr. Stonehocker’s continuous service through each such vesting date. Timothy Stonehocker served as the Chief Technology Officer of SoundHound, Inc. prior to the Closing.</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3" w:name="page114"/>
    <w:bookmarkEnd w:id="11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1" w:lineRule="exact"/>
        <w:rPr>
          <w:sz w:val="20"/>
          <w:szCs w:val="20"/>
          <w:color w:val="auto"/>
        </w:rPr>
      </w:pPr>
    </w:p>
    <w:p>
      <w:pPr>
        <w:jc w:val="both"/>
        <w:ind w:left="1020" w:right="619" w:hanging="405"/>
        <w:spacing w:after="0" w:line="251" w:lineRule="auto"/>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525,650 shares of Class A Common Stock of SoundHound AI, Inc. Larry Marcus has voting and investment control of the shares held by Walden Sprout Opportunities Fund-A, LLC and may be deemed to beneficially own the securities owned directly by Walden Sprout Opportunities Fund-A, LLC. Larry Marcus has served as a member of the board of directors of the Company since the Closing.</w:t>
      </w:r>
    </w:p>
    <w:p>
      <w:pPr>
        <w:spacing w:after="0" w:line="2" w:lineRule="exact"/>
        <w:rPr>
          <w:rFonts w:ascii="Times New Roman" w:cs="Times New Roman" w:eastAsia="Times New Roman" w:hAnsi="Times New Roman"/>
          <w:sz w:val="16"/>
          <w:szCs w:val="16"/>
          <w:color w:val="auto"/>
        </w:rPr>
      </w:pPr>
    </w:p>
    <w:p>
      <w:pPr>
        <w:jc w:val="both"/>
        <w:ind w:left="1020" w:right="639" w:hanging="405"/>
        <w:spacing w:after="0" w:line="260" w:lineRule="auto"/>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205,787 shares of Class A Common Stock issuable upon exercise of stock options issued pursuant to the Merger Agreement in exchange for SoundHound options granted September 27, 2021 which vest quarterly over 4 years. Zubin Irani served as the Chief Revenue Officer of SoundHound, Inc. prior to the Closing.</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 Note About this Offering</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This prospectus relates (i) the offer and resale of an aggregate of up to 56,348,404 shares of Class A Shares of the Company held by Selling Securityholders (representing 23.6% of the total number of shares of Class A Common Stock outstanding on a fully diluted basis), including (a) the PIPE Shares issued at $10.00 per share, (b) securities held by our officers, directors and their affiliates which were originally issued as</w:t>
      </w:r>
    </w:p>
    <w:p>
      <w:pPr>
        <w:spacing w:after="0" w:line="1" w:lineRule="exact"/>
        <w:rPr>
          <w:sz w:val="20"/>
          <w:szCs w:val="20"/>
          <w:color w:val="auto"/>
        </w:rPr>
      </w:pPr>
    </w:p>
    <w:p>
      <w:pPr>
        <w:jc w:val="both"/>
        <w:ind w:left="620" w:right="619" w:hanging="5"/>
        <w:spacing w:after="0" w:line="255" w:lineRule="auto"/>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in connection with ATSP’s IPO for approximately $0.009 per share and (2) as part of placement units in connection with ATSP’s IPO at a price of $10.00 per placement unit, and (c)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(ii) the resale by certain of our affiliates from time to time of up to 40,396,600 Class A Shares (representing approximately 16.7% of the total number of shares of Class A Common Stock outstanding on a fully diluted basis) issuable upon conversion of Class B Shares issued pursuant to the Merger Agreement in connection with the Business Combination as merger consideration at an acquiror share value of $0.0073 per share, (iii) the resale from time to time of up to 174,750 Placement Warrants, each exercisable for one share of Class A Common Stock at a price of $11.50, subject to adjustment, which were originally issued as part of placement units in connection with ATSP’s IPO at a price of $10.00 per placement unit and (iv) the issuance by us of up to 3,457,996 Class A Shares upon the exercise of outstanding warrants to purchase our Class A Shares at an exercise price of $11.50, which were originally issued as part of the units in connection with ATSP’s IPO at a price of $10.00 per unit.</w:t>
      </w:r>
    </w:p>
    <w:p>
      <w:pPr>
        <w:spacing w:after="0" w:line="32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Even if the trading price of our Class A Common Stock is significantly below $10.00, the offering price for the units offered in ATSP’s IPO, certain of the selling securityholders may still have an incentive to sell shares of our Class A Common Stock because they purchased or received the shares at prices lower than the public investors or the current trading price of our Class A Common Stock and thus have an incentive to sell because they will still profit on sales and receive a positive rate of return due to the lower price that they purchased or received their shares than the public investors, who may not experience a similar rate of return on the securities they purchased due to differences in the purchase prices and the current trading price.</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Based on the closing price of our Class A Common Stock of $3.13 as of October 19, 2022, holders of</w:t>
      </w:r>
    </w:p>
    <w:p>
      <w:pPr>
        <w:spacing w:after="0" w:line="31" w:lineRule="exact"/>
        <w:rPr>
          <w:sz w:val="20"/>
          <w:szCs w:val="20"/>
          <w:color w:val="auto"/>
        </w:rPr>
      </w:pPr>
    </w:p>
    <w:p>
      <w:pPr>
        <w:jc w:val="both"/>
        <w:ind w:left="620" w:right="619" w:hanging="5"/>
        <w:spacing w:after="0" w:line="254" w:lineRule="auto"/>
        <w:tabs>
          <w:tab w:leader="none" w:pos="82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56,348,404 shares of Class A Common Stock of SoundHound AI held by Selling Securityholders, including the PIPE Shares issued at $10.00 per share would be expected to earn a potential loss of $6.87 per share (exclusive of the value of any other securities issued in the original transaction), securities held by our officers, directors and their affiliates (which were originally issued as founder shares in connection with ATSP’s IPO for approximately $0.009 would be expected to earn a potential profit of $3.12 per share, and as part of placement units in connection with ATSP’s IPO at a price of $10.00 per placement unit would be expected to earn a potential loss of $6.87 per share (exclusive of the value of any other securities issued in the original transaction)),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would be expected to earn a potential profit, upon exercise, of $0.08 per share,</w:t>
      </w:r>
    </w:p>
    <w:p>
      <w:pPr>
        <w:spacing w:after="0" w:line="6" w:lineRule="exact"/>
        <w:rPr>
          <w:rFonts w:ascii="Times New Roman" w:cs="Times New Roman" w:eastAsia="Times New Roman" w:hAnsi="Times New Roman"/>
          <w:sz w:val="17"/>
          <w:szCs w:val="17"/>
          <w:color w:val="auto"/>
        </w:rPr>
      </w:pPr>
    </w:p>
    <w:p>
      <w:pPr>
        <w:jc w:val="both"/>
        <w:ind w:left="620" w:right="619" w:hanging="5"/>
        <w:spacing w:after="0" w:line="258" w:lineRule="auto"/>
        <w:tabs>
          <w:tab w:leader="none" w:pos="89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resale by certain of our affiliates from time to time of up to 40,396,600 Class A Shares (representing approximately 16.7% of the total number of shares of Class A Common Stock outstanding on a fully diluted basis) issuable upon conversion of shares of Class B Common Stock issued pursuant to the Merger Agreement in connection with the Business Combination as merger consideration at an acquiror share value of $0.0073 per share would be expected to earn a potential profit of $3.12 per share, (iii) the resale from time to time of up to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4" w:name="page115"/>
    <w:bookmarkEnd w:id="11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59" w:lineRule="auto"/>
        <w:rPr>
          <w:sz w:val="20"/>
          <w:szCs w:val="20"/>
          <w:color w:val="auto"/>
        </w:rPr>
      </w:pPr>
      <w:r>
        <w:rPr>
          <w:rFonts w:ascii="Times New Roman" w:cs="Times New Roman" w:eastAsia="Times New Roman" w:hAnsi="Times New Roman"/>
          <w:sz w:val="17"/>
          <w:szCs w:val="17"/>
          <w:color w:val="auto"/>
        </w:rPr>
        <w:t>174,750 Placement Warrants, each exercisable for one share of Class A Common Stock at a price of $11.50, subject to adjustment, which were originally issued as part of placement units in connection with ATSP’s IPO at a price of $10.00 per placement unit, would be expected to earn upon exercise a potential loss of $8.37 per share (exclusive of the value of any other securities issued in the original transaction) and (iv) the issuance by us of up to 3,457,996 Class A Shares upon the exercise of outstanding Warrants to purchase our Class A Shares at an exercise price of $11.50 (upon exercise representing approximately 1.4% of the total number of shares of Class A Common Stock outstanding on a fully diluted basis), as part of the units in connection with ATSP’s IPO at a price of $10.00 per unit, would be expected to earn upon exercise a potential loss of $8.37 per share (exclusive of the value of any other securities issued in the original transaction).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5" w:name="page116"/>
    <w:bookmarkEnd w:id="11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4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following is a summary of the rights of our common stock and preferred stock, certain provisions of our Amended Charter and our Amended and Restated Bylaws and applicable law. This summary does not purport to be complete and is qualified in its entirety by the provisions of our Amended Charter and our Amended and Restated Bylaws, copies of which have been filed as exhibits to the registration statement and are incorporated by reference to our registration statement, of which this prospectus forms a part.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 of October 19, 2022, our authorized capital stock consists of 500,000,000 shares, par value $0.0001 per share, consisting of: 499,000,000 shares of common stock, of which, 455,000,000 shares are designated as Class A Common Stock and 44,000,000 shares are designated as Class B Common Stock; and 1,000,000 shares of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Class A Common Stock and Class B Common Stock</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There were 197,519,802 shares of Company common stock issued and outstanding as of October 19, 2022, which calculation includes 157,123,202 shares of the Company’s Class A Common Stock, 40,396,600 shares of the Company’s Class B Common Stock. In addition, there are 3,665,996 shares of Class A Common Stock issuable upon exercise of outstanding warrants, no shares of Class B Common Stock issuable upon exercise of outstanding warrants, 26,607,780 shares of Class A Common Stock issuable upon exercise of outstanding stock options, 13,528,980 shares of Class A Common Stock issuable upon vesting of restricted stock units and no shares of Class B Common Stock issuable upon exercise of outstanding stock options or restricted stock units.</w:t>
      </w:r>
    </w:p>
    <w:p>
      <w:pPr>
        <w:spacing w:after="0" w:line="307"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The Amended Charter provides for two classes of Common Stock, with the Class B Common Stock being entitled to ten votes per share and having certain rights to convert into, and under certain circumstances being subject to mandatory conversion into, shares of Class A Common Stock. The Amended Charter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will provide, for mandatory or optional conversion of the Class B Common Stock upon the occurrence of circumstances described in the Amended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Class B Common Stock is not entitled to pre-emptive rights and is not subject to conversion or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5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As of the date of this prospectus, we have no shares of preferred stock designated or outstanding, but our board of directors will be authorized, without further action by the stockholders, to establish one or more class or series, and fix the relative rights and preferences of the company’s undesignated capital stock.</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Options and Restricted Stock Units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As of October 19, 2022, we had outstanding options to purchase an aggregate 26,607,780 shares of our Class A Common Stock and 13,528,980 outstanding restricted stock units.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6" w:name="page117"/>
    <w:bookmarkEnd w:id="11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As of October 19, 2022, 3,665,996 Warrants are outstanding. The terms of the Placement Warrants and the terms of the Public Warrants are identical.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21"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8"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0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90"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7" w:name="page118"/>
    <w:bookmarkEnd w:id="11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8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Anti-Takeover Provisions of Delaware Law and Our Amended Charter and Amended Bylaws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Special meeting of stockholders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Our Amended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p>
    <w:p>
      <w:pPr>
        <w:spacing w:after="0" w:line="157" w:lineRule="exact"/>
        <w:rPr>
          <w:sz w:val="20"/>
          <w:szCs w:val="20"/>
          <w:color w:val="auto"/>
        </w:rPr>
      </w:pPr>
    </w:p>
    <w:p>
      <w:pPr>
        <w:jc w:val="both"/>
        <w:ind w:left="620" w:right="619" w:firstLine="415"/>
        <w:spacing w:after="0" w:line="245" w:lineRule="auto"/>
        <w:rPr>
          <w:sz w:val="20"/>
          <w:szCs w:val="20"/>
          <w:color w:val="auto"/>
        </w:rPr>
      </w:pPr>
      <w:r>
        <w:rPr>
          <w:rFonts w:ascii="Times New Roman" w:cs="Times New Roman" w:eastAsia="Times New Roman" w:hAnsi="Times New Roman"/>
          <w:sz w:val="17"/>
          <w:szCs w:val="17"/>
          <w:color w:val="auto"/>
        </w:rPr>
        <w:t>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our annual meeting of stockholders is first made or sent by us. Our Amended Bylaws also specify certain requirement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Authorized but unissued shares</w:t>
      </w:r>
    </w:p>
    <w:p>
      <w:pPr>
        <w:spacing w:after="0" w:line="144"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05"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8" w:name="page119"/>
    <w:bookmarkEnd w:id="11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Choice of Forum</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Amended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w:t>
      </w:r>
    </w:p>
    <w:p>
      <w:pPr>
        <w:spacing w:after="0" w:line="1" w:lineRule="exact"/>
        <w:rPr>
          <w:sz w:val="20"/>
          <w:szCs w:val="20"/>
          <w:color w:val="auto"/>
        </w:rPr>
      </w:pPr>
    </w:p>
    <w:p>
      <w:pPr>
        <w:jc w:val="both"/>
        <w:ind w:left="620" w:right="619" w:hanging="5"/>
        <w:spacing w:after="0" w:line="254" w:lineRule="auto"/>
        <w:tabs>
          <w:tab w:leader="none" w:pos="82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Amended Charter or the Amended Bylaws of SoundHound AI, or (iv) 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5" w:lineRule="exact"/>
        <w:rPr>
          <w:rFonts w:ascii="Times New Roman" w:cs="Times New Roman" w:eastAsia="Times New Roman" w:hAnsi="Times New Roman"/>
          <w:sz w:val="17"/>
          <w:szCs w:val="17"/>
          <w:color w:val="auto"/>
        </w:rPr>
      </w:pPr>
    </w:p>
    <w:p>
      <w:pPr>
        <w:jc w:val="both"/>
        <w:ind w:left="620" w:right="61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Limitation on Liability and Indemnification</w:t>
      </w:r>
    </w:p>
    <w:p>
      <w:pPr>
        <w:spacing w:after="0" w:line="15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The Amended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 SoundHound AI or its stockholders, (ii) for acts or omissions not in good faith or which involve intentional misconduct or a knowing violation of law, (iii) under Section 174 of the DGCL, or</w:t>
      </w:r>
    </w:p>
    <w:p>
      <w:pPr>
        <w:spacing w:after="0" w:line="1" w:lineRule="exact"/>
        <w:rPr>
          <w:sz w:val="20"/>
          <w:szCs w:val="20"/>
          <w:color w:val="auto"/>
        </w:rPr>
      </w:pPr>
    </w:p>
    <w:p>
      <w:pPr>
        <w:jc w:val="both"/>
        <w:ind w:left="620" w:right="619" w:hanging="5"/>
        <w:spacing w:after="0" w:line="255" w:lineRule="auto"/>
        <w:tabs>
          <w:tab w:leader="none" w:pos="97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Amended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 or proceeding upon receipt of an undertaking by or on behalf of such director or officer to repay such amount if it shall ultimately be determined that he or she is not entitled to be indemnified by SoundHound AI as authorized hereby. The Amended Bylaws of SoundHound AI will permit SoundHound AI to purchase and maintain insurance on behalf of 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9" w:name="page120"/>
    <w:bookmarkEnd w:id="11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44"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Our Class A Common Stock and Registered Warrants are listed on The Nasdaq Global Market under the trading symbols “SOUN” and “SOUNW”.</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Continental Stock Transfer &amp; Trust Company.</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Transfer Agent’s address is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Floor, New York, New York 10004.</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0" w:name="page121"/>
    <w:bookmarkEnd w:id="12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ACT RESTRICTIONS ON RESALE OF OUR SECURITIES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Pursuant to Rule 144, a person who has beneficially owned restricted shares of Class A Common Stock or Class B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our Class A Common Stock or Class B Common Stock or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6" w:lineRule="exact"/>
        <w:rPr>
          <w:sz w:val="20"/>
          <w:szCs w:val="20"/>
          <w:color w:val="auto"/>
        </w:rPr>
      </w:pPr>
    </w:p>
    <w:p>
      <w:pPr>
        <w:ind w:left="1440" w:hanging="411"/>
        <w:spacing w:after="0"/>
        <w:tabs>
          <w:tab w:leader="none" w:pos="14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total number of shares of our securities then-outstanding; or</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our securities during the four calendar weeks preceding the filing of a notice on Form 144 with respect to the sale.</w:t>
      </w:r>
    </w:p>
    <w:p>
      <w:pPr>
        <w:spacing w:after="0" w:line="69"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Sales by our affiliates under Rule 144 are also limited by manner of sale provisions and notice requirements and to the availability of current public information about us.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the Use of Rule 144 by Shell Companies or Former Shell Companies</w:t>
      </w:r>
    </w:p>
    <w:p>
      <w:pPr>
        <w:spacing w:after="0" w:line="159"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8" w:lineRule="exact"/>
        <w:rPr>
          <w:sz w:val="20"/>
          <w:szCs w:val="20"/>
          <w:color w:val="auto"/>
        </w:rPr>
      </w:pPr>
    </w:p>
    <w:p>
      <w:pPr>
        <w:ind w:left="1440" w:hanging="411"/>
        <w:spacing w:after="0"/>
        <w:tabs>
          <w:tab w:leader="none" w:pos="14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that was formerly a shell company has ceased to be a shell company;</w:t>
      </w:r>
    </w:p>
    <w:p>
      <w:pPr>
        <w:spacing w:after="0" w:line="14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is subject to the reporting requirements of Section 13 or 15(d) of the Exchange Act;</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97"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year has elapsed from the time that the issuer filed current Form 10 type information with the SEC reflecting its status as an entity that is not a shell company.</w:t>
      </w:r>
    </w:p>
    <w:p>
      <w:pPr>
        <w:spacing w:after="0" w:line="69"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As a result, our initial stockholders will not be able to sell their Class A Common Stock or Class B Common Stock or warrants pursuant to Rule 144 without registration until one year after the Closing although these shares may be sold sooner to the extent they have been registered on a registration statement that has been declared effective by the SEC.</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1" w:name="page122"/>
    <w:bookmarkEnd w:id="12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UNITED STATES FEDERAL INCOME TAX CONSIDERATIONS</w:t>
      </w:r>
    </w:p>
    <w:p>
      <w:pPr>
        <w:spacing w:after="0" w:line="144"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The following discussion is a summary of certain U.S. federal income tax considerations generally applicable to the ownership and disposition of our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dealers or traders in securities, tax-exempt organizations (including private foundations), taxpayers that have elected mark-to-market accounting, S corporations, regulated investment companies, real estate investment trusts, passive foreign investment companies, controlled foreign corporations, U.S. Holders (as defined below) that will hold Class A Common Stock or Warrants as part of a straddle, hedge, conversion, or other integrated transaction for U.S. federal income tax purposes, expatriates or former long-term residents of the United States, or investors that have a functional currency other than the U.S. dollar), all of whom may be subject to tax rules that differ materially from those summarized below.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Code, and that acquire our Class A Common Stock and Warrants for cash pursuant to this prospectus. No ruling from the IRS has been or will be sought regarding any matter discussed herein. No assurance can be given that the IRS would not assert, or that a court would not sustain, a position contrary to any of the tax aspects set forth below.</w:t>
      </w:r>
    </w:p>
    <w:p>
      <w:pPr>
        <w:spacing w:after="0" w:line="3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For purposes of this summary, a “U.S. Holder” is a beneficial holder of securities who or that, for</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U.S. federal income tax purposes is:</w:t>
      </w:r>
    </w:p>
    <w:p>
      <w:pPr>
        <w:spacing w:after="0" w:line="136" w:lineRule="exact"/>
        <w:rPr>
          <w:sz w:val="20"/>
          <w:szCs w:val="20"/>
          <w:color w:val="auto"/>
        </w:rPr>
      </w:pPr>
    </w:p>
    <w:p>
      <w:pPr>
        <w:ind w:left="1440" w:hanging="411"/>
        <w:spacing w:after="0"/>
        <w:tabs>
          <w:tab w:leader="none" w:pos="14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United States citizen or resident of the United States;</w:t>
      </w:r>
    </w:p>
    <w:p>
      <w:pPr>
        <w:spacing w:after="0" w:line="14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United States federal income tax purposes created in, or organized under the law of, the United States or any state or political subdivision thereof;</w:t>
      </w:r>
    </w:p>
    <w:p>
      <w:pPr>
        <w:spacing w:after="0" w:line="97"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includible in gross income for United States federal income tax purposes regardless of its source; or</w:t>
      </w:r>
    </w:p>
    <w:p>
      <w:pPr>
        <w:spacing w:after="0" w:line="81" w:lineRule="exact"/>
        <w:rPr>
          <w:rFonts w:ascii="Times New Roman" w:cs="Times New Roman" w:eastAsia="Times New Roman" w:hAnsi="Times New Roman"/>
          <w:sz w:val="17"/>
          <w:szCs w:val="17"/>
          <w:color w:val="auto"/>
        </w:rPr>
      </w:pPr>
    </w:p>
    <w:p>
      <w:pPr>
        <w:jc w:val="both"/>
        <w:ind w:left="1440" w:right="619" w:hanging="411"/>
        <w:spacing w:after="0" w:line="267" w:lineRule="auto"/>
        <w:tabs>
          <w:tab w:leader="none" w:pos="143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90"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A “non-U.S. Holder” is a beneficial holder of securities who or that is neither a U.S. Holder nor an entity or arrangement treated as a partnership for U.S. federal income tax purposes.</w:t>
      </w:r>
    </w:p>
    <w:p>
      <w:pPr>
        <w:spacing w:after="0" w:line="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10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2" w:name="page123"/>
    <w:bookmarkEnd w:id="12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U.S. Holders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Taxation of Distributions</w:t>
      </w:r>
    </w:p>
    <w:p>
      <w:pPr>
        <w:spacing w:after="0" w:line="14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If we pay distributions or make constructive distributions (other than certain distributions of our capital stock or rights to acquire our capital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w:t>
      </w:r>
      <w:r>
        <w:rPr>
          <w:rFonts w:ascii="Times New Roman" w:cs="Times New Roman" w:eastAsia="Times New Roman" w:hAnsi="Times New Roman"/>
          <w:sz w:val="17"/>
          <w:szCs w:val="17"/>
          <w:i w:val="1"/>
          <w:iCs w:val="1"/>
          <w:color w:val="auto"/>
        </w:rPr>
        <w:t>U.S. Holders — Gain or Loss on Sale, Taxable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Exchange or Other Taxable Disposition of Class A Common Stock</w:t>
      </w:r>
      <w:r>
        <w:rPr>
          <w:rFonts w:ascii="Times New Roman" w:cs="Times New Roman" w:eastAsia="Times New Roman" w:hAnsi="Times New Roman"/>
          <w:sz w:val="17"/>
          <w:szCs w:val="17"/>
          <w:color w:val="auto"/>
        </w:rPr>
        <w:t>” below.</w:t>
      </w:r>
    </w:p>
    <w:p>
      <w:pPr>
        <w:spacing w:after="0" w:line="111"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Gain or Loss on Sale, Taxable Exchange or Other Taxable Disposition of Class A Common Stock</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w:t>
      </w:r>
    </w:p>
    <w:p>
      <w:pPr>
        <w:spacing w:after="0" w:line="1" w:lineRule="exact"/>
        <w:rPr>
          <w:sz w:val="20"/>
          <w:szCs w:val="20"/>
          <w:color w:val="auto"/>
        </w:rPr>
      </w:pPr>
    </w:p>
    <w:p>
      <w:pPr>
        <w:ind w:left="880" w:hanging="265"/>
        <w:spacing w:after="0"/>
        <w:tabs>
          <w:tab w:leader="none" w:pos="8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amount of cash and the fair market value of any property received in such disposition and</w:t>
      </w:r>
    </w:p>
    <w:p>
      <w:pPr>
        <w:spacing w:after="0" w:line="11" w:lineRule="exact"/>
        <w:rPr>
          <w:rFonts w:ascii="Times New Roman" w:cs="Times New Roman" w:eastAsia="Times New Roman" w:hAnsi="Times New Roman"/>
          <w:sz w:val="17"/>
          <w:szCs w:val="17"/>
          <w:color w:val="auto"/>
        </w:rPr>
      </w:pPr>
    </w:p>
    <w:p>
      <w:pPr>
        <w:jc w:val="both"/>
        <w:ind w:left="620" w:right="639" w:hanging="5"/>
        <w:spacing w:after="0" w:line="256" w:lineRule="auto"/>
        <w:tabs>
          <w:tab w:leader="none" w:pos="87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The deductibility of capital losses is subject to limitations.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Exercise of a Warrant</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Except as discussed below with respect to the cashless exercise of a warrant, a U.S. Holder generally will not recognize taxable gain or loss upon the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0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initial tax basis in the Class A Common Stock received generally should equal the holder’s adjusted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in either case, the holding period would not include the period during which the U.S. Holder held the warrant. If, instead, the cashless exercise were treated as a recapitalization, the holding period of the Class A Common Stock generally would include the holding period of the warrant.</w:t>
      </w:r>
    </w:p>
    <w:p>
      <w:pPr>
        <w:sectPr>
          <w:pgSz w:w="11900" w:h="16838" w:orient="portrait"/>
          <w:cols w:equalWidth="0" w:num="1">
            <w:col w:w="9019"/>
          </w:cols>
          <w:pgMar w:left="1440" w:top="264" w:right="1440"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23" w:name="page124"/>
    <w:bookmarkEnd w:id="12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It is also possible that a cashless exercise of a warrant could be treated in part as a taxable exchange in which gain or loss is recognized. In such event, a U.S. Holder could be deemed to have surrendered a portion of the warrants being exercised having a value equal to the exercise price of such warrants in satisfaction of such exercise price. Although not free from doubt, such U.S. Holder generally should recognize capital gain or loss in an amount equal to the difference between the fair market value of the warrants deemed surrendered to satisfy the exercise price and the U.S. Holder’s adjusted tax basis in such warrants. In this case, a U.S. Holder’s initial tax basis in the Class A Common Stock received would equal the sum of the exercise price and the U.S. holder’s adjusted tax basis in the warrants exercised. It is unclear whether a U.S. Holder’s holding period for the Class A Common Stock would commence on the date of exercise of the warrant or the day following the date of exercise of the warrant; in either case, the holding period would not include the period during which the U.S. Holder held the warrant. Due to the uncertainty and absence of authority on the U.S. federal income tax treatment of a cashless exercise, including when a U.S. Holder’s holding period would commence with respect to the Class A Common Stock received, U.S. Holders are urged to consult their tax advisors regarding the tax consequences of a cashless exercise.</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Sale, Exchange, Redemption or Expiration of a Warrant</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w:t>
      </w:r>
      <w:r>
        <w:rPr>
          <w:rFonts w:ascii="Times New Roman" w:cs="Times New Roman" w:eastAsia="Times New Roman" w:hAnsi="Times New Roman"/>
          <w:sz w:val="17"/>
          <w:szCs w:val="17"/>
          <w:i w:val="1"/>
          <w:iCs w:val="1"/>
          <w:color w:val="auto"/>
        </w:rPr>
        <w:t>U.S. Holders — Possible Constructive Distributions</w:t>
      </w:r>
      <w:r>
        <w:rPr>
          <w:rFonts w:ascii="Times New Roman" w:cs="Times New Roman" w:eastAsia="Times New Roman" w:hAnsi="Times New Roman"/>
          <w:sz w:val="17"/>
          <w:szCs w:val="17"/>
          <w:color w:val="auto"/>
        </w:rPr>
        <w:t>”). Such gain or loss generally will be treated as long-term capital gain or loss if the warrant is held by the U.S. Holder for more than one year at the time of such disposition or expiration. If a warrant is allowed to lapse unexercised, a U.S. Holder will generally recognize a capital loss equal to such holder’s adjusted tax basis in the warrant. The deductibility of capital losses is subject to certain limitations.</w:t>
      </w:r>
    </w:p>
    <w:p>
      <w:pPr>
        <w:spacing w:after="0" w:line="114"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A redemption of warrants for Class A Common Stock described in this prospectus under “</w:t>
      </w:r>
      <w:r>
        <w:rPr>
          <w:rFonts w:ascii="Times New Roman" w:cs="Times New Roman" w:eastAsia="Times New Roman" w:hAnsi="Times New Roman"/>
          <w:sz w:val="17"/>
          <w:szCs w:val="17"/>
          <w:i w:val="1"/>
          <w:iCs w:val="1"/>
          <w:color w:val="auto"/>
        </w:rPr>
        <w:t>Description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Capital Stock — Warrants</w:t>
      </w:r>
      <w:r>
        <w:rPr>
          <w:rFonts w:ascii="Times New Roman" w:cs="Times New Roman" w:eastAsia="Times New Roman" w:hAnsi="Times New Roman"/>
          <w:sz w:val="17"/>
          <w:szCs w:val="17"/>
          <w:color w:val="auto"/>
        </w:rPr>
        <w:t>” should be treated as a “recapitalization” for U.S. federal income tax purposes.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Accordingly, you should not recognize any gain or loss on the redemption of warrants for shares of our Class A Common Stock. Your aggregate initial tax basis in the shares of Class A Common Stock received in the redemption should equal your aggregate adjusted tax basis in your warrants redeemed and your holding period for the shares of Class A Common Stock received in redemption of your warrants should include your holding period for your surrendered warrants.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Possible Constructive Distributions</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terms of each warrant provide for an adjustment to the number of shares of Class A Common Stock for which the warrant may be exercised or to the exercise price of the warrant in certain events.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as described above under “</w:t>
      </w:r>
      <w:r>
        <w:rPr>
          <w:rFonts w:ascii="Times New Roman" w:cs="Times New Roman" w:eastAsia="Times New Roman" w:hAnsi="Times New Roman"/>
          <w:sz w:val="17"/>
          <w:szCs w:val="17"/>
          <w:i w:val="1"/>
          <w:iCs w:val="1"/>
          <w:color w:val="auto"/>
        </w:rPr>
        <w:t>U.S. Holders — Taxation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Distributions</w:t>
      </w:r>
      <w:r>
        <w:rPr>
          <w:rFonts w:ascii="Times New Roman" w:cs="Times New Roman" w:eastAsia="Times New Roman" w:hAnsi="Times New Roman"/>
          <w:sz w:val="17"/>
          <w:szCs w:val="17"/>
          <w:color w:val="auto"/>
        </w:rPr>
        <w:t>” in the same manner as if such U.S. Holder received a cash distribution from us on Class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equal to the fair market value of such increased interest.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Information Reporting and Backup Withholding</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In general, information reporting requirements may apply to dividends paid to a U.S. Holder and to the proceeds of the sale or other disposition of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0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4" w:name="page125"/>
    <w:bookmarkEnd w:id="12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Non-U.S. Holders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Taxation of Distributions</w:t>
      </w:r>
    </w:p>
    <w:p>
      <w:pPr>
        <w:spacing w:after="0" w:line="144"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w:t>
      </w:r>
      <w:r>
        <w:rPr>
          <w:rFonts w:ascii="Times New Roman" w:cs="Times New Roman" w:eastAsia="Times New Roman" w:hAnsi="Times New Roman"/>
          <w:sz w:val="17"/>
          <w:szCs w:val="17"/>
          <w:i w:val="1"/>
          <w:iCs w:val="1"/>
          <w:color w:val="auto"/>
        </w:rPr>
        <w:t>Non-U.S. Holders — Possible Constructive Distributions</w:t>
      </w:r>
      <w:r>
        <w:rPr>
          <w:rFonts w:ascii="Times New Roman" w:cs="Times New Roman" w:eastAsia="Times New Roman" w:hAnsi="Times New Roman"/>
          <w:sz w:val="17"/>
          <w:szCs w:val="17"/>
          <w:color w:val="auto"/>
        </w:rPr>
        <w:t>”),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7"/>
          <w:szCs w:val="17"/>
          <w:i w:val="1"/>
          <w:iCs w:val="1"/>
          <w:color w:val="auto"/>
        </w:rPr>
        <w:t>Non-U.S. Holders — Gain on Sale,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Taxable Exchange or Other Taxable Disposition of Class A Common Stock and Warrants</w:t>
      </w:r>
      <w:r>
        <w:rPr>
          <w:rFonts w:ascii="Times New Roman" w:cs="Times New Roman" w:eastAsia="Times New Roman" w:hAnsi="Times New Roman"/>
          <w:sz w:val="17"/>
          <w:szCs w:val="17"/>
          <w:color w:val="auto"/>
        </w:rPr>
        <w:t>” below. In addition,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determine that we are likely to be classified as a “United States real property holding corporation” (see “</w:t>
      </w:r>
      <w:r>
        <w:rPr>
          <w:rFonts w:ascii="Times New Roman" w:cs="Times New Roman" w:eastAsia="Times New Roman" w:hAnsi="Times New Roman"/>
          <w:sz w:val="17"/>
          <w:szCs w:val="17"/>
          <w:i w:val="1"/>
          <w:iCs w:val="1"/>
          <w:color w:val="auto"/>
        </w:rPr>
        <w:t>Non-U.S. Holders — Gain on Sale, Exchange or Other Taxable Disposition of Class A Common Stock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 below), we will withhold 15% of any distribution that exceeds our current and accumulated earnings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profits.</w:t>
      </w:r>
    </w:p>
    <w:p>
      <w:pPr>
        <w:spacing w:after="0" w:line="330"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Exercise of a Warrant</w:t>
      </w:r>
    </w:p>
    <w:p>
      <w:pPr>
        <w:spacing w:after="0" w:line="157"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The U.S. federal income tax treatment of a non-U.S. Holder’s exercise of a warrant will generally correspond to the U.S. federal income tax treatment of the exercise of a warrant by a U.S. Holder, as described under “</w:t>
      </w:r>
      <w:r>
        <w:rPr>
          <w:rFonts w:ascii="Times New Roman" w:cs="Times New Roman" w:eastAsia="Times New Roman" w:hAnsi="Times New Roman"/>
          <w:sz w:val="17"/>
          <w:szCs w:val="17"/>
          <w:i w:val="1"/>
          <w:iCs w:val="1"/>
          <w:color w:val="auto"/>
        </w:rPr>
        <w:t>U.S. Holders — Exercise of a Warrant</w:t>
      </w:r>
      <w:r>
        <w:rPr>
          <w:rFonts w:ascii="Times New Roman" w:cs="Times New Roman" w:eastAsia="Times New Roman" w:hAnsi="Times New Roman"/>
          <w:sz w:val="17"/>
          <w:szCs w:val="17"/>
          <w:color w:val="auto"/>
        </w:rPr>
        <w:t>” above, although to the extent a cashless exercise results in a taxable exchange, the tax consequences to the non-U.S. Holder would be the same as those described below in “</w:t>
      </w:r>
      <w:r>
        <w:rPr>
          <w:rFonts w:ascii="Times New Roman" w:cs="Times New Roman" w:eastAsia="Times New Roman" w:hAnsi="Times New Roman"/>
          <w:sz w:val="17"/>
          <w:szCs w:val="17"/>
          <w:i w:val="1"/>
          <w:iCs w:val="1"/>
          <w:color w:val="auto"/>
        </w:rPr>
        <w:t>Non-U.S. Holders — Gain on Sale, Exchange or Other Taxable Disposition of Class A Common Stock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Redemption of Warrants for Class A Common Stock</w:t>
      </w:r>
    </w:p>
    <w:p>
      <w:pPr>
        <w:spacing w:after="0" w:line="142" w:lineRule="exact"/>
        <w:rPr>
          <w:sz w:val="20"/>
          <w:szCs w:val="20"/>
          <w:color w:val="auto"/>
        </w:rPr>
      </w:pPr>
    </w:p>
    <w:p>
      <w:pPr>
        <w:jc w:val="both"/>
        <w:ind w:left="620" w:right="639" w:firstLine="415"/>
        <w:spacing w:after="0" w:line="261" w:lineRule="auto"/>
        <w:rPr>
          <w:sz w:val="20"/>
          <w:szCs w:val="20"/>
          <w:color w:val="auto"/>
        </w:rPr>
      </w:pPr>
      <w:r>
        <w:rPr>
          <w:rFonts w:ascii="Times New Roman" w:cs="Times New Roman" w:eastAsia="Times New Roman" w:hAnsi="Times New Roman"/>
          <w:sz w:val="17"/>
          <w:szCs w:val="17"/>
          <w:color w:val="auto"/>
        </w:rPr>
        <w:t>A redemption of Warrants for Class A Common Stock described in this prospectus under “</w:t>
      </w:r>
      <w:r>
        <w:rPr>
          <w:rFonts w:ascii="Times New Roman" w:cs="Times New Roman" w:eastAsia="Times New Roman" w:hAnsi="Times New Roman"/>
          <w:sz w:val="17"/>
          <w:szCs w:val="17"/>
          <w:i w:val="1"/>
          <w:iCs w:val="1"/>
          <w:color w:val="auto"/>
        </w:rPr>
        <w:t>Description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Capital Stock — Warrants</w:t>
      </w:r>
      <w:r>
        <w:rPr>
          <w:rFonts w:ascii="Times New Roman" w:cs="Times New Roman" w:eastAsia="Times New Roman" w:hAnsi="Times New Roman"/>
          <w:sz w:val="17"/>
          <w:szCs w:val="17"/>
          <w:color w:val="auto"/>
        </w:rPr>
        <w:t>” should be treated as a “recapitalization” for U.S. federal income tax purposes.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Accordingly, you should not recognize any gain or loss on the redemption of warrants for shares of our Class A Common Stock. Your aggregate initial tax basis in the shares of Class A Common Stock received in the redemption should equal your aggregate adjusted tax basis in your warrants redeemed and your holding period for the shares of Class A Common Stock received in redemption of your warrants should include your holding period for your surrendered warrants.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Gain on Sale, Exchange or Other Taxable Disposition of Class A Common Stock and Warrants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98" w:lineRule="exact"/>
        <w:rPr>
          <w:sz w:val="20"/>
          <w:szCs w:val="20"/>
          <w:color w:val="auto"/>
        </w:rPr>
      </w:pPr>
    </w:p>
    <w:p>
      <w:pPr>
        <w:jc w:val="both"/>
        <w:ind w:left="1440" w:right="639" w:hanging="411"/>
        <w:spacing w:after="0" w:line="273" w:lineRule="auto"/>
        <w:tabs>
          <w:tab w:leader="none" w:pos="143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ectPr>
          <w:pgSz w:w="11900" w:h="16838" w:orient="portrait"/>
          <w:cols w:equalWidth="0" w:num="1">
            <w:col w:w="9019"/>
          </w:cols>
          <w:pgMar w:left="1440" w:top="264"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25" w:name="page126"/>
    <w:bookmarkEnd w:id="12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right="639" w:hanging="411"/>
        <w:spacing w:after="0" w:line="292" w:lineRule="auto"/>
        <w:tabs>
          <w:tab w:leader="none" w:pos="143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United States for 183 days or more in the taxable year of disposition and certain other conditions are met; or</w:t>
      </w:r>
    </w:p>
    <w:p>
      <w:pPr>
        <w:spacing w:after="0" w:line="81" w:lineRule="exact"/>
        <w:rPr>
          <w:rFonts w:ascii="Times New Roman" w:cs="Times New Roman" w:eastAsia="Times New Roman" w:hAnsi="Times New Roman"/>
          <w:sz w:val="17"/>
          <w:szCs w:val="17"/>
          <w:color w:val="auto"/>
        </w:rPr>
      </w:pPr>
    </w:p>
    <w:p>
      <w:pPr>
        <w:jc w:val="both"/>
        <w:ind w:left="1440" w:right="619" w:hanging="411"/>
        <w:spacing w:after="0" w:line="259" w:lineRule="auto"/>
        <w:tabs>
          <w:tab w:leader="none" w:pos="143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11"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9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If the third bullet point above applies to a non-U.S. Holder and applicable exceptions are not available,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Possible Constructive Distributions</w:t>
      </w:r>
    </w:p>
    <w:p>
      <w:pPr>
        <w:spacing w:after="0" w:line="157" w:lineRule="exact"/>
        <w:rPr>
          <w:sz w:val="20"/>
          <w:szCs w:val="20"/>
          <w:color w:val="auto"/>
        </w:rPr>
      </w:pPr>
    </w:p>
    <w:p>
      <w:pPr>
        <w:jc w:val="both"/>
        <w:ind w:left="620" w:right="639" w:firstLine="415"/>
        <w:spacing w:after="0" w:line="258" w:lineRule="auto"/>
        <w:rPr>
          <w:sz w:val="20"/>
          <w:szCs w:val="20"/>
          <w:color w:val="auto"/>
        </w:rPr>
      </w:pPr>
      <w:r>
        <w:rPr>
          <w:rFonts w:ascii="Times New Roman" w:cs="Times New Roman" w:eastAsia="Times New Roman" w:hAnsi="Times New Roman"/>
          <w:sz w:val="17"/>
          <w:szCs w:val="17"/>
          <w:color w:val="auto"/>
        </w:rPr>
        <w:t>The terms of each warrant provide for an adjustment to the number of shares of Class A Common Stock for which the warrant may be exercised or to the exercise price of the warrant in certain events.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as described above under “</w:t>
      </w:r>
      <w:r>
        <w:rPr>
          <w:rFonts w:ascii="Times New Roman" w:cs="Times New Roman" w:eastAsia="Times New Roman" w:hAnsi="Times New Roman"/>
          <w:sz w:val="17"/>
          <w:szCs w:val="17"/>
          <w:i w:val="1"/>
          <w:iCs w:val="1"/>
          <w:color w:val="auto"/>
        </w:rPr>
        <w:t>Non-U.S. Holders — Taxation of Distributions</w:t>
      </w:r>
      <w:r>
        <w:rPr>
          <w:rFonts w:ascii="Times New Roman" w:cs="Times New Roman" w:eastAsia="Times New Roman" w:hAnsi="Times New Roman"/>
          <w:sz w:val="17"/>
          <w:szCs w:val="17"/>
          <w:color w:val="auto"/>
        </w:rPr>
        <w:t>” under that section in the same manner as if such non-U.S. Holder received a cash distribution from us on Class A Common Stock equal to the fair market value of such increased interest.</w:t>
      </w:r>
    </w:p>
    <w:p>
      <w:pPr>
        <w:spacing w:after="0" w:line="3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Foreign Account Tax Compliance Act</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6" w:name="page127"/>
    <w:bookmarkEnd w:id="12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58" w:lineRule="auto"/>
        <w:rPr>
          <w:sz w:val="20"/>
          <w:szCs w:val="20"/>
          <w:color w:val="auto"/>
        </w:rPr>
      </w:pPr>
      <w:r>
        <w:rPr>
          <w:rFonts w:ascii="Times New Roman" w:cs="Times New Roman" w:eastAsia="Times New Roman" w:hAnsi="Times New Roman"/>
          <w:sz w:val="17"/>
          <w:szCs w:val="17"/>
          <w:color w:val="auto"/>
        </w:rPr>
        <w:t>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Information Reporting and Backup Withholding</w:t>
      </w:r>
    </w:p>
    <w:p>
      <w:pPr>
        <w:spacing w:after="0" w:line="15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Information returns will be filed with the IRS in connection with payments of dividends and the proceeds from a sale or other disposition of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7" w:name="page128"/>
    <w:bookmarkEnd w:id="12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Resale by the Selling Securityholders</w:t>
      </w:r>
    </w:p>
    <w:p>
      <w:pPr>
        <w:spacing w:after="0" w:line="14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Each Selling Securityholder of the securities and any of their pledgees, assignees and successors-in-interest may, from time to time, sell any or all of their securities covered hereby on the Nasdaq Global Market or any other stock exchange, market or trading facility on which the securities are traded or in private transactions. These sales may be at fixed or negotiated prices.</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securities by the Selling Securityholders. We will receive proceeds equal to the aggregate exercise price from any exercises of the Warrants, assuming the exercise of the Warrants for cash.</w:t>
      </w:r>
    </w:p>
    <w:p>
      <w:pPr>
        <w:spacing w:after="0" w:line="98"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Upon effectiveness of the registration statement of which this prospectus forms a part, the securities beneficially owned by the Selling Securityholders covered by this prospectus may be offered and sold from time to time by the Selling Securityholders, subject to any applicable lock up agreements or other applicable restrictions. The term “Selling Securityholders” includes donees, pledgees, transferees or other successors in interest selling securities received after the date of this prospectus from a Selling Securityholder as a gift, pledge, partnership or limited liability company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Securityholders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Selling Securityholder may use any one or more of the following methods when selling securities:</w:t>
      </w:r>
    </w:p>
    <w:p>
      <w:pPr>
        <w:spacing w:after="0" w:line="155" w:lineRule="exact"/>
        <w:rPr>
          <w:sz w:val="20"/>
          <w:szCs w:val="20"/>
          <w:color w:val="auto"/>
        </w:rPr>
      </w:pPr>
    </w:p>
    <w:p>
      <w:pPr>
        <w:ind w:left="1440" w:right="639" w:hanging="411"/>
        <w:spacing w:after="0" w:line="292" w:lineRule="auto"/>
        <w:tabs>
          <w:tab w:leader="none" w:pos="143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such broker-dealer for its own account pursuant to this prospectus;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 solicits purchasers;</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so engaged will attempt to sell the shares as agent but may position and resell a portion of the block as principal to facilitate the transaction;</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over-the-counter distribution in accordance with the rules of the Nasdaq Stock Market;</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trading plans entered into by a Selling Securityholder pursuant to</w:t>
      </w:r>
    </w:p>
    <w:p>
      <w:pPr>
        <w:spacing w:after="0" w:line="14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97"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to employees, members, limited partners or stockholders of the Selling Securityholders;</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 whether through an options exchange or otherwise;</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pledge to secured debts and other obligations;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delayed delivery arrangements;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 or agents;</w:t>
      </w:r>
    </w:p>
    <w:p>
      <w:pPr>
        <w:spacing w:after="0" w:line="154" w:lineRule="exact"/>
        <w:rPr>
          <w:rFonts w:ascii="Times New Roman" w:cs="Times New Roman" w:eastAsia="Times New Roman" w:hAnsi="Times New Roman"/>
          <w:sz w:val="17"/>
          <w:szCs w:val="17"/>
          <w:color w:val="auto"/>
        </w:rPr>
      </w:pPr>
    </w:p>
    <w:p>
      <w:pPr>
        <w:jc w:val="both"/>
        <w:ind w:left="1440" w:right="619" w:hanging="411"/>
        <w:spacing w:after="0" w:line="267" w:lineRule="auto"/>
        <w:tabs>
          <w:tab w:leader="none" w:pos="143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8" w:name="page129"/>
    <w:bookmarkEnd w:id="12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1"/>
        <w:spacing w:after="0"/>
        <w:tabs>
          <w:tab w:leader="none" w:pos="14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privately negotiated transactions;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options transactions; and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 above methods of sale, as described below, or any other method permitted pursuant to applicable law.</w:t>
      </w:r>
    </w:p>
    <w:p>
      <w:pPr>
        <w:spacing w:after="0" w:line="69"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Selling Securityholders may also sell securities under Rule 144 or any other exemption from registration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if available, rather than under this prospectus.</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Further, a Selling Securityholder that is an entity may elect to make an in-kind distribution of securities to its members, partners or stockholders pursuant to the registration statement of which this prospectus is a part by delivering a prospectus with a plan of distribution.</w:t>
      </w:r>
    </w:p>
    <w:p>
      <w:pPr>
        <w:spacing w:after="0" w:line="9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w:t>
      </w:r>
    </w:p>
    <w:p>
      <w:pPr>
        <w:spacing w:after="0" w:line="6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0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11"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spacing w:after="0" w:line="9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9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We agreed to keep this prospectus effective until the earlier of (i) the date on which the securities may be resold by the Selling Securityholders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11"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9" w:name="page130"/>
    <w:bookmarkEnd w:id="12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7" w:lineRule="auto"/>
        <w:rPr>
          <w:sz w:val="20"/>
          <w:szCs w:val="20"/>
          <w:color w:val="auto"/>
        </w:rPr>
      </w:pPr>
      <w:r>
        <w:rPr>
          <w:rFonts w:ascii="Times New Roman" w:cs="Times New Roman" w:eastAsia="Times New Roman" w:hAnsi="Times New Roman"/>
          <w:sz w:val="17"/>
          <w:szCs w:val="17"/>
          <w:color w:val="auto"/>
        </w:rPr>
        <w:t>thereunder, including Regulation M, which may limit the timing of purchases and sales of the common stock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Primary Offering by the Company</w:t>
      </w:r>
    </w:p>
    <w:p>
      <w:pPr>
        <w:spacing w:after="0" w:line="15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0" w:name="page131"/>
    <w:bookmarkEnd w:id="13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Ellenoff Grossman &amp; Schole LLP, New York, New York, is acting as counsel in connection with the registration of our securities under the Securities Act, and as such, will pass upon the validity of the securities offered in this prospectus.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financial statements of Archimedes Tech SPAC Partners Co. as of December 31, 2021 and 2020, and for the year ended December 31, 2021 and the period from September 15, 2020 (inception) through December 31, 2020, appearing in this registration statement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registration statement, and are included in reliance upon such report given on the authority of such firm as experts in auditing and accounting.</w:t>
      </w:r>
    </w:p>
    <w:p>
      <w:pPr>
        <w:spacing w:after="0" w:line="32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financial statements of SoundHound, Inc. as of and for the years ended December 31, 2021 and 2020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 The unaudited interim condensed consolidated financial statements of SoundHound AI as of June 30, 2022 and for the three and six month periods ended June 30, 2022 and 2021 are also included in this registration statement, of which this prospectus forms a part.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4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11"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 xml:space="preserve">You can read our SEC filings, including the registration statement, over the Internet at the SEC’s website at </w:t>
      </w:r>
      <w:r>
        <w:rPr>
          <w:rFonts w:ascii="Times New Roman" w:cs="Times New Roman" w:eastAsia="Times New Roman" w:hAnsi="Times New Roman"/>
          <w:sz w:val="17"/>
          <w:szCs w:val="17"/>
          <w:i w:val="1"/>
          <w:iCs w:val="1"/>
          <w:color w:val="auto"/>
        </w:rPr>
        <w:t>www.sec.gov</w:t>
      </w:r>
    </w:p>
    <w:p>
      <w:pPr>
        <w:spacing w:after="0" w:line="82"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by which you may access these materials free of charge as soon as reasonably practicable after they are electronically filed with, or furnished to, the SEC. The information that is contained on, or that may be accessed through, our website is not a part of this prospectus. We have included our website in this prospectus solely as an inactive textual reference.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1" w:name="page132"/>
    <w:bookmarkEnd w:id="13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360" w:type="dxa"/>
            <w:vAlign w:val="bottom"/>
            <w:tcBorders>
              <w:bottom w:val="single" w:sz="8" w:color="CCEEFF"/>
            </w:tcBorders>
          </w:tcPr>
          <w:p>
            <w:pPr>
              <w:spacing w:after="0"/>
              <w:rPr>
                <w:sz w:val="7"/>
                <w:szCs w:val="7"/>
                <w:color w:val="auto"/>
              </w:rPr>
            </w:pPr>
          </w:p>
        </w:tc>
        <w:tc>
          <w:tcPr>
            <w:tcW w:w="14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4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00" w:type="dxa"/>
            <w:vAlign w:val="bottom"/>
            <w:tcBorders>
              <w:bottom w:val="single" w:sz="8" w:color="CCEEFF"/>
            </w:tcBorders>
          </w:tcPr>
          <w:p>
            <w:pPr>
              <w:spacing w:after="0"/>
              <w:rPr>
                <w:sz w:val="7"/>
                <w:szCs w:val="7"/>
                <w:color w:val="auto"/>
              </w:rPr>
            </w:pPr>
          </w:p>
        </w:tc>
        <w:tc>
          <w:tcPr>
            <w:tcW w:w="300" w:type="dxa"/>
            <w:vAlign w:val="bottom"/>
            <w:tcBorders>
              <w:bottom w:val="single" w:sz="8" w:color="CCEEFF"/>
            </w:tcBorders>
          </w:tcPr>
          <w:p>
            <w:pPr>
              <w:spacing w:after="0"/>
              <w:rPr>
                <w:sz w:val="7"/>
                <w:szCs w:val="7"/>
                <w:color w:val="auto"/>
              </w:rPr>
            </w:pPr>
          </w:p>
        </w:tc>
        <w:tc>
          <w:tcPr>
            <w:tcW w:w="8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64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48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8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000" w:type="dxa"/>
            <w:vAlign w:val="bottom"/>
            <w:gridSpan w:val="19"/>
          </w:tcPr>
          <w:p>
            <w:pPr>
              <w:spacing w:after="0" w:line="194" w:lineRule="exact"/>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80" w:type="dxa"/>
            <w:vAlign w:val="bottom"/>
            <w:gridSpan w:val="1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Balance Sheets as of December 31, 2021 and 2020</w:t>
            </w:r>
          </w:p>
        </w:tc>
        <w:tc>
          <w:tcPr>
            <w:tcW w:w="78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80" w:type="dxa"/>
            <w:vAlign w:val="bottom"/>
            <w:gridSpan w:val="18"/>
          </w:tcPr>
          <w:p>
            <w:pPr>
              <w:spacing w:after="0" w:line="168" w:lineRule="exact"/>
              <w:rPr>
                <w:sz w:val="20"/>
                <w:szCs w:val="20"/>
                <w:color w:val="auto"/>
              </w:rPr>
            </w:pPr>
            <w:r>
              <w:rPr>
                <w:rFonts w:ascii="Times New Roman" w:cs="Times New Roman" w:eastAsia="Times New Roman" w:hAnsi="Times New Roman"/>
                <w:sz w:val="17"/>
                <w:szCs w:val="17"/>
                <w:color w:val="0000EE"/>
              </w:rPr>
              <w:t>Statements of Operations for the year ended December 31, 2021 and for the periods from</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00" w:type="dxa"/>
            <w:vAlign w:val="bottom"/>
            <w:tcBorders>
              <w:top w:val="single" w:sz="8" w:color="0000EE"/>
            </w:tcBorders>
            <w:gridSpan w:val="13"/>
          </w:tcPr>
          <w:p>
            <w:pPr>
              <w:spacing w:after="0" w:line="188" w:lineRule="exact"/>
              <w:rPr>
                <w:sz w:val="20"/>
                <w:szCs w:val="20"/>
                <w:color w:val="auto"/>
              </w:rPr>
            </w:pPr>
            <w:r>
              <w:rPr>
                <w:rFonts w:ascii="Times New Roman" w:cs="Times New Roman" w:eastAsia="Times New Roman" w:hAnsi="Times New Roman"/>
                <w:sz w:val="17"/>
                <w:szCs w:val="17"/>
                <w:color w:val="0000EE"/>
              </w:rPr>
              <w:t>September 15, 2020 (inception) through December 31, 2020</w:t>
            </w:r>
          </w:p>
        </w:tc>
        <w:tc>
          <w:tcPr>
            <w:tcW w:w="840" w:type="dxa"/>
            <w:vAlign w:val="bottom"/>
            <w:gridSpan w:val="4"/>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80" w:type="dxa"/>
            <w:vAlign w:val="bottom"/>
            <w:gridSpan w:val="18"/>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Statement of Changes in Stockholders’ Equity for the year ended December 31, 2021 and for the</w:t>
            </w: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shd w:val="clear" w:color="auto" w:fill="CCEEFF"/>
          </w:tcPr>
          <w:p>
            <w:pPr>
              <w:spacing w:after="0"/>
              <w:rPr>
                <w:sz w:val="16"/>
                <w:szCs w:val="16"/>
                <w:color w:val="auto"/>
              </w:rPr>
            </w:pPr>
          </w:p>
        </w:tc>
        <w:tc>
          <w:tcPr>
            <w:tcW w:w="6520" w:type="dxa"/>
            <w:vAlign w:val="bottom"/>
            <w:tcBorders>
              <w:top w:val="single" w:sz="8" w:color="0000EE"/>
            </w:tcBorders>
            <w:gridSpan w:val="15"/>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periods from September 15, 2020 (inception) through December 31, 2020</w:t>
            </w:r>
          </w:p>
        </w:tc>
        <w:tc>
          <w:tcPr>
            <w:tcW w:w="320" w:type="dxa"/>
            <w:vAlign w:val="bottom"/>
            <w:tcBorders>
              <w:top w:val="single" w:sz="8" w:color="CCEEFF"/>
            </w:tcBorders>
            <w:gridSpan w:val="2"/>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80" w:type="dxa"/>
            <w:vAlign w:val="bottom"/>
            <w:gridSpan w:val="18"/>
          </w:tcPr>
          <w:p>
            <w:pPr>
              <w:spacing w:after="0" w:line="168" w:lineRule="exact"/>
              <w:rPr>
                <w:sz w:val="20"/>
                <w:szCs w:val="20"/>
                <w:color w:val="auto"/>
              </w:rPr>
            </w:pPr>
            <w:r>
              <w:rPr>
                <w:rFonts w:ascii="Times New Roman" w:cs="Times New Roman" w:eastAsia="Times New Roman" w:hAnsi="Times New Roman"/>
                <w:sz w:val="17"/>
                <w:szCs w:val="17"/>
                <w:color w:val="0000EE"/>
              </w:rPr>
              <w:t>Statement of Cash Flows for the year ended December 31, 2021 and for the periods from</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980" w:type="dxa"/>
            <w:vAlign w:val="bottom"/>
            <w:tcBorders>
              <w:top w:val="single" w:sz="8" w:color="0000EE"/>
            </w:tcBorders>
            <w:gridSpan w:val="12"/>
          </w:tcPr>
          <w:p>
            <w:pPr>
              <w:spacing w:after="0" w:line="188" w:lineRule="exact"/>
              <w:rPr>
                <w:sz w:val="20"/>
                <w:szCs w:val="20"/>
                <w:color w:val="auto"/>
              </w:rPr>
            </w:pPr>
            <w:r>
              <w:rPr>
                <w:rFonts w:ascii="Times New Roman" w:cs="Times New Roman" w:eastAsia="Times New Roman" w:hAnsi="Times New Roman"/>
                <w:sz w:val="17"/>
                <w:szCs w:val="17"/>
                <w:color w:val="0000EE"/>
              </w:rPr>
              <w:t>September 15, 2020 (inception) through December 31, 2020</w:t>
            </w:r>
          </w:p>
        </w:tc>
        <w:tc>
          <w:tcPr>
            <w:tcW w:w="860" w:type="dxa"/>
            <w:vAlign w:val="bottom"/>
            <w:gridSpan w:val="5"/>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80" w:type="dxa"/>
            <w:vAlign w:val="bottom"/>
            <w:gridSpan w:val="1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78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415"/>
        </w:trPr>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940" w:type="dxa"/>
            <w:vAlign w:val="bottom"/>
            <w:tcBorders>
              <w:top w:val="single" w:sz="8" w:color="CCEEFF"/>
            </w:tcBorders>
            <w:gridSpan w:val="14"/>
          </w:tcPr>
          <w:p>
            <w:pPr>
              <w:jc w:val="center"/>
              <w:ind w:right="1280"/>
              <w:spacing w:after="0"/>
              <w:rPr>
                <w:sz w:val="20"/>
                <w:szCs w:val="20"/>
                <w:color w:val="auto"/>
              </w:rPr>
            </w:pPr>
            <w:r>
              <w:rPr>
                <w:rFonts w:ascii="Times New Roman" w:cs="Times New Roman" w:eastAsia="Times New Roman" w:hAnsi="Times New Roman"/>
                <w:sz w:val="17"/>
                <w:szCs w:val="17"/>
                <w:b w:val="1"/>
                <w:bCs w:val="1"/>
                <w:color w:val="auto"/>
              </w:rPr>
              <w:t>SOUNDHOUND , INC.</w:t>
            </w:r>
          </w:p>
        </w:tc>
        <w:tc>
          <w:tcPr>
            <w:tcW w:w="7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98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gridSpan w:val="18"/>
          </w:tcPr>
          <w:p>
            <w:pPr>
              <w:spacing w:after="0" w:line="168" w:lineRule="exact"/>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F-26</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14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4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80" w:type="dxa"/>
            <w:vAlign w:val="bottom"/>
            <w:gridSpan w:val="18"/>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Balance Sheets as of December 31, 2021 and 2020</w:t>
            </w:r>
          </w:p>
        </w:tc>
        <w:tc>
          <w:tcPr>
            <w:tcW w:w="7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F-27</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4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144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80" w:type="dxa"/>
            <w:vAlign w:val="bottom"/>
            <w:gridSpan w:val="18"/>
          </w:tcPr>
          <w:p>
            <w:pPr>
              <w:spacing w:after="0" w:line="168" w:lineRule="exact"/>
              <w:rPr>
                <w:sz w:val="20"/>
                <w:szCs w:val="20"/>
                <w:color w:val="auto"/>
              </w:rPr>
            </w:pPr>
            <w:r>
              <w:rPr>
                <w:rFonts w:ascii="Times New Roman" w:cs="Times New Roman" w:eastAsia="Times New Roman" w:hAnsi="Times New Roman"/>
                <w:sz w:val="17"/>
                <w:szCs w:val="17"/>
                <w:color w:val="0000EE"/>
              </w:rPr>
              <w:t>Statements of Operations for the years ended December 31, 2021 and 2020</w:t>
            </w:r>
          </w:p>
        </w:tc>
        <w:tc>
          <w:tcPr>
            <w:tcW w:w="7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F-29</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14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4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8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80" w:type="dxa"/>
            <w:vAlign w:val="bottom"/>
            <w:gridSpan w:val="18"/>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Statements of Stockholders’ Equity for the years ended December 31, 2021 and 2020</w:t>
            </w:r>
          </w:p>
        </w:tc>
        <w:tc>
          <w:tcPr>
            <w:tcW w:w="7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F-30</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4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144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8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0000EE"/>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80" w:type="dxa"/>
            <w:vAlign w:val="bottom"/>
            <w:gridSpan w:val="18"/>
          </w:tcPr>
          <w:p>
            <w:pPr>
              <w:spacing w:after="0" w:line="168" w:lineRule="exact"/>
              <w:rPr>
                <w:sz w:val="20"/>
                <w:szCs w:val="20"/>
                <w:color w:val="auto"/>
              </w:rPr>
            </w:pPr>
            <w:r>
              <w:rPr>
                <w:rFonts w:ascii="Times New Roman" w:cs="Times New Roman" w:eastAsia="Times New Roman" w:hAnsi="Times New Roman"/>
                <w:sz w:val="17"/>
                <w:szCs w:val="17"/>
                <w:color w:val="0000EE"/>
              </w:rPr>
              <w:t>Statements of Cash Flows for the years ended December 31, 2021 and 2020</w:t>
            </w:r>
          </w:p>
        </w:tc>
        <w:tc>
          <w:tcPr>
            <w:tcW w:w="7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F-31</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14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4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8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80" w:type="dxa"/>
            <w:vAlign w:val="bottom"/>
            <w:gridSpan w:val="18"/>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7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F-33</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4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14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14"/>
          </w:tcPr>
          <w:p>
            <w:pPr>
              <w:jc w:val="center"/>
              <w:ind w:right="1280"/>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6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80" w:type="dxa"/>
            <w:vAlign w:val="bottom"/>
            <w:gridSpan w:val="1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Condensed Balance Sheets as of March 31, 2022 (unaudited) and December 31, 2021</w:t>
            </w:r>
          </w:p>
        </w:tc>
        <w:tc>
          <w:tcPr>
            <w:tcW w:w="78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F-67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80" w:type="dxa"/>
            <w:vAlign w:val="bottom"/>
            <w:gridSpan w:val="18"/>
          </w:tcPr>
          <w:p>
            <w:pPr>
              <w:spacing w:after="0" w:line="168" w:lineRule="exact"/>
              <w:rPr>
                <w:sz w:val="20"/>
                <w:szCs w:val="20"/>
                <w:color w:val="auto"/>
              </w:rPr>
            </w:pPr>
            <w:r>
              <w:rPr>
                <w:rFonts w:ascii="Times New Roman" w:cs="Times New Roman" w:eastAsia="Times New Roman" w:hAnsi="Times New Roman"/>
                <w:sz w:val="17"/>
                <w:szCs w:val="17"/>
                <w:color w:val="0000EE"/>
              </w:rPr>
              <w:t>Unaudited Condensed Statements of Operations for the three months ended March 31, 2022 and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40" w:type="dxa"/>
            <w:vAlign w:val="bottom"/>
            <w:tcBorders>
              <w:top w:val="single" w:sz="8" w:color="0000EE"/>
            </w:tcBorders>
            <w:gridSpan w:val="4"/>
          </w:tcPr>
          <w:p>
            <w:pPr>
              <w:ind w:left="160"/>
              <w:spacing w:after="0" w:line="188" w:lineRule="exact"/>
              <w:rPr>
                <w:sz w:val="20"/>
                <w:szCs w:val="20"/>
                <w:color w:val="auto"/>
              </w:rPr>
            </w:pPr>
            <w:r>
              <w:rPr>
                <w:rFonts w:ascii="Times New Roman" w:cs="Times New Roman" w:eastAsia="Times New Roman" w:hAnsi="Times New Roman"/>
                <w:sz w:val="17"/>
                <w:szCs w:val="17"/>
                <w:color w:val="0000EE"/>
              </w:rPr>
              <w:t>2021</w:t>
            </w:r>
          </w:p>
        </w:tc>
        <w:tc>
          <w:tcPr>
            <w:tcW w:w="12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w w:val="99"/>
              </w:rPr>
              <w:t>F-68</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vMerge w:val="continue"/>
          </w:tcPr>
          <w:p>
            <w:pPr>
              <w:spacing w:after="0"/>
              <w:rPr>
                <w:sz w:val="14"/>
                <w:szCs w:val="14"/>
                <w:color w:val="auto"/>
              </w:rPr>
            </w:pPr>
          </w:p>
        </w:tc>
        <w:tc>
          <w:tcPr>
            <w:tcW w:w="6720" w:type="dxa"/>
            <w:vAlign w:val="bottom"/>
            <w:tcBorders>
              <w:bottom w:val="single" w:sz="8" w:color="0000EE"/>
            </w:tcBorders>
            <w:gridSpan w:val="1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Unaudited Condensed Statements of Changes in Stockholders’ Equity for the three months ended</w:t>
            </w:r>
          </w:p>
        </w:tc>
        <w:tc>
          <w:tcPr>
            <w:tcW w:w="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40" w:type="dxa"/>
            <w:vAlign w:val="bottom"/>
            <w:gridSpan w:val="17"/>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March 31, 2022 and 2021</w:t>
            </w:r>
          </w:p>
        </w:tc>
        <w:tc>
          <w:tcPr>
            <w:tcW w:w="7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w w:val="99"/>
              </w:rPr>
              <w:t>F-69</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80" w:type="dxa"/>
            <w:vAlign w:val="bottom"/>
            <w:gridSpan w:val="18"/>
          </w:tcPr>
          <w:p>
            <w:pPr>
              <w:spacing w:after="0" w:line="168" w:lineRule="exact"/>
              <w:rPr>
                <w:sz w:val="20"/>
                <w:szCs w:val="20"/>
                <w:color w:val="auto"/>
              </w:rPr>
            </w:pPr>
            <w:r>
              <w:rPr>
                <w:rFonts w:ascii="Times New Roman" w:cs="Times New Roman" w:eastAsia="Times New Roman" w:hAnsi="Times New Roman"/>
                <w:sz w:val="17"/>
                <w:szCs w:val="17"/>
                <w:color w:val="0000EE"/>
              </w:rPr>
              <w:t>Unaudited Condensed Statement of Cash Flows for the three months ended March 31, 2022 and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40" w:type="dxa"/>
            <w:vAlign w:val="bottom"/>
            <w:tcBorders>
              <w:top w:val="single" w:sz="8" w:color="0000EE"/>
            </w:tcBorders>
            <w:gridSpan w:val="4"/>
          </w:tcPr>
          <w:p>
            <w:pPr>
              <w:ind w:left="160"/>
              <w:spacing w:after="0" w:line="188" w:lineRule="exact"/>
              <w:rPr>
                <w:sz w:val="20"/>
                <w:szCs w:val="20"/>
                <w:color w:val="auto"/>
              </w:rPr>
            </w:pPr>
            <w:r>
              <w:rPr>
                <w:rFonts w:ascii="Times New Roman" w:cs="Times New Roman" w:eastAsia="Times New Roman" w:hAnsi="Times New Roman"/>
                <w:sz w:val="17"/>
                <w:szCs w:val="17"/>
                <w:color w:val="0000EE"/>
              </w:rPr>
              <w:t>2021</w:t>
            </w:r>
          </w:p>
        </w:tc>
        <w:tc>
          <w:tcPr>
            <w:tcW w:w="12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w w:val="99"/>
              </w:rPr>
              <w:t>F-70</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80" w:type="dxa"/>
            <w:vAlign w:val="bottom"/>
            <w:gridSpan w:val="1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Notes to Unaudited Condensed Financial Statements</w:t>
            </w:r>
          </w:p>
        </w:tc>
        <w:tc>
          <w:tcPr>
            <w:tcW w:w="78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F-71</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9019"/>
          </w:cols>
          <w:pgMar w:left="1440" w:top="264" w:right="1440" w:bottom="1440" w:gutter="0" w:footer="0" w:header="0"/>
        </w:sectPr>
      </w:pPr>
    </w:p>
    <w:p>
      <w:pPr>
        <w:ind w:left="354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-110490</wp:posOffset>
            </wp:positionV>
            <wp:extent cx="4939665" cy="1727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0000EE"/>
        </w:rPr>
        <w:t>Condensed Consolidated Balance Sheets as of June 30, 2022 (unaudited) and December 31, 2021</w:t>
      </w:r>
    </w:p>
    <w:p>
      <w:pPr>
        <w:spacing w:after="0" w:line="77" w:lineRule="exact"/>
        <w:rPr>
          <w:sz w:val="20"/>
          <w:szCs w:val="20"/>
          <w:color w:val="auto"/>
        </w:rPr>
      </w:pPr>
    </w:p>
    <w:p>
      <w:pPr>
        <w:ind w:left="780" w:right="240" w:hanging="172"/>
        <w:spacing w:after="0" w:line="278" w:lineRule="auto"/>
        <w:rPr>
          <w:sz w:val="20"/>
          <w:szCs w:val="20"/>
          <w:color w:val="auto"/>
        </w:rPr>
      </w:pPr>
      <w:r>
        <w:rPr>
          <w:rFonts w:ascii="Times New Roman" w:cs="Times New Roman" w:eastAsia="Times New Roman" w:hAnsi="Times New Roman"/>
          <w:sz w:val="17"/>
          <w:szCs w:val="17"/>
          <w:u w:val="single" w:color="auto"/>
          <w:color w:val="0000EE"/>
        </w:rPr>
        <w:t>Condensed Consolidated Statements of Operations and Comprehensive Loss for the 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-274955</wp:posOffset>
            </wp:positionV>
            <wp:extent cx="4939665" cy="288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39665" cy="288290"/>
                    </a:xfrm>
                    <a:prstGeom prst="rect">
                      <a:avLst/>
                    </a:prstGeom>
                    <a:noFill/>
                  </pic:spPr>
                </pic:pic>
              </a:graphicData>
            </a:graphic>
          </wp:anchor>
        </w:drawing>
      </w:r>
    </w:p>
    <w:p>
      <w:pPr>
        <w:ind w:left="780" w:right="320" w:hanging="172"/>
        <w:spacing w:after="0" w:line="278" w:lineRule="auto"/>
        <w:rPr>
          <w:sz w:val="20"/>
          <w:szCs w:val="20"/>
          <w:color w:val="auto"/>
        </w:rPr>
      </w:pPr>
      <w:r>
        <w:rPr>
          <w:rFonts w:ascii="Times New Roman" w:cs="Times New Roman" w:eastAsia="Times New Roman" w:hAnsi="Times New Roman"/>
          <w:sz w:val="17"/>
          <w:szCs w:val="17"/>
          <w:u w:val="single" w:color="auto"/>
          <w:color w:val="0000EE"/>
        </w:rPr>
        <w:t>Condensed Consolidated Statements of Redeemable Convertible Preferred Stock and Stockholders’ Equity (Deficit) for the three and six months ended June 30, 2022 and 2021</w:t>
      </w:r>
    </w:p>
    <w:p>
      <w:pPr>
        <w:spacing w:after="0" w:line="1" w:lineRule="exact"/>
        <w:rPr>
          <w:sz w:val="20"/>
          <w:szCs w:val="20"/>
          <w:color w:val="auto"/>
        </w:rPr>
      </w:pPr>
    </w:p>
    <w:p>
      <w:pPr>
        <w:ind w:left="780" w:right="100" w:hanging="172"/>
        <w:spacing w:after="0" w:line="278" w:lineRule="auto"/>
        <w:rPr>
          <w:sz w:val="20"/>
          <w:szCs w:val="20"/>
          <w:color w:val="auto"/>
        </w:rPr>
      </w:pPr>
      <w:r>
        <w:rPr>
          <w:rFonts w:ascii="Times New Roman" w:cs="Times New Roman" w:eastAsia="Times New Roman" w:hAnsi="Times New Roman"/>
          <w:sz w:val="17"/>
          <w:szCs w:val="17"/>
          <w:u w:val="single" w:color="auto"/>
          <w:color w:val="0000EE"/>
        </w:rPr>
        <w:t>Condensed Consolidated Statements of Cash Flows for the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-274955</wp:posOffset>
            </wp:positionV>
            <wp:extent cx="4939665" cy="288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39665" cy="28829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7"/>
          <w:szCs w:val="17"/>
          <w:u w:val="single" w:color="auto"/>
          <w:color w:val="0000EE"/>
        </w:rPr>
        <w:t>Notes to Condensed Consolidated Financial Statements</w:t>
      </w: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F-87</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F-89</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F-90</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F-94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F-96</w:t>
      </w:r>
    </w:p>
    <w:p>
      <w:pPr>
        <w:sectPr>
          <w:pgSz w:w="11900" w:h="16838" w:orient="portrait"/>
          <w:cols w:equalWidth="0" w:num="2">
            <w:col w:w="7340" w:space="500"/>
            <w:col w:w="1179"/>
          </w:cols>
          <w:pgMar w:left="1440" w:top="264" w:right="1440" w:bottom="1440" w:gutter="0" w:footer="0" w:header="0"/>
          <w:type w:val="continuous"/>
        </w:sectPr>
      </w:pPr>
    </w:p>
    <w:bookmarkStart w:id="132" w:name="page133"/>
    <w:bookmarkEnd w:id="13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REPORT OF INDEPDENT REGISTERED PUBLIC ACCOUNTING FIRM</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the Board of Directors and Shareholders of</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Archimedes Tech SPAC Partners Co.</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Substantial Doubt about the Company’s Ability to Continue as a Going Concern</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4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 UHY LLP</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March 9,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3" w:name="page134"/>
    <w:bookmarkEnd w:id="13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 liability</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and 0 shares at redemption value as of December 31, 2021 and 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authorized; none issued and outstanding</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authorized, 4,161,000 shares and 0 shares issued and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(excluding 13,300,000 shares and 0 shares subject to possible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as of December 31, 2021 and 2020, respectively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(982,600)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3"/>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4" w:name="page135"/>
    <w:bookmarkEnd w:id="13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September 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(Inception)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year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Trust interest income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(981,884)</w:t>
            </w:r>
          </w:p>
        </w:tc>
        <w:tc>
          <w:tcPr>
            <w:tcW w:w="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subject to redemption</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10,589,315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Basic and diluted net income per share attributable to common stock subject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redemption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3,959,088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20" w:type="dxa"/>
            <w:vAlign w:val="bottom"/>
            <w:gridSpan w:val="2"/>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(0.99</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5" w:name="page136"/>
    <w:bookmarkEnd w:id="13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CHANGES IN STOCKHOLDERS’ DEFICIT</w:t>
      </w:r>
    </w:p>
    <w:p>
      <w:pPr>
        <w:spacing w:after="0" w:line="255"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4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60"/>
              <w:spacing w:after="0" w:line="138"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060" w:type="dxa"/>
            <w:vAlign w:val="bottom"/>
            <w:gridSpan w:val="5"/>
            <w:vMerge w:val="restart"/>
          </w:tcPr>
          <w:p>
            <w:pPr>
              <w:ind w:left="80"/>
              <w:spacing w:after="0" w:line="13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9"/>
                <w:szCs w:val="9"/>
                <w:color w:val="auto"/>
              </w:rPr>
            </w:pPr>
          </w:p>
        </w:tc>
        <w:tc>
          <w:tcPr>
            <w:tcW w:w="1080" w:type="dxa"/>
            <w:vAlign w:val="bottom"/>
            <w:gridSpan w:val="2"/>
            <w:vMerge w:val="restart"/>
          </w:tcPr>
          <w:p>
            <w:pPr>
              <w:jc w:val="center"/>
              <w:ind w:right="160"/>
              <w:spacing w:after="0" w:line="138"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September 15,</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2020 (inception)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6"/>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2020</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4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4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stockholders’ equity</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liability</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related to Public Shares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(981,884)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(981,884)</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(124,412,583)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value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earned on trust account)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4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12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6" w:name="page137"/>
    <w:bookmarkEnd w:id="13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 the Period</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from</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September 15,</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(Inception)</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(981,884)</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(864,358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(2,660,000)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(425,347)</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134,099,653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year</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year</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20" w:type="dxa"/>
            <w:vAlign w:val="bottom"/>
            <w:vMerge w:val="continue"/>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20" w:type="dxa"/>
            <w:vAlign w:val="bottom"/>
            <w:vMerge w:val="continue"/>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522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20" w:type="dxa"/>
            <w:vAlign w:val="bottom"/>
            <w:vMerge w:val="continue"/>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7" w:name="page138"/>
    <w:bookmarkEnd w:id="13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2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company at a price of $10.00 per share, for total gross proceeds of $111 million, in a private placement that is scheduled to close concurrently with the Business Combination.</w:t>
      </w:r>
    </w:p>
    <w:p>
      <w:pPr>
        <w:spacing w:after="0" w:line="108"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9"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8).</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1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8" w:name="page139"/>
    <w:bookmarkEnd w:id="13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08"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0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9" w:name="page140"/>
    <w:bookmarkEnd w:id="13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67" w:lineRule="auto"/>
        <w:rPr>
          <w:sz w:val="20"/>
          <w:szCs w:val="20"/>
          <w:color w:val="auto"/>
        </w:rPr>
      </w:pPr>
      <w:r>
        <w:rPr>
          <w:rFonts w:ascii="Times New Roman" w:cs="Times New Roman" w:eastAsia="Times New Roman" w:hAnsi="Times New Roman"/>
          <w:sz w:val="17"/>
          <w:szCs w:val="17"/>
          <w:color w:val="auto"/>
        </w:rPr>
        <w:t>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0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5"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9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0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0" w:name="page141"/>
    <w:bookmarkEnd w:id="14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2 — Restatement of Prior Period Financial Statements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Redeemable Equity Instruments</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Classification of Private Warrants &amp; Fair Value of Representative Shares</w:t>
      </w:r>
    </w:p>
    <w:p>
      <w:pPr>
        <w:spacing w:after="0" w:line="144"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Hedging — Contracts in Entity’s Own Equity</w:t>
      </w:r>
      <w:r>
        <w:rPr>
          <w:rFonts w:ascii="Times New Roman" w:cs="Times New Roman" w:eastAsia="Times New Roman" w:hAnsi="Times New Roman"/>
          <w:sz w:val="17"/>
          <w:szCs w:val="17"/>
          <w:color w:val="auto"/>
        </w:rPr>
        <w:t>, and concluded that the Private Warrants do not meet the criteria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classified in stockholders’ equity, since 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1" w:name="page142"/>
    <w:bookmarkEnd w:id="14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Impact of the Restatement</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89"/>
              </w:rPr>
              <w:t>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0" w:type="dxa"/>
            <w:vAlign w:val="bottom"/>
          </w:tcPr>
          <w:p>
            <w:pPr>
              <w:spacing w:after="0"/>
              <w:rPr>
                <w:sz w:val="1"/>
                <w:szCs w:val="1"/>
                <w:color w:val="auto"/>
              </w:rPr>
            </w:pPr>
          </w:p>
        </w:tc>
      </w:tr>
      <w:tr>
        <w:trPr>
          <w:trHeight w:val="45"/>
        </w:trPr>
        <w:tc>
          <w:tcPr>
            <w:tcW w:w="4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Audited Balance Sheet at March 15, 2021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 Liabilities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253,413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253,413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591,387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254,413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844,800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116,095,120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3,904,880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120,000,000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5,004,068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845,814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5,000,003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(4,158,293)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841,710</w:t>
            </w:r>
          </w:p>
        </w:tc>
        <w:tc>
          <w:tcPr>
            <w:tcW w:w="0" w:type="dxa"/>
            <w:vAlign w:val="bottom"/>
          </w:tcPr>
          <w:p>
            <w:pPr>
              <w:spacing w:after="0"/>
              <w:rPr>
                <w:sz w:val="1"/>
                <w:szCs w:val="1"/>
                <w:color w:val="auto"/>
              </w:rPr>
            </w:pPr>
          </w:p>
        </w:tc>
      </w:tr>
      <w:tr>
        <w:trPr>
          <w:trHeight w:val="272"/>
        </w:trPr>
        <w:tc>
          <w:tcPr>
            <w:tcW w:w="418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Unaudited Balance Sheet at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128,744,590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4,255,935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133,000,525</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5,084,297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(4,255,892)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828,405</w:t>
            </w:r>
          </w:p>
        </w:tc>
        <w:tc>
          <w:tcPr>
            <w:tcW w:w="0" w:type="dxa"/>
            <w:vAlign w:val="bottom"/>
          </w:tcPr>
          <w:p>
            <w:pPr>
              <w:spacing w:after="0"/>
              <w:rPr>
                <w:sz w:val="1"/>
                <w:szCs w:val="1"/>
                <w:color w:val="auto"/>
              </w:rPr>
            </w:pPr>
          </w:p>
        </w:tc>
      </w:tr>
      <w:tr>
        <w:trPr>
          <w:trHeight w:val="39"/>
        </w:trPr>
        <w:tc>
          <w:tcPr>
            <w:tcW w:w="4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vMerge w:val="restart"/>
          </w:tcPr>
          <w:p>
            <w:pPr>
              <w:spacing w:after="0"/>
              <w:rPr>
                <w:sz w:val="23"/>
                <w:szCs w:val="23"/>
                <w:color w:val="auto"/>
              </w:rPr>
            </w:pPr>
          </w:p>
        </w:tc>
        <w:tc>
          <w:tcPr>
            <w:tcW w:w="4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16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common stock subject to redemption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2,059,408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247,259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2,306,667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3,856,614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3,342,133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4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vMerge w:val="restart"/>
          </w:tcPr>
          <w:p>
            <w:pPr>
              <w:spacing w:after="0"/>
              <w:rPr>
                <w:sz w:val="23"/>
                <w:szCs w:val="23"/>
                <w:color w:val="auto"/>
              </w:rPr>
            </w:pPr>
          </w:p>
        </w:tc>
        <w:tc>
          <w:tcPr>
            <w:tcW w:w="4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16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Equity for the 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Capital</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4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1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Initial value of common stock subject to possible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115,841,700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8,572,213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Change in value of common stock subject to possible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12,902,890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(12,902,365)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Accretion of common stock to redemption value (interest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earned on trust account)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525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16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7"/>
                <w:szCs w:val="17"/>
                <w:color w:val="auto"/>
              </w:rPr>
              <w:t>F-11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42" w:name="page143"/>
    <w:bookmarkEnd w:id="14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six months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0.08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0.54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4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vMerge w:val="restart"/>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six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vMerge w:val="restart"/>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nine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0.06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39"/>
        </w:trPr>
        <w:tc>
          <w:tcPr>
            <w:tcW w:w="4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vMerge w:val="restart"/>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4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nine months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28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7"/>
                <w:szCs w:val="17"/>
                <w:color w:val="auto"/>
              </w:rPr>
              <w:t>F-12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43" w:name="page144"/>
    <w:bookmarkEnd w:id="14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3 — Summary of Significant Accounting Policies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5"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4" w:name="page145"/>
    <w:bookmarkEnd w:id="14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5" w:lineRule="exact"/>
        <w:rPr>
          <w:sz w:val="20"/>
          <w:szCs w:val="20"/>
          <w:color w:val="auto"/>
        </w:rPr>
      </w:pPr>
    </w:p>
    <w:p>
      <w:pPr>
        <w:ind w:left="1440" w:right="639" w:hanging="411"/>
        <w:spacing w:after="0" w:line="292" w:lineRule="auto"/>
        <w:tabs>
          <w:tab w:leader="none" w:pos="143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92"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5" w:name="page146"/>
    <w:bookmarkEnd w:id="14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34925</wp:posOffset>
            </wp:positionV>
            <wp:extent cx="4939665" cy="1727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loss</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727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620395</wp:posOffset>
            </wp:positionV>
            <wp:extent cx="4939665" cy="1809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39665" cy="18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727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loss including accretion of temporary equity</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727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233045</wp:posOffset>
            </wp:positionV>
            <wp:extent cx="4939665" cy="1727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3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Denominator: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left="1200"/>
        <w:spacing w:after="0"/>
        <w:tabs>
          <w:tab w:leader="none" w:pos="16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(981,884)</w:t>
      </w:r>
    </w:p>
    <w:p>
      <w:pPr>
        <w:spacing w:after="0" w:line="77"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7"/>
          <w:szCs w:val="17"/>
          <w:color w:val="auto"/>
        </w:rPr>
        <w:t>(13,376,606)</w:t>
      </w:r>
    </w:p>
    <w:p>
      <w:pPr>
        <w:spacing w:after="0" w:line="77" w:lineRule="exact"/>
        <w:rPr>
          <w:sz w:val="20"/>
          <w:szCs w:val="20"/>
          <w:color w:val="auto"/>
        </w:rPr>
      </w:pPr>
    </w:p>
    <w:p>
      <w:pPr>
        <w:jc w:val="right"/>
        <w:ind w:right="699"/>
        <w:spacing w:after="0"/>
        <w:tabs>
          <w:tab w:leader="none" w:pos="900" w:val="left"/>
        </w:tabs>
        <w:rPr>
          <w:sz w:val="20"/>
          <w:szCs w:val="20"/>
          <w:color w:val="auto"/>
        </w:rPr>
      </w:pPr>
      <w:r>
        <w:rPr>
          <w:rFonts w:ascii="Times New Roman" w:cs="Times New Roman" w:eastAsia="Times New Roman" w:hAnsi="Times New Roman"/>
          <w:sz w:val="17"/>
          <w:szCs w:val="17"/>
          <w:color w:val="auto"/>
        </w:rPr>
        <w:t>$</w:t>
        <w:tab/>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43815</wp:posOffset>
            </wp:positionV>
            <wp:extent cx="6750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5005" cy="8255"/>
                    </a:xfrm>
                    <a:prstGeom prst="rect">
                      <a:avLst/>
                    </a:prstGeom>
                    <a:noFill/>
                  </pic:spPr>
                </pic:pic>
              </a:graphicData>
            </a:graphic>
          </wp:anchor>
        </w:drawing>
      </w:r>
    </w:p>
    <w:p>
      <w:pPr>
        <w:spacing w:after="0" w:line="2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34925</wp:posOffset>
            </wp:positionV>
            <wp:extent cx="15151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spacing w:after="0" w:line="71" w:lineRule="exact"/>
        <w:rPr>
          <w:sz w:val="20"/>
          <w:szCs w:val="20"/>
          <w:color w:val="auto"/>
        </w:rPr>
      </w:pPr>
    </w:p>
    <w:p>
      <w:pPr>
        <w:ind w:left="16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Redeemable</w:t>
      </w:r>
      <w:r>
        <w:rPr>
          <w:sz w:val="20"/>
          <w:szCs w:val="20"/>
          <w:color w:val="auto"/>
        </w:rPr>
        <w:tab/>
      </w:r>
      <w:r>
        <w:rPr>
          <w:rFonts w:ascii="Times New Roman" w:cs="Times New Roman" w:eastAsia="Times New Roman" w:hAnsi="Times New Roman"/>
          <w:sz w:val="14"/>
          <w:szCs w:val="14"/>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180" w:val="left"/>
          <w:tab w:leader="none" w:pos="1480" w:val="left"/>
        </w:tabs>
        <w:rPr>
          <w:sz w:val="20"/>
          <w:szCs w:val="20"/>
          <w:color w:val="auto"/>
        </w:rPr>
      </w:pPr>
      <w:r>
        <w:rPr>
          <w:rFonts w:ascii="Times New Roman" w:cs="Times New Roman" w:eastAsia="Times New Roman" w:hAnsi="Times New Roman"/>
          <w:sz w:val="17"/>
          <w:szCs w:val="17"/>
          <w:color w:val="auto"/>
        </w:rPr>
        <w:t>$ (10,451,084)</w:t>
        <w:tab/>
        <w:t>$</w:t>
        <w:tab/>
        <w:t>(3,907,406)</w:t>
      </w:r>
    </w:p>
    <w:p>
      <w:pPr>
        <w:spacing w:after="0" w:line="90" w:lineRule="exact"/>
        <w:rPr>
          <w:sz w:val="20"/>
          <w:szCs w:val="20"/>
          <w:color w:val="auto"/>
        </w:rPr>
      </w:pPr>
    </w:p>
    <w:p>
      <w:pPr>
        <w:ind w:left="200"/>
        <w:spacing w:after="0"/>
        <w:tabs>
          <w:tab w:leader="none" w:pos="2060" w:val="left"/>
        </w:tabs>
        <w:rPr>
          <w:sz w:val="20"/>
          <w:szCs w:val="20"/>
          <w:color w:val="auto"/>
        </w:rPr>
      </w:pPr>
      <w:r>
        <w:rPr>
          <w:rFonts w:ascii="Times New Roman" w:cs="Times New Roman" w:eastAsia="Times New Roman" w:hAnsi="Times New Roman"/>
          <w:sz w:val="17"/>
          <w:szCs w:val="17"/>
          <w:color w:val="auto"/>
        </w:rPr>
        <w:t>13,376,606</w:t>
      </w:r>
      <w:r>
        <w:rPr>
          <w:sz w:val="20"/>
          <w:szCs w:val="20"/>
          <w:color w:val="auto"/>
        </w:rPr>
        <w:tab/>
      </w:r>
      <w:r>
        <w:rPr>
          <w:rFonts w:ascii="Times New Roman" w:cs="Times New Roman" w:eastAsia="Times New Roman" w:hAnsi="Times New Roman"/>
          <w:sz w:val="17"/>
          <w:szCs w:val="17"/>
          <w:color w:val="auto"/>
        </w:rPr>
        <w:t>—</w:t>
      </w:r>
    </w:p>
    <w:p>
      <w:pPr>
        <w:spacing w:after="0" w:line="64" w:lineRule="exact"/>
        <w:rPr>
          <w:sz w:val="20"/>
          <w:szCs w:val="20"/>
          <w:color w:val="auto"/>
        </w:rPr>
      </w:pPr>
    </w:p>
    <w:p>
      <w:pPr>
        <w:spacing w:after="0"/>
        <w:tabs>
          <w:tab w:leader="none" w:pos="260" w:val="left"/>
          <w:tab w:leader="none" w:pos="1180" w:val="left"/>
          <w:tab w:leader="none" w:pos="1480" w:val="left"/>
        </w:tabs>
        <w:rPr>
          <w:sz w:val="20"/>
          <w:szCs w:val="20"/>
          <w:color w:val="auto"/>
        </w:rPr>
      </w:pPr>
      <w:r>
        <w:rPr>
          <w:rFonts w:ascii="Times New Roman" w:cs="Times New Roman" w:eastAsia="Times New Roman" w:hAnsi="Times New Roman"/>
          <w:sz w:val="17"/>
          <w:szCs w:val="17"/>
          <w:color w:val="auto"/>
        </w:rPr>
        <w:t>$</w:t>
        <w:tab/>
        <w:t>2,925,522</w:t>
        <w:tab/>
        <w:t>$</w:t>
        <w:tab/>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52070</wp:posOffset>
            </wp:positionV>
            <wp:extent cx="14243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647" w:lineRule="exact"/>
        <w:rPr>
          <w:sz w:val="20"/>
          <w:szCs w:val="20"/>
          <w:color w:val="auto"/>
        </w:rPr>
      </w:pPr>
    </w:p>
    <w:p>
      <w:pPr>
        <w:sectPr>
          <w:pgSz w:w="11900" w:h="16838" w:orient="portrait"/>
          <w:cols w:equalWidth="0" w:num="2">
            <w:col w:w="5380" w:space="620"/>
            <w:col w:w="3019"/>
          </w:cols>
          <w:pgMar w:left="1440" w:top="264" w:right="1440" w:bottom="1440" w:gutter="0" w:footer="0" w:header="0"/>
          <w:type w:val="continuous"/>
        </w:sectPr>
      </w:pPr>
    </w:p>
    <w:tbl>
      <w:tblPr>
        <w:tblLayout w:type="fixed"/>
        <w:tblInd w:w="620" w:type="dxa"/>
        <w:tblCellMar>
          <w:top w:w="0" w:type="dxa"/>
          <w:left w:w="0" w:type="dxa"/>
          <w:bottom w:w="0" w:type="dxa"/>
          <w:right w:w="0" w:type="dxa"/>
        </w:tblCellMar>
      </w:tblPr>
      <w:tr>
        <w:trPr>
          <w:trHeight w:val="226"/>
        </w:trPr>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1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10,589,315</w:t>
            </w:r>
          </w:p>
        </w:tc>
        <w:tc>
          <w:tcPr>
            <w:tcW w:w="32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3,959,088</w:t>
            </w:r>
          </w:p>
        </w:tc>
      </w:tr>
      <w:tr>
        <w:trPr>
          <w:trHeight w:val="39"/>
        </w:trPr>
        <w:tc>
          <w:tcPr>
            <w:tcW w:w="4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income (loss) per share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0.28</w:t>
            </w:r>
          </w:p>
        </w:tc>
        <w:tc>
          <w:tcPr>
            <w:tcW w:w="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(0.99)</w:t>
            </w:r>
          </w:p>
        </w:tc>
      </w:tr>
      <w:tr>
        <w:trPr>
          <w:trHeight w:val="39"/>
        </w:trPr>
        <w:tc>
          <w:tcPr>
            <w:tcW w:w="42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50"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No shares of the Company were issued or outstanding in 2020 and, as a result, Earnings Per Share does not exist for 2020.</w:t>
      </w:r>
    </w:p>
    <w:p>
      <w:pPr>
        <w:spacing w:after="0" w:line="8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8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46" w:name="page147"/>
    <w:bookmarkEnd w:id="14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0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7" w:name="page148"/>
    <w:bookmarkEnd w:id="14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4 — Initial Public Offering</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0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5"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5 — Private Placement</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0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8" w:name="page149"/>
    <w:bookmarkEnd w:id="14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6 — Related Party Transactions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1"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9" w:name="page150"/>
    <w:bookmarkEnd w:id="14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6 — Related Party Transactions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7 — Fair Value Measurements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Prices In Active</w:t>
            </w: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5"/>
        </w:trPr>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5"/>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6"/>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762"/>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6"/>
        </w:trPr>
        <w:tc>
          <w:tcPr>
            <w:tcW w:w="26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right"/>
              <w:ind w:right="2660"/>
              <w:spacing w:after="0"/>
              <w:rPr>
                <w:sz w:val="20"/>
                <w:szCs w:val="20"/>
                <w:color w:val="auto"/>
              </w:rPr>
            </w:pPr>
            <w:r>
              <w:rPr>
                <w:rFonts w:ascii="Times New Roman" w:cs="Times New Roman" w:eastAsia="Times New Roman" w:hAnsi="Times New Roman"/>
                <w:sz w:val="17"/>
                <w:szCs w:val="17"/>
                <w:color w:val="auto"/>
              </w:rPr>
              <w:t>F-19</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50" w:name="page151"/>
    <w:bookmarkEnd w:id="15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Quoted Prices</w:t>
            </w: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In Active</w:t>
            </w: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80" w:type="dxa"/>
            <w:vAlign w:val="bottom"/>
          </w:tcPr>
          <w:p>
            <w:pPr>
              <w:spacing w:after="0"/>
              <w:rPr>
                <w:sz w:val="16"/>
                <w:szCs w:val="16"/>
                <w:color w:val="auto"/>
              </w:rPr>
            </w:pPr>
          </w:p>
        </w:tc>
        <w:tc>
          <w:tcPr>
            <w:tcW w:w="9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5"/>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tcPr>
          <w:p>
            <w:pPr>
              <w:jc w:val="right"/>
              <w:ind w:right="762"/>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9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gridSpan w:val="3"/>
          </w:tcPr>
          <w:p>
            <w:pPr>
              <w:jc w:val="right"/>
              <w:ind w:right="762"/>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March 15, 2021:</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2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26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26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15"/>
        </w:trPr>
        <w:tc>
          <w:tcPr>
            <w:tcW w:w="2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right"/>
              <w:ind w:right="2640"/>
              <w:spacing w:after="0"/>
              <w:rPr>
                <w:sz w:val="20"/>
                <w:szCs w:val="20"/>
                <w:color w:val="auto"/>
              </w:rPr>
            </w:pPr>
            <w:r>
              <w:rPr>
                <w:rFonts w:ascii="Times New Roman" w:cs="Times New Roman" w:eastAsia="Times New Roman" w:hAnsi="Times New Roman"/>
                <w:sz w:val="17"/>
                <w:szCs w:val="17"/>
                <w:color w:val="auto"/>
              </w:rPr>
              <w:t>F-20</w:t>
            </w: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51" w:name="page152"/>
    <w:bookmarkEnd w:id="15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year ended December 31, 2021:</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65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Initial fair value of warrant liability upon issuance at IPO</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(22,793)</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80" w:type="dxa"/>
            <w:vAlign w:val="bottom"/>
            <w:vMerge w:val="continue"/>
          </w:tcPr>
          <w:p>
            <w:pPr>
              <w:spacing w:after="0"/>
              <w:rPr>
                <w:sz w:val="19"/>
                <w:szCs w:val="19"/>
                <w:color w:val="auto"/>
              </w:rPr>
            </w:pPr>
          </w:p>
        </w:tc>
        <w:tc>
          <w:tcPr>
            <w:tcW w:w="180" w:type="dxa"/>
            <w:vAlign w:val="bottom"/>
            <w:gridSpan w:val="2"/>
          </w:tcPr>
          <w:p>
            <w:pPr>
              <w:jc w:val="right"/>
              <w:ind w:right="4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8 — Commitments and Contingencies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2" w:name="page153"/>
    <w:bookmarkEnd w:id="15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57" w:lineRule="exact"/>
        <w:rPr>
          <w:sz w:val="20"/>
          <w:szCs w:val="20"/>
          <w:color w:val="auto"/>
        </w:rPr>
      </w:pPr>
    </w:p>
    <w:p>
      <w:pPr>
        <w:jc w:val="both"/>
        <w:ind w:left="620" w:right="639" w:firstLine="415"/>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44"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3" w:name="page154"/>
    <w:bookmarkEnd w:id="15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64" w:lineRule="auto"/>
        <w:rPr>
          <w:sz w:val="20"/>
          <w:szCs w:val="20"/>
          <w:color w:val="auto"/>
        </w:rPr>
      </w:pPr>
      <w:r>
        <w:rPr>
          <w:rFonts w:ascii="Times New Roman" w:cs="Times New Roman" w:eastAsia="Times New Roman" w:hAnsi="Times New Roman"/>
          <w:sz w:val="17"/>
          <w:szCs w:val="17"/>
          <w:color w:val="auto"/>
        </w:rPr>
        <w:t>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9 — Stockholders’ Equity</w:t>
      </w:r>
    </w:p>
    <w:p>
      <w:pPr>
        <w:spacing w:after="0" w:line="153" w:lineRule="exact"/>
        <w:rPr>
          <w:sz w:val="20"/>
          <w:szCs w:val="20"/>
          <w:color w:val="auto"/>
        </w:rPr>
      </w:pPr>
    </w:p>
    <w:p>
      <w:pPr>
        <w:jc w:val="both"/>
        <w:ind w:left="620" w:right="639" w:firstLine="415"/>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December 31, 2021, there were no shares of preferred stock issued or outstanding.</w:t>
      </w:r>
    </w:p>
    <w:p>
      <w:pPr>
        <w:spacing w:after="0" w:line="61" w:lineRule="exact"/>
        <w:rPr>
          <w:sz w:val="20"/>
          <w:szCs w:val="20"/>
          <w:color w:val="auto"/>
        </w:rPr>
      </w:pPr>
    </w:p>
    <w:p>
      <w:pPr>
        <w:jc w:val="both"/>
        <w:ind w:left="620" w:right="639" w:firstLine="415"/>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December 31, 2021, there were 4,161,000 shares of common stock issued and outstanding, excluding 13,300,000 shares of common stock subject to possible redemption.</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59"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01"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2" w:lineRule="exact"/>
        <w:rPr>
          <w:sz w:val="20"/>
          <w:szCs w:val="20"/>
          <w:color w:val="auto"/>
        </w:rPr>
      </w:pPr>
    </w:p>
    <w:p>
      <w:pPr>
        <w:ind w:left="1440" w:hanging="411"/>
        <w:spacing w:after="0"/>
        <w:tabs>
          <w:tab w:leader="none" w:pos="14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41" w:lineRule="exact"/>
        <w:rPr>
          <w:rFonts w:ascii="Times New Roman" w:cs="Times New Roman" w:eastAsia="Times New Roman" w:hAnsi="Times New Roman"/>
          <w:sz w:val="17"/>
          <w:szCs w:val="17"/>
          <w:color w:val="auto"/>
        </w:rPr>
      </w:pPr>
    </w:p>
    <w:p>
      <w:pPr>
        <w:jc w:val="both"/>
        <w:ind w:left="1440" w:right="639" w:hanging="411"/>
        <w:spacing w:after="0" w:line="265" w:lineRule="auto"/>
        <w:tabs>
          <w:tab w:leader="none" w:pos="143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16"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4" w:name="page155"/>
    <w:bookmarkEnd w:id="15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9 — Stockholders’ Equity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10 — Income Tax</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Company’s net deferred tax assets are as follows:</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4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6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Organizational costs/Startup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51,171</w:t>
            </w:r>
          </w:p>
        </w:tc>
        <w:tc>
          <w:tcPr>
            <w:tcW w:w="12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Capitalized costs related to Business Combination</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 net operating loss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6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w:t>
            </w: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(211,133)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6"/>
        </w:trPr>
        <w:tc>
          <w:tcPr>
            <w:tcW w:w="46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 net of allowance</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69"/>
        </w:trPr>
        <w:tc>
          <w:tcPr>
            <w:tcW w:w="4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income tax provision consists of the following:</w:t>
            </w:r>
          </w:p>
        </w:tc>
        <w:tc>
          <w:tcPr>
            <w:tcW w:w="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6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State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(211,133)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8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As of December 31, 2021, the Company has $366,866 of U.S. federal net operating loss carryovers, which do not expire, and no state net operating loss carryovers available to offset future taxable income.</w:t>
      </w:r>
    </w:p>
    <w:p>
      <w:pPr>
        <w:spacing w:after="0" w:line="8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5" w:name="page156"/>
    <w:bookmarkEnd w:id="15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10 — Income Tax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A reconciliation of the federal income tax rate to the Company’s effective tax rate at December 31, 2021 is as follows:</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252"/>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federal income tax rate</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State taxes, net of federal tax benefit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6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Permanent Book/Tax Differences</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46"/>
        </w:trPr>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(21.49)%</w:t>
            </w:r>
          </w:p>
        </w:tc>
      </w:tr>
      <w:tr>
        <w:trPr>
          <w:trHeight w:val="26"/>
        </w:trPr>
        <w:tc>
          <w:tcPr>
            <w:tcW w:w="65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2"/>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6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in various state and local jurisdictions and is subject to examination by the various taxing authorities.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11 — Subsequent Events</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financial statements were issued.</w:t>
      </w:r>
    </w:p>
    <w:p>
      <w:pPr>
        <w:spacing w:after="0" w:line="8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On January 10, 2022, the Company filed a registration statement on Form S-4 (the “Form S-4”) with respect to the merger between the Company and SoundHound Inc.</w:t>
      </w:r>
    </w:p>
    <w:p>
      <w:pPr>
        <w:spacing w:after="0" w:line="8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On February 14, 2022, the Company filed Amendment No. 1 to the Form S-4 to address comments the Company received from the SEC on February 9, 2022.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6" w:name="page157"/>
    <w:bookmarkEnd w:id="15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151130</wp:posOffset>
            </wp:positionV>
            <wp:extent cx="1160780" cy="3378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60780" cy="33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the Board of Directors and Stockholders</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SoundHound, Inc.</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Santa Clara, California</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Armanino</w:t>
      </w:r>
      <w:r>
        <w:rPr>
          <w:rFonts w:ascii="Times New Roman" w:cs="Times New Roman" w:eastAsia="Times New Roman" w:hAnsi="Times New Roman"/>
          <w:sz w:val="20"/>
          <w:szCs w:val="20"/>
          <w:color w:val="auto"/>
          <w:vertAlign w:val="superscript"/>
        </w:rPr>
        <w:t>LLP</w:t>
      </w:r>
    </w:p>
    <w:p>
      <w:pPr>
        <w:ind w:left="620"/>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March 9, 2022</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served as the Company’s auditors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7" w:name="page158"/>
    <w:bookmarkEnd w:id="15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5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4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Accounts receivable, net of allowances of $109 as of December 31, 2021</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and December 31, 2020, respectively</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issuance cost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27,471</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48,949</w:t>
            </w:r>
          </w:p>
        </w:tc>
        <w:tc>
          <w:tcPr>
            <w:tcW w:w="0" w:type="dxa"/>
            <w:vAlign w:val="bottom"/>
          </w:tcPr>
          <w:p>
            <w:pPr>
              <w:spacing w:after="0"/>
              <w:rPr>
                <w:sz w:val="1"/>
                <w:szCs w:val="1"/>
                <w:color w:val="auto"/>
              </w:rPr>
            </w:pPr>
          </w:p>
        </w:tc>
      </w:tr>
      <w:tr>
        <w:trPr>
          <w:trHeight w:val="33"/>
        </w:trPr>
        <w:tc>
          <w:tcPr>
            <w:tcW w:w="5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equivalents, non-current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5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5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50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LIABILITIES, REDEEMABLE CONVERTIBLE PREFERRED STOCK,</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Pr>
          <w:p>
            <w:pPr>
              <w:ind w:left="1380"/>
              <w:spacing w:after="0"/>
              <w:rPr>
                <w:sz w:val="20"/>
                <w:szCs w:val="20"/>
                <w:color w:val="auto"/>
              </w:rPr>
            </w:pPr>
            <w:r>
              <w:rPr>
                <w:rFonts w:ascii="Times New Roman" w:cs="Times New Roman" w:eastAsia="Times New Roman" w:hAnsi="Times New Roman"/>
                <w:sz w:val="17"/>
                <w:szCs w:val="17"/>
                <w:b w:val="1"/>
                <w:bCs w:val="1"/>
                <w:color w:val="auto"/>
              </w:rPr>
              <w:t>AND STOCKHOLDERS’ DEFICIT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lease obligation,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Financing lease liabilities,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liability</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rent,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Derivative liability</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24,523</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 lease obligation, net of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Financing lease liabilities, net of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rent, net of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19,204</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and warrant liability</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112,937</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66,303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5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50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7"/>
                <w:szCs w:val="17"/>
                <w:color w:val="auto"/>
              </w:rPr>
              <w:t>F-27</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58" w:name="page159"/>
    <w:bookmarkEnd w:id="15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 —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1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Redeemable convertible preferred stock; $0.0001 par value; 26,316,129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shares authorized; 19,248,537 and 19,132,387 shares issued and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outstanding, liquidation preference of $284,826 and $284,047 as of</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273,687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18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Common stock, $0.0001 par value; 45,000,000 shares authorized;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12,280,051 and 11,818,761 shares issued and outstanding as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(386,729)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(307,189)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(343,237</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(276,353</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60" w:type="dxa"/>
            <w:vAlign w:val="bottom"/>
            <w:shd w:val="clear" w:color="auto" w:fill="CCEEFF"/>
          </w:tcPr>
          <w:p>
            <w:pPr>
              <w:ind w:left="320"/>
              <w:spacing w:after="0" w:line="169" w:lineRule="exact"/>
              <w:rPr>
                <w:sz w:val="20"/>
                <w:szCs w:val="20"/>
                <w:color w:val="auto"/>
              </w:rPr>
            </w:pPr>
            <w:r>
              <w:rPr>
                <w:rFonts w:ascii="Times New Roman" w:cs="Times New Roman" w:eastAsia="Times New Roman" w:hAnsi="Times New Roman"/>
                <w:sz w:val="17"/>
                <w:szCs w:val="17"/>
                <w:color w:val="auto"/>
              </w:rPr>
              <w:t>Total liabilities, redeemable convertible preferred stock, and</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stockholders’ deficit</w:t>
            </w:r>
          </w:p>
        </w:tc>
        <w:tc>
          <w:tcPr>
            <w:tcW w:w="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9" w:name="page160"/>
    <w:bookmarkEnd w:id="15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COMPREHENSIVE LOSS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for per share amounts)</w:t>
      </w:r>
    </w:p>
    <w:p>
      <w:pPr>
        <w:spacing w:after="0" w:line="16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34925</wp:posOffset>
            </wp:positionV>
            <wp:extent cx="15151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spacing w:after="0" w:line="71"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
        </w:trPr>
        <w:tc>
          <w:tcPr>
            <w:tcW w:w="5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(8,342)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(2,269)</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expense,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(5,396)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other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9"/>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Deemed dividend related to the exchange of redeemable convertible</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series D-3A for redeemable convertible preferred stock</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series D-3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73"/>
        </w:trPr>
        <w:tc>
          <w:tcPr>
            <w:tcW w:w="5220" w:type="dxa"/>
            <w:vAlign w:val="bottom"/>
            <w:gridSpan w:val="2"/>
            <w:vMerge w:val="continue"/>
          </w:tcPr>
          <w:p>
            <w:pPr>
              <w:spacing w:after="0"/>
              <w:rPr>
                <w:sz w:val="23"/>
                <w:szCs w:val="23"/>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holding gain on available-for-sale securities,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73"/>
        </w:trPr>
        <w:tc>
          <w:tcPr>
            <w:tcW w:w="5220" w:type="dxa"/>
            <w:vAlign w:val="bottom"/>
            <w:gridSpan w:val="2"/>
            <w:vMerge w:val="continue"/>
          </w:tcPr>
          <w:p>
            <w:pPr>
              <w:spacing w:after="0"/>
              <w:rPr>
                <w:sz w:val="23"/>
                <w:szCs w:val="23"/>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(79,539</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(74,402</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(6.57)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0" w:name="page161"/>
    <w:bookmarkEnd w:id="16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STOCKHOLDERS’ DEFICIT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20" w:type="dxa"/>
            <w:vAlign w:val="bottom"/>
            <w:tcBorders>
              <w:right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22"/>
                <w:szCs w:val="22"/>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right w:val="single" w:sz="8" w:color="auto"/>
            </w:tcBorders>
            <w:gridSpan w:val="5"/>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restart"/>
          </w:tcPr>
          <w:p>
            <w:pPr>
              <w:jc w:val="right"/>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00" w:type="dxa"/>
            <w:vAlign w:val="bottom"/>
            <w:gridSpan w:val="9"/>
            <w:vMerge w:val="restart"/>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900" w:type="dxa"/>
            <w:vAlign w:val="bottom"/>
            <w:gridSpan w:val="9"/>
            <w:vMerge w:val="continue"/>
          </w:tcPr>
          <w:p>
            <w:pPr>
              <w:spacing w:after="0"/>
              <w:rPr>
                <w:sz w:val="5"/>
                <w:szCs w:val="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Balance as of January 1,</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17,784,975</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223,641</w:t>
            </w:r>
          </w:p>
        </w:tc>
        <w:tc>
          <w:tcPr>
            <w:tcW w:w="100" w:type="dxa"/>
            <w:vAlign w:val="bottom"/>
            <w:tcBorders>
              <w:right w:val="single" w:sz="8" w:color="auto"/>
            </w:tcBorders>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11,750,082</w:t>
            </w:r>
          </w:p>
        </w:tc>
        <w:tc>
          <w:tcPr>
            <w:tcW w:w="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w:t>
            </w:r>
          </w:p>
        </w:tc>
        <w:tc>
          <w:tcPr>
            <w:tcW w:w="12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(232,782)</w:t>
            </w: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4"/>
              </w:rPr>
              <w:t>$ (206,851)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gridSpan w:val="2"/>
            <w:vMerge w:val="continue"/>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vMerge w:val="continue"/>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stock exchange at $33.00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454,545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stock exchange at $40.00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Conversion of convertible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notes for redeemable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766,293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30,664</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Preferred stock exchange</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(D-3 to D-3A)</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 Series B</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exercise of Series B</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101,574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(74,407)</w:t>
            </w:r>
          </w:p>
        </w:tc>
        <w:tc>
          <w:tcPr>
            <w:tcW w:w="8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(74,407)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2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Balance as of December 31,</w:t>
            </w: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19,132,387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273,687</w:t>
            </w:r>
          </w:p>
        </w:tc>
        <w:tc>
          <w:tcPr>
            <w:tcW w:w="10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11,818,761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vMerge w:val="restart"/>
          </w:tcPr>
          <w:p>
            <w:pPr>
              <w:spacing w:after="0" w:line="120"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461,290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 Series 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exercise of Series C</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116,150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5,816</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(79,540)</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(79,540)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2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Balance as of December 31,</w:t>
            </w: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0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12,280,051</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2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4"/>
              </w:rPr>
              <w:t>$ (343,237)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1" w:name="page162"/>
    <w:bookmarkEnd w:id="16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16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34925</wp:posOffset>
            </wp:positionV>
            <wp:extent cx="15151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spacing w:after="0" w:line="71"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r>
      <w:tr>
        <w:trPr>
          <w:trHeight w:val="45"/>
        </w:trPr>
        <w:tc>
          <w:tcPr>
            <w:tcW w:w="5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5"/>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(79,540)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(74,407)</w:t>
            </w: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6,037</w:t>
            </w:r>
          </w:p>
        </w:tc>
        <w:tc>
          <w:tcPr>
            <w:tcW w:w="140" w:type="dxa"/>
            <w:vAlign w:val="bottom"/>
          </w:tcPr>
          <w:p>
            <w:pPr>
              <w:spacing w:after="0"/>
              <w:rPr>
                <w:sz w:val="20"/>
                <w:szCs w:val="20"/>
                <w:color w:val="auto"/>
              </w:rPr>
            </w:pP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40" w:type="dxa"/>
            <w:vAlign w:val="bottom"/>
          </w:tcPr>
          <w:p>
            <w:pPr>
              <w:spacing w:after="0"/>
              <w:rPr>
                <w:sz w:val="20"/>
                <w:szCs w:val="20"/>
                <w:color w:val="auto"/>
              </w:rPr>
            </w:pP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debt issuance cost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lease amortization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upon extinguishment of debt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(2,282)</w:t>
            </w: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(1,890)</w:t>
            </w: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(320)</w:t>
            </w:r>
          </w:p>
        </w:tc>
      </w:tr>
      <w:tr>
        <w:trPr>
          <w:trHeight w:val="234"/>
        </w:trPr>
        <w:tc>
          <w:tcPr>
            <w:tcW w:w="5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assets, non-current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5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40" w:type="dxa"/>
            <w:vAlign w:val="bottom"/>
          </w:tcPr>
          <w:p>
            <w:pPr>
              <w:spacing w:after="0"/>
              <w:rPr>
                <w:sz w:val="20"/>
                <w:szCs w:val="20"/>
                <w:color w:val="auto"/>
              </w:rPr>
            </w:pP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Deferred rent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40" w:type="dxa"/>
            <w:vAlign w:val="bottom"/>
          </w:tcPr>
          <w:p>
            <w:pPr>
              <w:spacing w:after="0"/>
              <w:rPr>
                <w:sz w:val="20"/>
                <w:szCs w:val="20"/>
                <w:color w:val="auto"/>
              </w:rPr>
            </w:pP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Deferred revenue</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6"/>
        </w:trPr>
        <w:tc>
          <w:tcPr>
            <w:tcW w:w="5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40" w:type="dxa"/>
            <w:vAlign w:val="bottom"/>
          </w:tcPr>
          <w:p>
            <w:pPr>
              <w:spacing w:after="0"/>
              <w:rPr>
                <w:sz w:val="21"/>
                <w:szCs w:val="21"/>
                <w:color w:val="auto"/>
              </w:rPr>
            </w:pPr>
          </w:p>
        </w:tc>
      </w:tr>
      <w:tr>
        <w:trPr>
          <w:trHeight w:val="26"/>
        </w:trPr>
        <w:tc>
          <w:tcPr>
            <w:tcW w:w="5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2"/>
        </w:trPr>
        <w:tc>
          <w:tcPr>
            <w:tcW w:w="5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(66,177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(46,304</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172720</wp:posOffset>
            </wp:positionV>
            <wp:extent cx="4939665" cy="1727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Cash flows from investing activities:</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727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Maturities of short-term investments</w:t>
      </w:r>
    </w:p>
    <w:p>
      <w:pPr>
        <w:spacing w:after="0" w:line="77" w:lineRule="exact"/>
        <w:rPr>
          <w:sz w:val="20"/>
          <w:szCs w:val="20"/>
          <w:color w:val="auto"/>
        </w:rPr>
      </w:pPr>
    </w:p>
    <w:p>
      <w:pPr>
        <w:jc w:val="right"/>
        <w:ind w:right="1151"/>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809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39665" cy="180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1149" w:hanging="1149"/>
        <w:spacing w:after="0"/>
        <w:tabs>
          <w:tab w:leader="none" w:pos="114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(2,162)</w:t>
      </w:r>
    </w:p>
    <w:p>
      <w:pPr>
        <w:spacing w:after="0" w:line="89" w:lineRule="exact"/>
        <w:rPr>
          <w:rFonts w:ascii="Times New Roman" w:cs="Times New Roman" w:eastAsia="Times New Roman" w:hAnsi="Times New Roman"/>
          <w:sz w:val="17"/>
          <w:szCs w:val="17"/>
          <w:color w:val="auto"/>
        </w:rPr>
      </w:pPr>
    </w:p>
    <w:p>
      <w:pPr>
        <w:ind w:left="1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35560</wp:posOffset>
            </wp:positionV>
            <wp:extent cx="14243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44" w:lineRule="exact"/>
        <w:rPr>
          <w:sz w:val="20"/>
          <w:szCs w:val="20"/>
          <w:color w:val="auto"/>
        </w:rPr>
      </w:pPr>
    </w:p>
    <w:p>
      <w:pPr>
        <w:ind w:left="9"/>
        <w:spacing w:after="0"/>
        <w:tabs>
          <w:tab w:leader="none" w:pos="1109" w:val="left"/>
        </w:tabs>
        <w:rPr>
          <w:sz w:val="20"/>
          <w:szCs w:val="20"/>
          <w:color w:val="auto"/>
        </w:rPr>
      </w:pPr>
      <w:r>
        <w:rPr>
          <w:rFonts w:ascii="Times New Roman" w:cs="Times New Roman" w:eastAsia="Times New Roman" w:hAnsi="Times New Roman"/>
          <w:sz w:val="17"/>
          <w:szCs w:val="17"/>
          <w:color w:val="auto"/>
        </w:rPr>
        <w:t>(636)</w:t>
      </w:r>
      <w:r>
        <w:rPr>
          <w:sz w:val="20"/>
          <w:szCs w:val="20"/>
          <w:color w:val="auto"/>
        </w:rPr>
        <w:tab/>
      </w:r>
      <w:r>
        <w:rPr>
          <w:rFonts w:ascii="Times New Roman" w:cs="Times New Roman" w:eastAsia="Times New Roman" w:hAnsi="Times New Roman"/>
          <w:sz w:val="17"/>
          <w:szCs w:val="17"/>
          <w:color w:val="auto"/>
        </w:rPr>
        <w:t>11,448</w:t>
      </w:r>
    </w:p>
    <w:p>
      <w:pPr>
        <w:spacing w:after="0" w:line="200" w:lineRule="exact"/>
        <w:rPr>
          <w:sz w:val="20"/>
          <w:szCs w:val="20"/>
          <w:color w:val="auto"/>
        </w:rPr>
      </w:pPr>
    </w:p>
    <w:p>
      <w:pPr>
        <w:sectPr>
          <w:pgSz w:w="11900" w:h="16838" w:orient="portrait"/>
          <w:cols w:equalWidth="0" w:num="2">
            <w:col w:w="5931" w:space="720"/>
            <w:col w:w="2368"/>
          </w:cols>
          <w:pgMar w:left="1440" w:top="264" w:right="1440" w:bottom="1440" w:gutter="0" w:footer="0" w:header="0"/>
          <w:type w:val="continuous"/>
        </w:sectPr>
      </w:pP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26"/>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 net of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note payable, net of issuance cost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preferred stock</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exercise of common stock options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finance and capital lease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189"/>
        </w:trPr>
        <w:tc>
          <w:tcPr>
            <w:tcW w:w="5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Proceeds from the exercise of warrants for redeemable convertible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300" w:type="dxa"/>
            <w:vAlign w:val="bottom"/>
          </w:tcPr>
          <w:p>
            <w:pPr>
              <w:ind w:left="680"/>
              <w:spacing w:after="0" w:line="169" w:lineRule="exact"/>
              <w:rPr>
                <w:sz w:val="20"/>
                <w:szCs w:val="20"/>
                <w:color w:val="auto"/>
              </w:rPr>
            </w:pPr>
            <w:r>
              <w:rPr>
                <w:rFonts w:ascii="Times New Roman" w:cs="Times New Roman" w:eastAsia="Times New Roman" w:hAnsi="Times New Roman"/>
                <w:sz w:val="17"/>
                <w:szCs w:val="17"/>
                <w:color w:val="auto"/>
              </w:rPr>
              <w:t>Net (decrease) increase in cash, cash equivalents, and restricted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3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cash equivalents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beginning of period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end of period</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300" w:type="dxa"/>
            <w:vAlign w:val="bottom"/>
            <w:vMerge w:val="continue"/>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12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3720"/>
              <w:spacing w:after="0"/>
              <w:rPr>
                <w:sz w:val="20"/>
                <w:szCs w:val="20"/>
                <w:color w:val="auto"/>
              </w:rPr>
            </w:pPr>
            <w:r>
              <w:rPr>
                <w:rFonts w:ascii="Times New Roman" w:cs="Times New Roman" w:eastAsia="Times New Roman" w:hAnsi="Times New Roman"/>
                <w:sz w:val="17"/>
                <w:szCs w:val="17"/>
                <w:color w:val="auto"/>
              </w:rPr>
              <w:t>F-31</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type w:val="continuous"/>
        </w:sectPr>
      </w:pPr>
    </w:p>
    <w:bookmarkStart w:id="162" w:name="page163"/>
    <w:bookmarkEnd w:id="16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16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34925</wp:posOffset>
            </wp:positionV>
            <wp:extent cx="15151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spacing w:after="0" w:line="71"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Reconciliation to amounts on the consolidated balance sheets: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restricted 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portion of restricted cash equivalents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ind w:left="520"/>
              <w:spacing w:after="0" w:line="169" w:lineRule="exact"/>
              <w:rPr>
                <w:sz w:val="20"/>
                <w:szCs w:val="20"/>
                <w:color w:val="auto"/>
              </w:rPr>
            </w:pPr>
            <w:r>
              <w:rPr>
                <w:rFonts w:ascii="Times New Roman" w:cs="Times New Roman" w:eastAsia="Times New Roman" w:hAnsi="Times New Roman"/>
                <w:sz w:val="17"/>
                <w:szCs w:val="17"/>
                <w:color w:val="auto"/>
              </w:rPr>
              <w:t>Total cash, cash equivalents, and restricted cash equivalents shown</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 the consolidated statements of cash flows</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Income taxes</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Operating lease liabilities and right-of-use assets through adoption of</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Topic 842</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11,428</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320" w:type="dxa"/>
            <w:vAlign w:val="bottom"/>
            <w:tcBorders>
              <w:bottom w:val="single" w:sz="8" w:color="CCEEFF"/>
            </w:tcBorders>
            <w:shd w:val="clear" w:color="auto" w:fill="CCEEFF"/>
          </w:tcPr>
          <w:p>
            <w:pPr>
              <w:ind w:left="340"/>
              <w:spacing w:after="0" w:line="190" w:lineRule="exact"/>
              <w:rPr>
                <w:sz w:val="20"/>
                <w:szCs w:val="20"/>
                <w:color w:val="auto"/>
              </w:rPr>
            </w:pPr>
            <w:r>
              <w:rPr>
                <w:rFonts w:ascii="Times New Roman" w:cs="Times New Roman" w:eastAsia="Times New Roman" w:hAnsi="Times New Roman"/>
                <w:sz w:val="17"/>
                <w:szCs w:val="17"/>
                <w:color w:val="auto"/>
              </w:rPr>
              <w:t>Property and equipment acquired under capital leases or debt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Debt discount through issuance of common stock warrants</w:t>
            </w: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3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5320" w:type="dxa"/>
            <w:vAlign w:val="bottom"/>
            <w:shd w:val="clear" w:color="auto" w:fill="CCEEFF"/>
          </w:tcPr>
          <w:p>
            <w:pPr>
              <w:ind w:left="340"/>
              <w:spacing w:after="0" w:line="146" w:lineRule="exact"/>
              <w:rPr>
                <w:sz w:val="20"/>
                <w:szCs w:val="20"/>
                <w:color w:val="auto"/>
              </w:rPr>
            </w:pPr>
            <w:r>
              <w:rPr>
                <w:rFonts w:ascii="Times New Roman" w:cs="Times New Roman" w:eastAsia="Times New Roman" w:hAnsi="Times New Roman"/>
                <w:sz w:val="16"/>
                <w:szCs w:val="16"/>
                <w:color w:val="auto"/>
              </w:rPr>
              <w:t>Debt discount through issuance of convertible note with derivative</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liability</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55"/>
        </w:trPr>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320" w:type="dxa"/>
            <w:vAlign w:val="bottom"/>
            <w:tcBorders>
              <w:bottom w:val="single" w:sz="8" w:color="CCEEFF"/>
            </w:tcBorders>
            <w:shd w:val="clear" w:color="auto" w:fill="CCEEFF"/>
          </w:tcPr>
          <w:p>
            <w:pPr>
              <w:ind w:left="340"/>
              <w:spacing w:after="0" w:line="190" w:lineRule="exact"/>
              <w:rPr>
                <w:sz w:val="20"/>
                <w:szCs w:val="20"/>
                <w:color w:val="auto"/>
              </w:rPr>
            </w:pPr>
            <w:r>
              <w:rPr>
                <w:rFonts w:ascii="Times New Roman" w:cs="Times New Roman" w:eastAsia="Times New Roman" w:hAnsi="Times New Roman"/>
                <w:sz w:val="17"/>
                <w:szCs w:val="17"/>
                <w:color w:val="auto"/>
              </w:rPr>
              <w:t>Non-cash debt discount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340"/>
              <w:spacing w:after="0" w:line="185" w:lineRule="exact"/>
              <w:rPr>
                <w:sz w:val="20"/>
                <w:szCs w:val="20"/>
                <w:color w:val="auto"/>
              </w:rPr>
            </w:pPr>
            <w:r>
              <w:rPr>
                <w:rFonts w:ascii="Times New Roman" w:cs="Times New Roman" w:eastAsia="Times New Roman" w:hAnsi="Times New Roman"/>
                <w:sz w:val="17"/>
                <w:szCs w:val="17"/>
                <w:color w:val="auto"/>
              </w:rPr>
              <w:t>Issues of series C redeemable convertible preferred stock for exercise</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53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of warrants</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Issues of series B redeemable convertible preferred stock for exercise</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of warrants</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40"/>
              <w:spacing w:after="0" w:line="189" w:lineRule="exact"/>
              <w:rPr>
                <w:sz w:val="20"/>
                <w:szCs w:val="20"/>
                <w:color w:val="auto"/>
              </w:rPr>
            </w:pPr>
            <w:r>
              <w:rPr>
                <w:rFonts w:ascii="Times New Roman" w:cs="Times New Roman" w:eastAsia="Times New Roman" w:hAnsi="Times New Roman"/>
                <w:sz w:val="17"/>
                <w:szCs w:val="17"/>
                <w:color w:val="auto"/>
              </w:rPr>
              <w:t>Deemed dividend from exchange of series D-3A redeemable</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53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convertible preferred stock for series D-3</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Conversion of convertible notes to series D-3A redeemable convertible</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preferred stock</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3" w:name="page164"/>
    <w:bookmarkEnd w:id="16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Nature of Operations</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SoundHound, Inc. and its subsidiaries (“SoundHound” or the “Company”) was incorporated in Delaware on September 2, 2005 and is headquartered in Santa Clara, California.</w:t>
      </w:r>
    </w:p>
    <w:p>
      <w:pPr>
        <w:spacing w:after="0" w:line="8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Houndify Products and Houndify Services. The SoundHound music app allows customers to identify and play songs by singing or humming into the smartphone’s microphone, or by identifying the sound playing in the background from external sources.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9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08"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4" w:name="page165"/>
    <w:bookmarkEnd w:id="16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0" w:lineRule="auto"/>
        <w:rPr>
          <w:sz w:val="20"/>
          <w:szCs w:val="20"/>
          <w:color w:val="auto"/>
        </w:rPr>
      </w:pPr>
      <w:r>
        <w:rPr>
          <w:rFonts w:ascii="Times New Roman" w:cs="Times New Roman" w:eastAsia="Times New Roman" w:hAnsi="Times New Roman"/>
          <w:sz w:val="17"/>
          <w:szCs w:val="17"/>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31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76" w:lineRule="exact"/>
        <w:rPr>
          <w:sz w:val="20"/>
          <w:szCs w:val="20"/>
          <w:color w:val="auto"/>
        </w:rPr>
      </w:pPr>
    </w:p>
    <w:p>
      <w:pPr>
        <w:ind w:left="1000" w:hanging="385"/>
        <w:spacing w:after="0"/>
        <w:tabs>
          <w:tab w:leader="none" w:pos="100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5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Company’s consolidated financial statements include the accounts of the Company and its wholly-owned subsidiaries. All intercompany accounts and transactions have been eliminated in consolidation.</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90"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5" w:name="page166"/>
    <w:bookmarkEnd w:id="16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31"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Cash and Cash Equivalents</w:t>
      </w:r>
    </w:p>
    <w:p>
      <w:pPr>
        <w:spacing w:after="0" w:line="131"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Cash Equivalents</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Accounts Receivable, Net</w:t>
      </w:r>
    </w:p>
    <w:p>
      <w:pPr>
        <w:spacing w:after="0" w:line="131"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72" w:lineRule="exact"/>
        <w:rPr>
          <w:sz w:val="20"/>
          <w:szCs w:val="20"/>
          <w:color w:val="auto"/>
        </w:rPr>
      </w:pPr>
    </w:p>
    <w:p>
      <w:pPr>
        <w:jc w:val="both"/>
        <w:ind w:left="1020" w:right="619"/>
        <w:spacing w:after="0" w:line="265" w:lineRule="auto"/>
        <w:rPr>
          <w:sz w:val="20"/>
          <w:szCs w:val="20"/>
          <w:color w:val="auto"/>
        </w:rPr>
      </w:pPr>
      <w:r>
        <w:rPr>
          <w:rFonts w:ascii="Times New Roman" w:cs="Times New Roman" w:eastAsia="Times New Roman" w:hAnsi="Times New Roman"/>
          <w:sz w:val="17"/>
          <w:szCs w:val="17"/>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Property and Equipment, Net</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amortization. Depreciation is provided using the straight-line method over the estimated useful lives of the respective assets.</w:t>
      </w:r>
    </w:p>
    <w:p>
      <w:pPr>
        <w:spacing w:after="0" w:line="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estimated useful lives of the Company’s property and equipment are as follows:</w:t>
      </w:r>
    </w:p>
    <w:p>
      <w:pPr>
        <w:spacing w:after="0" w:line="200" w:lineRule="exact"/>
        <w:rPr>
          <w:sz w:val="20"/>
          <w:szCs w:val="20"/>
          <w:color w:val="auto"/>
        </w:rPr>
      </w:pPr>
    </w:p>
    <w:p>
      <w:pPr>
        <w:spacing w:after="0" w:line="271" w:lineRule="exact"/>
        <w:rPr>
          <w:sz w:val="20"/>
          <w:szCs w:val="20"/>
          <w:color w:val="auto"/>
        </w:rPr>
      </w:pPr>
    </w:p>
    <w:tbl>
      <w:tblPr>
        <w:tblLayout w:type="fixed"/>
        <w:tblInd w:w="102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 4 years</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Software</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years</w:t>
            </w:r>
          </w:p>
        </w:tc>
      </w:tr>
      <w:tr>
        <w:trPr>
          <w:trHeight w:val="39"/>
        </w:trPr>
        <w:tc>
          <w:tcPr>
            <w:tcW w:w="3060" w:type="dxa"/>
            <w:vAlign w:val="bottom"/>
            <w:gridSpan w:val="2"/>
          </w:tcPr>
          <w:p>
            <w:pPr>
              <w:spacing w:after="0"/>
              <w:rPr>
                <w:sz w:val="3"/>
                <w:szCs w:val="3"/>
                <w:color w:val="auto"/>
              </w:rPr>
            </w:pPr>
          </w:p>
        </w:tc>
        <w:tc>
          <w:tcPr>
            <w:tcW w:w="432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years</w:t>
            </w: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Lesser of useful life or the term of the lease</w:t>
            </w:r>
          </w:p>
        </w:tc>
      </w:tr>
    </w:tbl>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Maintenance and repairs that do not extend the life or improve the asset are expensed as incurred.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6" w:name="page167"/>
    <w:bookmarkEnd w:id="16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Impairment of Long-Lived Assets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57"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9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90"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year ended December 31, 2021, the Company had three customers that accounted for 61% of revenue and two customers that accounted for 43% of revenue for the year ended December 31, 2020.</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19"/>
        <w:spacing w:after="0" w:line="270"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7" w:name="page168"/>
    <w:bookmarkEnd w:id="16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98"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recognizes revenue under Accounting Standards Codification Topic 606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when a customer obtains control of promised goods or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5" w:lineRule="exact"/>
        <w:rPr>
          <w:sz w:val="20"/>
          <w:szCs w:val="20"/>
          <w:color w:val="auto"/>
        </w:rPr>
      </w:pPr>
    </w:p>
    <w:p>
      <w:pPr>
        <w:ind w:left="1820" w:hanging="376"/>
        <w:spacing w:after="0"/>
        <w:tabs>
          <w:tab w:leader="none" w:pos="18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41" w:lineRule="exact"/>
        <w:rPr>
          <w:rFonts w:ascii="Times New Roman" w:cs="Times New Roman" w:eastAsia="Times New Roman" w:hAnsi="Times New Roman"/>
          <w:sz w:val="17"/>
          <w:szCs w:val="17"/>
          <w:color w:val="auto"/>
        </w:rPr>
      </w:pPr>
    </w:p>
    <w:p>
      <w:pPr>
        <w:ind w:left="1840" w:hanging="396"/>
        <w:spacing w:after="0"/>
        <w:tabs>
          <w:tab w:leader="none" w:pos="18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4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8" w:name="page169"/>
    <w:bookmarkEnd w:id="16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 xml:space="preserve">The warrants are considered freestanding instruments that qualify as liabilities under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as the Company is committed to issuing an instrument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5"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 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09" w:lineRule="exact"/>
        <w:rPr>
          <w:sz w:val="20"/>
          <w:szCs w:val="20"/>
          <w:color w:val="auto"/>
        </w:rPr>
      </w:pPr>
    </w:p>
    <w:p>
      <w:pPr>
        <w:jc w:val="both"/>
        <w:ind w:left="1440" w:right="619"/>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5" w:lineRule="exact"/>
        <w:rPr>
          <w:sz w:val="20"/>
          <w:szCs w:val="20"/>
          <w:color w:val="auto"/>
        </w:rPr>
      </w:pPr>
    </w:p>
    <w:p>
      <w:pPr>
        <w:jc w:val="both"/>
        <w:ind w:left="1440" w:right="619"/>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39"/>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 The Company has not declared or paid dividends to date and does not anticipate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declaring dividends. As such, the dividend yield has been estimated to be zero.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9" w:name="page170"/>
    <w:bookmarkEnd w:id="16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0" w:lineRule="exact"/>
        <w:rPr>
          <w:sz w:val="20"/>
          <w:szCs w:val="20"/>
          <w:color w:val="auto"/>
        </w:rPr>
      </w:pPr>
    </w:p>
    <w:p>
      <w:pPr>
        <w:ind w:left="1860" w:right="639" w:hanging="416"/>
        <w:spacing w:after="0" w:line="294" w:lineRule="auto"/>
        <w:tabs>
          <w:tab w:leader="none" w:pos="185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1 — </w:t>
      </w:r>
      <w:r>
        <w:rPr>
          <w:rFonts w:ascii="Times New Roman" w:cs="Times New Roman" w:eastAsia="Times New Roman" w:hAnsi="Times New Roman"/>
          <w:sz w:val="17"/>
          <w:szCs w:val="17"/>
          <w:color w:val="auto"/>
        </w:rPr>
        <w:t>Inputs are unadjusted quoted prices in active markets for identical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at the measurement date.</w:t>
      </w:r>
    </w:p>
    <w:p>
      <w:pPr>
        <w:spacing w:after="0" w:line="78" w:lineRule="exact"/>
        <w:rPr>
          <w:rFonts w:ascii="Times New Roman" w:cs="Times New Roman" w:eastAsia="Times New Roman" w:hAnsi="Times New Roman"/>
          <w:sz w:val="17"/>
          <w:szCs w:val="17"/>
          <w:color w:val="auto"/>
        </w:rPr>
      </w:pPr>
    </w:p>
    <w:p>
      <w:pPr>
        <w:jc w:val="both"/>
        <w:ind w:left="1860" w:right="639" w:hanging="416"/>
        <w:spacing w:after="0" w:line="274" w:lineRule="auto"/>
        <w:tabs>
          <w:tab w:leader="none" w:pos="185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 </w:t>
      </w:r>
      <w:r>
        <w:rPr>
          <w:rFonts w:ascii="Times New Roman" w:cs="Times New Roman" w:eastAsia="Times New Roman" w:hAnsi="Times New Roman"/>
          <w:sz w:val="17"/>
          <w:szCs w:val="17"/>
          <w:color w:val="auto"/>
        </w:rPr>
        <w:t>Inputs (other than quoted market prices included in Level 1) are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observable for the asset or liability through correlation with market data at the measurement date and for the duration of the instrument’s anticipated life.</w:t>
      </w:r>
    </w:p>
    <w:p>
      <w:pPr>
        <w:spacing w:after="0" w:line="82" w:lineRule="exact"/>
        <w:rPr>
          <w:rFonts w:ascii="Times New Roman" w:cs="Times New Roman" w:eastAsia="Times New Roman" w:hAnsi="Times New Roman"/>
          <w:sz w:val="17"/>
          <w:szCs w:val="17"/>
          <w:color w:val="auto"/>
        </w:rPr>
      </w:pPr>
    </w:p>
    <w:p>
      <w:pPr>
        <w:jc w:val="both"/>
        <w:ind w:left="1860" w:right="639" w:hanging="416"/>
        <w:spacing w:after="0" w:line="274" w:lineRule="auto"/>
        <w:tabs>
          <w:tab w:leader="none" w:pos="185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 </w:t>
      </w:r>
      <w:r>
        <w:rPr>
          <w:rFonts w:ascii="Times New Roman" w:cs="Times New Roman" w:eastAsia="Times New Roman" w:hAnsi="Times New Roman"/>
          <w:sz w:val="17"/>
          <w:szCs w:val="17"/>
          <w:color w:val="auto"/>
        </w:rPr>
        <w:t>Inputs reflect management’s best estimate of what market participants would use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the asset or liability at the measurement date. Consideration is given to the risk inherent in the valuation technique and the risk inherent in the inputs to the model.</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3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16"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0" w:name="page171"/>
    <w:bookmarkEnd w:id="17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8"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05"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55"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 xml:space="preserve">In February 2016, the FASB issued Accounting Standards Update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327"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jc w:val="both"/>
        <w:ind w:left="1020" w:right="619" w:firstLine="9"/>
        <w:spacing w:after="0" w:line="258" w:lineRule="auto"/>
        <w:tabs>
          <w:tab w:leader="none" w:pos="132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98"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1" w:name="page172"/>
    <w:bookmarkEnd w:id="17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ind w:left="1020" w:right="639"/>
        <w:spacing w:after="0" w:line="292"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2" w:lineRule="exact"/>
        <w:rPr>
          <w:sz w:val="20"/>
          <w:szCs w:val="20"/>
          <w:color w:val="auto"/>
        </w:rPr>
      </w:pPr>
    </w:p>
    <w:p>
      <w:pPr>
        <w:jc w:val="both"/>
        <w:ind w:left="1860" w:right="619" w:hanging="416"/>
        <w:spacing w:after="0" w:line="273" w:lineRule="auto"/>
        <w:tabs>
          <w:tab w:leader="none" w:pos="185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84" w:lineRule="exact"/>
        <w:rPr>
          <w:rFonts w:ascii="Times New Roman" w:cs="Times New Roman" w:eastAsia="Times New Roman" w:hAnsi="Times New Roman"/>
          <w:sz w:val="17"/>
          <w:szCs w:val="17"/>
          <w:color w:val="auto"/>
        </w:rPr>
      </w:pPr>
    </w:p>
    <w:p>
      <w:pPr>
        <w:jc w:val="both"/>
        <w:ind w:left="1860" w:right="619" w:hanging="416"/>
        <w:spacing w:after="0" w:line="273" w:lineRule="auto"/>
        <w:tabs>
          <w:tab w:leader="none" w:pos="185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97"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5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additionally recharacterized its capital leases as finance leases. However, there was no quantitative impact to capital leases upon transitioning to the new standard.</w:t>
      </w:r>
    </w:p>
    <w:p>
      <w:pPr>
        <w:spacing w:after="0" w:line="8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90"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4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32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2" w:name="page173"/>
    <w:bookmarkEnd w:id="17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98"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79" w:lineRule="exact"/>
        <w:rPr>
          <w:sz w:val="20"/>
          <w:szCs w:val="20"/>
          <w:color w:val="auto"/>
        </w:rPr>
      </w:pPr>
    </w:p>
    <w:p>
      <w:pPr>
        <w:ind w:left="1000" w:hanging="385"/>
        <w:spacing w:after="0"/>
        <w:tabs>
          <w:tab w:leader="none" w:pos="100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19"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9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57"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8"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94"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3" w:name="page174"/>
    <w:bookmarkEnd w:id="17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98"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97"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07" w:lineRule="exact"/>
        <w:rPr>
          <w:sz w:val="20"/>
          <w:szCs w:val="20"/>
          <w:color w:val="auto"/>
        </w:rPr>
      </w:pPr>
    </w:p>
    <w:p>
      <w:pPr>
        <w:ind w:left="1860" w:hanging="416"/>
        <w:spacing w:after="0"/>
        <w:tabs>
          <w:tab w:leader="none" w:pos="18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4" w:lineRule="exact"/>
        <w:rPr>
          <w:rFonts w:ascii="Times New Roman" w:cs="Times New Roman" w:eastAsia="Times New Roman" w:hAnsi="Times New Roman"/>
          <w:sz w:val="17"/>
          <w:szCs w:val="17"/>
          <w:color w:val="auto"/>
        </w:rPr>
      </w:pPr>
    </w:p>
    <w:p>
      <w:pPr>
        <w:ind w:left="1860" w:hanging="416"/>
        <w:spacing w:after="0"/>
        <w:tabs>
          <w:tab w:leader="none" w:pos="18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4" w:name="page175"/>
    <w:bookmarkEnd w:id="17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rFonts w:ascii="Times New Roman" w:cs="Times New Roman" w:eastAsia="Times New Roman" w:hAnsi="Times New Roman"/>
          <w:sz w:val="17"/>
          <w:szCs w:val="17"/>
          <w:b w:val="1"/>
          <w:bCs w:val="1"/>
          <w:color w:val="auto"/>
        </w:rPr>
      </w:pPr>
    </w:p>
    <w:p>
      <w:pPr>
        <w:ind w:left="1860" w:hanging="416"/>
        <w:spacing w:after="0"/>
        <w:tabs>
          <w:tab w:leader="none" w:pos="186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w:t>
      </w:r>
    </w:p>
    <w:p>
      <w:pPr>
        <w:spacing w:after="0" w:line="154"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56"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69"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For the years ended December 31, 2021 and 2020, revenues under each performance obligation were:</w:t>
      </w:r>
    </w:p>
    <w:p>
      <w:pPr>
        <w:spacing w:after="0" w:line="222"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40" w:type="dxa"/>
            <w:vAlign w:val="bottom"/>
            <w:gridSpan w:val="2"/>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8,563</w:t>
            </w: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0" w:type="dxa"/>
            <w:vAlign w:val="bottom"/>
          </w:tcPr>
          <w:p>
            <w:pPr>
              <w:spacing w:after="0"/>
              <w:rPr>
                <w:sz w:val="1"/>
                <w:szCs w:val="1"/>
                <w:color w:val="auto"/>
              </w:rPr>
            </w:pPr>
          </w:p>
        </w:tc>
      </w:tr>
      <w:tr>
        <w:trPr>
          <w:trHeight w:val="39"/>
        </w:trPr>
        <w:tc>
          <w:tcPr>
            <w:tcW w:w="3240" w:type="dxa"/>
            <w:vAlign w:val="bottom"/>
            <w:gridSpan w:val="2"/>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gridSpan w:val="2"/>
            <w:vMerge w:val="continue"/>
          </w:tcPr>
          <w:p>
            <w:pPr>
              <w:spacing w:after="0"/>
              <w:rPr>
                <w:sz w:val="20"/>
                <w:szCs w:val="20"/>
                <w:color w:val="auto"/>
              </w:rPr>
            </w:pPr>
          </w:p>
        </w:tc>
        <w:tc>
          <w:tcPr>
            <w:tcW w:w="20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00" w:type="dxa"/>
            <w:vAlign w:val="bottom"/>
          </w:tcPr>
          <w:p>
            <w:pPr>
              <w:spacing w:after="0"/>
              <w:rPr>
                <w:sz w:val="20"/>
                <w:szCs w:val="20"/>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geographic location is as follows: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0"/>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6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2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Korea</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4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6"/>
        </w:trPr>
        <w:tc>
          <w:tcPr>
            <w:tcW w:w="29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recognition pattern is as follows: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31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0"/>
        </w:trPr>
        <w:tc>
          <w:tcPr>
            <w:tcW w:w="3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14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2"/>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1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10,757</w:t>
            </w:r>
          </w:p>
        </w:tc>
      </w:tr>
      <w:tr>
        <w:trPr>
          <w:trHeight w:val="246"/>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Point-in-time</w:t>
            </w: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r>
      <w:tr>
        <w:trPr>
          <w:trHeight w:val="26"/>
        </w:trPr>
        <w:tc>
          <w:tcPr>
            <w:tcW w:w="31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Houndify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Houndify Services, which include customer services, food ordering, content, appointments, and voice commerce. Subscription revenue is derived from monthly fees based on usage-based revenue, revenue per query or revenue per user. Both Houndify Products and Houndify Services may include professional services that develop and customize the Houndify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5" w:name="page176"/>
    <w:bookmarkEnd w:id="17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60" w:type="dxa"/>
            <w:vAlign w:val="bottom"/>
            <w:tcBorders>
              <w:bottom w:val="single" w:sz="8" w:color="CCEEFF"/>
            </w:tcBorders>
          </w:tcPr>
          <w:p>
            <w:pPr>
              <w:spacing w:after="0"/>
              <w:rPr>
                <w:sz w:val="3"/>
                <w:szCs w:val="3"/>
                <w:color w:val="auto"/>
              </w:rPr>
            </w:pPr>
          </w:p>
        </w:tc>
        <w:tc>
          <w:tcPr>
            <w:tcW w:w="17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60" w:type="dxa"/>
            <w:vAlign w:val="bottom"/>
            <w:vMerge w:val="continue"/>
          </w:tcPr>
          <w:p>
            <w:pPr>
              <w:spacing w:after="0"/>
              <w:rPr>
                <w:sz w:val="20"/>
                <w:szCs w:val="20"/>
                <w:color w:val="auto"/>
              </w:rPr>
            </w:pPr>
          </w:p>
        </w:tc>
        <w:tc>
          <w:tcPr>
            <w:tcW w:w="19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80" w:type="dxa"/>
            <w:vAlign w:val="bottom"/>
          </w:tcPr>
          <w:p>
            <w:pPr>
              <w:spacing w:after="0"/>
              <w:rPr>
                <w:sz w:val="20"/>
                <w:szCs w:val="20"/>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0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85"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10"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6" w:name="page177"/>
    <w:bookmarkEnd w:id="17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4.</w:t>
        <w:tab/>
        <w:t>PROPERTY AND EQUIPMENT, NET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2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Total, at cost</w:t>
            </w:r>
          </w:p>
        </w:tc>
        <w:tc>
          <w:tcPr>
            <w:tcW w:w="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(27,399)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(22,053)</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0" w:type="dxa"/>
            <w:vAlign w:val="bottom"/>
            <w:vMerge w:val="continue"/>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67" w:lineRule="exact"/>
        <w:rPr>
          <w:sz w:val="20"/>
          <w:szCs w:val="20"/>
          <w:color w:val="auto"/>
        </w:rPr>
      </w:pPr>
    </w:p>
    <w:p>
      <w:pPr>
        <w:ind w:left="1000" w:hanging="385"/>
        <w:spacing w:after="0"/>
        <w:tabs>
          <w:tab w:leader="none" w:pos="100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57" w:lineRule="exact"/>
        <w:rPr>
          <w:sz w:val="20"/>
          <w:szCs w:val="20"/>
          <w:color w:val="auto"/>
        </w:rPr>
      </w:pPr>
    </w:p>
    <w:p>
      <w:pPr>
        <w:ind w:left="1020" w:right="639"/>
        <w:spacing w:after="0" w:line="292" w:lineRule="auto"/>
        <w:rPr>
          <w:sz w:val="20"/>
          <w:szCs w:val="20"/>
          <w:color w:val="auto"/>
        </w:rPr>
      </w:pPr>
      <w:r>
        <w:rPr>
          <w:rFonts w:ascii="Times New Roman" w:cs="Times New Roman" w:eastAsia="Times New Roman" w:hAnsi="Times New Roman"/>
          <w:sz w:val="17"/>
          <w:szCs w:val="17"/>
          <w:color w:val="auto"/>
        </w:rPr>
        <w:t>Accrued liabilities on the consolidated balance sheets are comprised of the following as of December 31, 2021 and 2020, respectively:</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6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6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39"/>
        </w:trPr>
        <w:tc>
          <w:tcPr>
            <w:tcW w:w="36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1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61" w:lineRule="exact"/>
        <w:rPr>
          <w:sz w:val="20"/>
          <w:szCs w:val="20"/>
          <w:color w:val="auto"/>
        </w:rPr>
      </w:pPr>
    </w:p>
    <w:p>
      <w:pPr>
        <w:ind w:left="1000" w:hanging="385"/>
        <w:spacing w:after="0"/>
        <w:tabs>
          <w:tab w:leader="none" w:pos="100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57" w:lineRule="exact"/>
        <w:rPr>
          <w:sz w:val="20"/>
          <w:szCs w:val="20"/>
          <w:color w:val="auto"/>
        </w:rPr>
      </w:pPr>
    </w:p>
    <w:p>
      <w:pPr>
        <w:jc w:val="both"/>
        <w:ind w:left="1020" w:right="639"/>
        <w:spacing w:after="0" w:line="270"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3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Letters of Credit</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7" w:name="page178"/>
    <w:bookmarkEnd w:id="17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53" w:lineRule="auto"/>
        <w:rPr>
          <w:sz w:val="20"/>
          <w:szCs w:val="20"/>
          <w:color w:val="auto"/>
        </w:rPr>
      </w:pPr>
      <w:r>
        <w:rPr>
          <w:rFonts w:ascii="Times New Roman" w:cs="Times New Roman" w:eastAsia="Times New Roman" w:hAnsi="Times New Roman"/>
          <w:sz w:val="17"/>
          <w:szCs w:val="17"/>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19"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of $1,105 and $829, respectively.</w:t>
      </w:r>
    </w:p>
    <w:p>
      <w:pPr>
        <w:spacing w:after="0" w:line="174" w:lineRule="exact"/>
        <w:rPr>
          <w:sz w:val="20"/>
          <w:szCs w:val="20"/>
          <w:color w:val="auto"/>
        </w:rPr>
      </w:pPr>
    </w:p>
    <w:p>
      <w:pPr>
        <w:ind w:left="1000" w:hanging="385"/>
        <w:spacing w:after="0"/>
        <w:tabs>
          <w:tab w:leader="none" w:pos="100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9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8" w:name="page179"/>
    <w:bookmarkEnd w:id="17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390" w:lineRule="exact"/>
        <w:rPr>
          <w:sz w:val="20"/>
          <w:szCs w:val="20"/>
          <w:color w:val="auto"/>
        </w:rPr>
      </w:pPr>
    </w:p>
    <w:p>
      <w:pPr>
        <w:ind w:left="1000" w:hanging="385"/>
        <w:spacing w:after="0"/>
        <w:tabs>
          <w:tab w:leader="none" w:pos="100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NOTES AND NOTE PAYABLE</w:t>
      </w: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2020 Convertible Notes</w:t>
      </w:r>
    </w:p>
    <w:p>
      <w:pPr>
        <w:spacing w:after="0" w:line="15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9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10" w:lineRule="exact"/>
        <w:rPr>
          <w:sz w:val="20"/>
          <w:szCs w:val="20"/>
          <w:color w:val="auto"/>
        </w:rPr>
      </w:pPr>
    </w:p>
    <w:p>
      <w:pPr>
        <w:ind w:left="1020" w:right="639"/>
        <w:spacing w:after="0" w:line="292"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both the May Note and SNAP June 2020 Note in cash, pursuant to the following terms (“Redemption Features”):</w:t>
      </w:r>
    </w:p>
    <w:p>
      <w:pPr>
        <w:spacing w:after="0" w:line="69" w:lineRule="exact"/>
        <w:rPr>
          <w:sz w:val="20"/>
          <w:szCs w:val="20"/>
          <w:color w:val="auto"/>
        </w:rPr>
      </w:pPr>
    </w:p>
    <w:p>
      <w:pPr>
        <w:ind w:left="1860" w:right="639" w:hanging="415"/>
        <w:spacing w:after="0" w:line="292" w:lineRule="auto"/>
        <w:rPr>
          <w:sz w:val="20"/>
          <w:szCs w:val="20"/>
          <w:color w:val="auto"/>
        </w:rPr>
      </w:pPr>
      <w:r>
        <w:rPr>
          <w:rFonts w:ascii="Times New Roman" w:cs="Times New Roman" w:eastAsia="Times New Roman" w:hAnsi="Times New Roman"/>
          <w:sz w:val="17"/>
          <w:szCs w:val="17"/>
          <w:color w:val="auto"/>
        </w:rPr>
        <w:t>— 200% of the then outstanding principal amount of the respective note plus any unpaid accrued interest on the original principal of such note; and</w:t>
      </w:r>
    </w:p>
    <w:p>
      <w:pPr>
        <w:spacing w:after="0" w:line="81" w:lineRule="exact"/>
        <w:rPr>
          <w:sz w:val="20"/>
          <w:szCs w:val="20"/>
          <w:color w:val="auto"/>
        </w:rPr>
      </w:pPr>
    </w:p>
    <w:p>
      <w:pPr>
        <w:ind w:left="1860" w:right="639" w:hanging="415"/>
        <w:spacing w:after="0" w:line="273" w:lineRule="auto"/>
        <w:rPr>
          <w:sz w:val="20"/>
          <w:szCs w:val="20"/>
          <w:color w:val="auto"/>
        </w:rPr>
      </w:pPr>
      <w:r>
        <w:rPr>
          <w:rFonts w:ascii="Times New Roman" w:cs="Times New Roman" w:eastAsia="Times New Roman" w:hAnsi="Times New Roman"/>
          <w:sz w:val="17"/>
          <w:szCs w:val="17"/>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7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9" w:name="page180"/>
    <w:bookmarkEnd w:id="17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81"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99"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29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86"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16"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5"/>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r>
      <w:tr>
        <w:trPr>
          <w:trHeight w:val="234"/>
        </w:trPr>
        <w:tc>
          <w:tcPr>
            <w:tcW w:w="4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r>
      <w:tr>
        <w:trPr>
          <w:trHeight w:val="39"/>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360"/>
        </w:trPr>
        <w:tc>
          <w:tcPr>
            <w:tcW w:w="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45"/>
        </w:trPr>
        <w:tc>
          <w:tcPr>
            <w:tcW w:w="4720" w:type="dxa"/>
            <w:vAlign w:val="bottom"/>
            <w:gridSpan w:val="2"/>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conversion feature – gain/(loss)</w:t>
            </w:r>
          </w:p>
        </w:tc>
        <w:tc>
          <w:tcPr>
            <w:tcW w:w="6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376"/>
        </w:trPr>
        <w:tc>
          <w:tcPr>
            <w:tcW w:w="3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7"/>
                <w:szCs w:val="17"/>
                <w:color w:val="auto"/>
              </w:rPr>
              <w:t>F-49</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80" w:name="page181"/>
    <w:bookmarkEnd w:id="18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95"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0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3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9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10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1" w:name="page182"/>
    <w:bookmarkEnd w:id="18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3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below table summarizes the Company’s debt balances as of December 31, 2021 and 2020:</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line="171" w:lineRule="exact"/>
              <w:rPr>
                <w:sz w:val="20"/>
                <w:szCs w:val="20"/>
                <w:color w:val="auto"/>
              </w:rPr>
            </w:pPr>
            <w:r>
              <w:rPr>
                <w:rFonts w:ascii="Times New Roman" w:cs="Times New Roman" w:eastAsia="Times New Roman" w:hAnsi="Times New Roman"/>
                <w:sz w:val="16"/>
                <w:szCs w:val="16"/>
                <w:b w:val="1"/>
                <w:bCs w:val="1"/>
                <w:color w:val="auto"/>
                <w:w w:val="95"/>
              </w:rPr>
              <w:t>SVB March</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5"/>
        </w:trPr>
        <w:tc>
          <w:tcPr>
            <w:tcW w:w="37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SNAP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17"/>
              <w:spacing w:after="0" w:line="171"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June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5"/>
        </w:trPr>
        <w:tc>
          <w:tcPr>
            <w:tcW w:w="37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5"/>
        </w:trPr>
        <w:tc>
          <w:tcPr>
            <w:tcW w:w="37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2" w:name="page183"/>
    <w:bookmarkEnd w:id="18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w:t>
      </w:r>
    </w:p>
    <w:p>
      <w:pPr>
        <w:spacing w:after="0" w:line="12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34925</wp:posOffset>
            </wp:positionV>
            <wp:extent cx="22802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1"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3"/>
        </w:trPr>
        <w:tc>
          <w:tcPr>
            <w:tcW w:w="26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34925</wp:posOffset>
            </wp:positionV>
            <wp:extent cx="22967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96795" cy="8255"/>
                    </a:xfrm>
                    <a:prstGeom prst="rect">
                      <a:avLst/>
                    </a:prstGeom>
                    <a:noFill/>
                  </pic:spPr>
                </pic:pic>
              </a:graphicData>
            </a:graphic>
          </wp:anchor>
        </w:drawing>
      </w:r>
    </w:p>
    <w:p>
      <w:pPr>
        <w:spacing w:after="0" w:line="71"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equivalents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liability</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4"/>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(2,380)</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3"/>
        </w:trPr>
        <w:tc>
          <w:tcPr>
            <w:tcW w:w="2640" w:type="dxa"/>
            <w:vAlign w:val="bottom"/>
            <w:vMerge w:val="continue"/>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fair values of the warrants were determined based on significant inputs not observable in the market, which represent Level 3 measurements within the fair value hierarchy.</w:t>
      </w:r>
    </w:p>
    <w:p>
      <w:pPr>
        <w:spacing w:after="0" w:line="82"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0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B Warrants (September 2010 and March 2011)</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0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3" w:name="page184"/>
    <w:bookmarkEnd w:id="18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60" w:lineRule="auto"/>
        <w:rPr>
          <w:sz w:val="20"/>
          <w:szCs w:val="20"/>
          <w:color w:val="auto"/>
        </w:rPr>
      </w:pPr>
      <w:r>
        <w:rPr>
          <w:rFonts w:ascii="Times New Roman" w:cs="Times New Roman" w:eastAsia="Times New Roman" w:hAnsi="Times New Roman"/>
          <w:sz w:val="17"/>
          <w:szCs w:val="17"/>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9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05"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aggregate fair value of the Series C Warrants as of December 31, 2021 and 2020 was approximately $0 and $2,004, respectively.</w:t>
      </w:r>
    </w:p>
    <w:p>
      <w:pPr>
        <w:spacing w:after="0" w:line="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Warrants using the Black-Scholes option-pricing model using the following assumptions: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2.16</w:t>
            </w:r>
          </w:p>
        </w:tc>
      </w:tr>
    </w:tbl>
    <w:p>
      <w:pPr>
        <w:spacing w:after="0" w:line="189"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Company determined the fair value of the November 2013 Series C Warrants using the Black-Scholes option-pricing model and the following assumptions: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2.87</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4" w:name="page185"/>
    <w:bookmarkEnd w:id="18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07"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p>
      <w:pPr>
        <w:spacing w:after="0" w:line="45" w:lineRule="exact"/>
        <w:rPr>
          <w:sz w:val="20"/>
          <w:szCs w:val="20"/>
          <w:color w:val="auto"/>
        </w:rPr>
      </w:pPr>
    </w:p>
    <w:tbl>
      <w:tblPr>
        <w:tblLayout w:type="fixed"/>
        <w:tblInd w:w="1000" w:type="dxa"/>
        <w:tblCellMar>
          <w:top w:w="0" w:type="dxa"/>
          <w:left w:w="0" w:type="dxa"/>
          <w:bottom w:w="0" w:type="dxa"/>
          <w:right w:w="0" w:type="dxa"/>
        </w:tblCellMar>
      </w:tblPr>
      <w:tr>
        <w:trPr>
          <w:trHeight w:val="252"/>
        </w:trPr>
        <w:tc>
          <w:tcPr>
            <w:tcW w:w="60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2"/>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10.00</w:t>
            </w:r>
          </w:p>
        </w:tc>
      </w:tr>
      <w:tr>
        <w:trPr>
          <w:trHeight w:val="435"/>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
        </w:trPr>
        <w:tc>
          <w:tcPr>
            <w:tcW w:w="6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2"/>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2"/>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35"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9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20" w:type="dxa"/>
            <w:vAlign w:val="bottom"/>
            <w:vMerge w:val="continue"/>
          </w:tcPr>
          <w:p>
            <w:pPr>
              <w:spacing w:after="0"/>
              <w:rPr>
                <w:sz w:val="23"/>
                <w:szCs w:val="23"/>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5" w:name="page186"/>
    <w:bookmarkEnd w:id="18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following table sets forth a summary of changes in fair value of the Company’s derivative liability and warrant liability for which fair value was determined by Level 3 inputs: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382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2020</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fair value of derivative liability</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82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(1,931)</w:t>
            </w:r>
          </w:p>
        </w:tc>
      </w:tr>
      <w:tr>
        <w:trPr>
          <w:trHeight w:val="39"/>
        </w:trPr>
        <w:tc>
          <w:tcPr>
            <w:tcW w:w="382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20" w:type="dxa"/>
            <w:vAlign w:val="bottom"/>
          </w:tcPr>
          <w:p>
            <w:pPr>
              <w:spacing w:after="0"/>
              <w:rPr>
                <w:sz w:val="20"/>
                <w:szCs w:val="20"/>
                <w:color w:val="auto"/>
              </w:rPr>
            </w:pPr>
          </w:p>
        </w:tc>
      </w:tr>
      <w:tr>
        <w:trPr>
          <w:trHeight w:val="39"/>
        </w:trPr>
        <w:tc>
          <w:tcPr>
            <w:tcW w:w="382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6"/>
        </w:trPr>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(5,816)</w:t>
            </w:r>
          </w:p>
        </w:tc>
      </w:tr>
      <w:tr>
        <w:trPr>
          <w:trHeight w:val="26"/>
        </w:trPr>
        <w:tc>
          <w:tcPr>
            <w:tcW w:w="2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61"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PREFERRED STOCK</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 summary of the Preferred Stock authorized, issued and outstanding as of December 31, 2021 is as follows</w:t>
      </w:r>
      <w:r>
        <w:rPr>
          <w:rFonts w:ascii="Times New Roman" w:cs="Times New Roman" w:eastAsia="Times New Roman" w:hAnsi="Times New Roman"/>
          <w:sz w:val="17"/>
          <w:szCs w:val="17"/>
          <w:i w:val="1"/>
          <w:iCs w:val="1"/>
          <w:color w:val="auto"/>
        </w:rPr>
        <w:t>:</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26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12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Liquidation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26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1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Preference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26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B</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1,041,607</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C-1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3,750,000</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4,545,454</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3"/>
        </w:trPr>
        <w:tc>
          <w:tcPr>
            <w:tcW w:w="2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26,316,129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284,826</w:t>
            </w:r>
          </w:p>
        </w:tc>
        <w:tc>
          <w:tcPr>
            <w:tcW w:w="80" w:type="dxa"/>
            <w:vAlign w:val="bottom"/>
          </w:tcPr>
          <w:p>
            <w:pPr>
              <w:spacing w:after="0"/>
              <w:rPr>
                <w:sz w:val="20"/>
                <w:szCs w:val="20"/>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2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05"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9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In November 2020, the Company issued 25,000 shares of Series D-3 Preferred Stock for net cash proceeds of approximately $1,000.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6" w:name="page187"/>
    <w:bookmarkEnd w:id="18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In November 2020, the Series B Warrants were exercised in full resulting in the issuance of 101,574 shares of Series B Preferred Stock at $1.97 per share for net cash proceeds of approximately $200.</w:t>
      </w:r>
    </w:p>
    <w:p>
      <w:pPr>
        <w:spacing w:after="0" w:line="82"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90"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Dividends</w:t>
      </w:r>
    </w:p>
    <w:p>
      <w:pPr>
        <w:spacing w:after="0" w:line="15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12"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30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Conversion</w:t>
      </w:r>
    </w:p>
    <w:p>
      <w:pPr>
        <w:spacing w:after="0" w:line="15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0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1" w:lineRule="exact"/>
        <w:rPr>
          <w:sz w:val="20"/>
          <w:szCs w:val="20"/>
          <w:color w:val="auto"/>
        </w:rPr>
      </w:pPr>
    </w:p>
    <w:p>
      <w:pPr>
        <w:ind w:left="1020" w:right="639" w:firstLine="9"/>
        <w:spacing w:after="0" w:line="269" w:lineRule="auto"/>
        <w:tabs>
          <w:tab w:leader="none" w:pos="127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specified by written consent or agreement of the holders of a majority of the then outstanding shares of Preferred Stock, voting together as a single class on an as-converted to common stock basis.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7" w:name="page188"/>
    <w:bookmarkEnd w:id="18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Liquidation Preference</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the Company:</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 D-1, D-3 and D-3A Preference</w:t>
      </w:r>
    </w:p>
    <w:p>
      <w:pPr>
        <w:spacing w:after="0" w:line="155"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D-2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C-1 Preference</w:t>
      </w:r>
    </w:p>
    <w:p>
      <w:pPr>
        <w:spacing w:after="0" w:line="14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1" w:lineRule="exact"/>
        <w:rPr>
          <w:sz w:val="20"/>
          <w:szCs w:val="20"/>
          <w:color w:val="auto"/>
        </w:rPr>
      </w:pPr>
    </w:p>
    <w:p>
      <w:pPr>
        <w:jc w:val="both"/>
        <w:ind w:left="1020" w:right="619" w:firstLine="9"/>
        <w:spacing w:after="0" w:line="256" w:lineRule="auto"/>
        <w:tabs>
          <w:tab w:leader="none" w:pos="124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8" w:name="page189"/>
    <w:bookmarkEnd w:id="18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 Preference</w:t>
      </w:r>
    </w:p>
    <w:p>
      <w:pPr>
        <w:spacing w:after="0" w:line="14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1" w:lineRule="exact"/>
        <w:rPr>
          <w:sz w:val="20"/>
          <w:szCs w:val="20"/>
          <w:color w:val="auto"/>
        </w:rPr>
      </w:pPr>
    </w:p>
    <w:p>
      <w:pPr>
        <w:jc w:val="both"/>
        <w:ind w:left="1020" w:right="619" w:firstLine="9"/>
        <w:spacing w:after="0" w:line="257" w:lineRule="auto"/>
        <w:tabs>
          <w:tab w:leader="none" w:pos="129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B Preference</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1" w:lineRule="exact"/>
        <w:rPr>
          <w:sz w:val="20"/>
          <w:szCs w:val="20"/>
          <w:color w:val="auto"/>
        </w:rPr>
      </w:pPr>
    </w:p>
    <w:p>
      <w:pPr>
        <w:jc w:val="both"/>
        <w:ind w:left="1020" w:right="619" w:firstLine="9"/>
        <w:spacing w:after="0" w:line="257" w:lineRule="auto"/>
        <w:tabs>
          <w:tab w:leader="none" w:pos="129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A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Remaining Assets for Distribution</w:t>
      </w:r>
    </w:p>
    <w:p>
      <w:pPr>
        <w:spacing w:after="0" w:line="14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9" w:name="page190"/>
    <w:bookmarkEnd w:id="18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Redemption</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Voting Rights</w:t>
      </w:r>
    </w:p>
    <w:p>
      <w:pPr>
        <w:spacing w:after="0" w:line="142" w:lineRule="exact"/>
        <w:rPr>
          <w:sz w:val="20"/>
          <w:szCs w:val="20"/>
          <w:color w:val="auto"/>
        </w:rPr>
      </w:pPr>
    </w:p>
    <w:p>
      <w:pPr>
        <w:jc w:val="both"/>
        <w:ind w:left="1020" w:right="619"/>
        <w:spacing w:after="0" w:line="270" w:lineRule="auto"/>
        <w:rPr>
          <w:sz w:val="20"/>
          <w:szCs w:val="20"/>
          <w:color w:val="auto"/>
        </w:rPr>
      </w:pPr>
      <w:r>
        <w:rPr>
          <w:rFonts w:ascii="Times New Roman" w:cs="Times New Roman" w:eastAsia="Times New Roman" w:hAnsi="Times New Roman"/>
          <w:sz w:val="17"/>
          <w:szCs w:val="17"/>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31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 as a single class on an as-converted basis, are entitled to elect one director of the Company.</w:t>
      </w:r>
    </w:p>
    <w:p>
      <w:pPr>
        <w:spacing w:after="0" w:line="167" w:lineRule="exact"/>
        <w:rPr>
          <w:sz w:val="20"/>
          <w:szCs w:val="20"/>
          <w:color w:val="auto"/>
        </w:rPr>
      </w:pPr>
    </w:p>
    <w:p>
      <w:pPr>
        <w:ind w:left="6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COMMON STOCK</w:t>
      </w:r>
    </w:p>
    <w:p>
      <w:pPr>
        <w:spacing w:after="0" w:line="157"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As of December 31, 2021, the Company has authorized the issuance of 45,000,000 shares of common stock.</w:t>
      </w:r>
    </w:p>
    <w:p>
      <w:pPr>
        <w:spacing w:after="0" w:line="328"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has reserved shares of common stock for future issuance on an as-if converted basis related to the following outstanding Preferred Stock, warrants, stock options and future grants as of December 31, 2021:</w:t>
      </w:r>
    </w:p>
    <w:p>
      <w:pPr>
        <w:spacing w:after="0" w:line="369" w:lineRule="exact"/>
        <w:rPr>
          <w:sz w:val="20"/>
          <w:szCs w:val="20"/>
          <w:color w:val="auto"/>
        </w:rPr>
      </w:pPr>
    </w:p>
    <w:tbl>
      <w:tblPr>
        <w:tblLayout w:type="fixed"/>
        <w:tblInd w:w="620" w:type="dxa"/>
        <w:tblCellMar>
          <w:top w:w="0" w:type="dxa"/>
          <w:left w:w="0" w:type="dxa"/>
          <w:bottom w:w="0" w:type="dxa"/>
          <w:right w:w="0" w:type="dxa"/>
        </w:tblCellMar>
      </w:tblPr>
      <w:tr>
        <w:trPr>
          <w:trHeight w:val="317"/>
        </w:trPr>
        <w:tc>
          <w:tcPr>
            <w:tcW w:w="6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 Preferred Stock</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B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C-1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D-1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D-3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options outstanding</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incentive plan shares reserved for future issuance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25,414,503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6340" w:type="dxa"/>
            <w:vAlign w:val="bottom"/>
            <w:gridSpan w:val="2"/>
            <w:vMerge w:val="restart"/>
          </w:tcPr>
          <w:p>
            <w:pPr>
              <w:ind w:left="3720"/>
              <w:spacing w:after="0"/>
              <w:rPr>
                <w:sz w:val="20"/>
                <w:szCs w:val="20"/>
                <w:color w:val="auto"/>
              </w:rPr>
            </w:pPr>
            <w:r>
              <w:rPr>
                <w:rFonts w:ascii="Times New Roman" w:cs="Times New Roman" w:eastAsia="Times New Roman" w:hAnsi="Times New Roman"/>
                <w:sz w:val="17"/>
                <w:szCs w:val="17"/>
                <w:color w:val="auto"/>
              </w:rPr>
              <w:t>F-59</w:t>
            </w:r>
          </w:p>
        </w:tc>
        <w:tc>
          <w:tcPr>
            <w:tcW w:w="1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340" w:type="dxa"/>
            <w:vAlign w:val="bottom"/>
            <w:tcBorders>
              <w:bottom w:val="single" w:sz="8" w:color="auto"/>
            </w:tcBorders>
            <w:gridSpan w:val="2"/>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90" w:name="page191"/>
    <w:bookmarkEnd w:id="19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STOCK INCENTIVE PLAN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0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is as follows for the years ended December 31, 2021 and 2020:</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Available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5"/>
              </w:rPr>
              <w:t>Intrinsic</w:t>
            </w: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 Grant</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89"/>
              </w:rPr>
              <w:t>Value</w:t>
            </w:r>
          </w:p>
        </w:tc>
        <w:tc>
          <w:tcPr>
            <w:tcW w:w="0" w:type="dxa"/>
            <w:vAlign w:val="bottom"/>
          </w:tcPr>
          <w:p>
            <w:pPr>
              <w:spacing w:after="0"/>
              <w:rPr>
                <w:sz w:val="1"/>
                <w:szCs w:val="1"/>
                <w:color w:val="auto"/>
              </w:rPr>
            </w:pPr>
          </w:p>
        </w:tc>
      </w:tr>
      <w:tr>
        <w:trPr>
          <w:trHeight w:val="45"/>
        </w:trPr>
        <w:tc>
          <w:tcPr>
            <w:tcW w:w="24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1, 2020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378,010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4,276,480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33,785</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8"/>
              </w:rPr>
              <w:t>(1,446,350)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1,446,350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(68,679)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(475,875)</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5,178,276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8"/>
              </w:rPr>
              <w:t>(1,134,542)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40.10</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(461,290)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9,667</w:t>
            </w:r>
          </w:p>
        </w:tc>
        <w:tc>
          <w:tcPr>
            <w:tcW w:w="0" w:type="dxa"/>
            <w:vAlign w:val="bottom"/>
          </w:tcPr>
          <w:p>
            <w:pPr>
              <w:spacing w:after="0"/>
              <w:rPr>
                <w:sz w:val="1"/>
                <w:szCs w:val="1"/>
                <w:color w:val="auto"/>
              </w:rPr>
            </w:pPr>
          </w:p>
        </w:tc>
      </w:tr>
      <w:tr>
        <w:trPr>
          <w:trHeight w:val="246"/>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(376,245)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4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Options exercisable as of</w:t>
            </w: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125,517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1020" w:right="639"/>
        <w:spacing w:after="0" w:line="270"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313"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total fair value of options vested was approximately $5,358 and $5,400, during the years ended December 31, 2021 and 2020,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1" w:name="page192"/>
    <w:bookmarkEnd w:id="19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following table summarizes information with respect to stock options outstanding and exercisable as of December 31, 2021:</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200" w:type="dxa"/>
            <w:vAlign w:val="bottom"/>
            <w:gridSpan w:val="3"/>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4"/>
              </w:rPr>
              <w:t>Weighted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0" w:type="dxa"/>
            <w:vAlign w:val="bottom"/>
          </w:tcPr>
          <w:p>
            <w:pPr>
              <w:spacing w:after="0"/>
              <w:rPr>
                <w:sz w:val="1"/>
                <w:szCs w:val="1"/>
                <w:color w:val="auto"/>
              </w:rPr>
            </w:pPr>
          </w:p>
        </w:tc>
      </w:tr>
      <w:tr>
        <w:trPr>
          <w:trHeight w:val="205"/>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 Per Share</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Outstanding</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80" w:type="dxa"/>
            <w:vAlign w:val="bottom"/>
            <w:tcBorders>
              <w:top w:val="single" w:sz="8" w:color="auto"/>
              <w:bottom w:val="single" w:sz="8" w:color="CCEEFF"/>
            </w:tcBorders>
            <w:shd w:val="clear" w:color="auto" w:fill="CCEEFF"/>
          </w:tcPr>
          <w:p>
            <w:pPr>
              <w:jc w:val="right"/>
              <w:ind w:right="1774"/>
              <w:spacing w:after="0"/>
              <w:rPr>
                <w:sz w:val="20"/>
                <w:szCs w:val="20"/>
                <w:color w:val="auto"/>
              </w:rPr>
            </w:pPr>
            <w:r>
              <w:rPr>
                <w:rFonts w:ascii="Times New Roman" w:cs="Times New Roman" w:eastAsia="Times New Roman" w:hAnsi="Times New Roman"/>
                <w:sz w:val="17"/>
                <w:szCs w:val="17"/>
                <w:color w:val="auto"/>
                <w:w w:val="97"/>
              </w:rPr>
              <w:t>$2.43 – $12.06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34"/>
        </w:trPr>
        <w:tc>
          <w:tcPr>
            <w:tcW w:w="3000" w:type="dxa"/>
            <w:vAlign w:val="bottom"/>
            <w:gridSpan w:val="3"/>
          </w:tcPr>
          <w:p>
            <w:pPr>
              <w:jc w:val="right"/>
              <w:ind w:right="1860"/>
              <w:spacing w:after="0"/>
              <w:rPr>
                <w:sz w:val="20"/>
                <w:szCs w:val="20"/>
                <w:color w:val="auto"/>
              </w:rPr>
            </w:pPr>
            <w:r>
              <w:rPr>
                <w:rFonts w:ascii="Times New Roman" w:cs="Times New Roman" w:eastAsia="Times New Roman" w:hAnsi="Times New Roman"/>
                <w:sz w:val="17"/>
                <w:szCs w:val="17"/>
                <w:color w:val="auto"/>
              </w:rPr>
              <w:t>$12.07 – $15.34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1,223,673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1,154,889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jc w:val="right"/>
              <w:ind w:right="1860"/>
              <w:spacing w:after="0"/>
              <w:rPr>
                <w:sz w:val="20"/>
                <w:szCs w:val="20"/>
                <w:color w:val="auto"/>
              </w:rPr>
            </w:pPr>
            <w:r>
              <w:rPr>
                <w:rFonts w:ascii="Times New Roman" w:cs="Times New Roman" w:eastAsia="Times New Roman" w:hAnsi="Times New Roman"/>
                <w:sz w:val="17"/>
                <w:szCs w:val="17"/>
                <w:color w:val="auto"/>
                <w:w w:val="99"/>
              </w:rPr>
              <w:t>$15.35 – $19.31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876,147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531,085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34"/>
        </w:trPr>
        <w:tc>
          <w:tcPr>
            <w:tcW w:w="3000" w:type="dxa"/>
            <w:vAlign w:val="bottom"/>
            <w:gridSpan w:val="3"/>
          </w:tcPr>
          <w:p>
            <w:pPr>
              <w:jc w:val="right"/>
              <w:ind w:right="1860"/>
              <w:spacing w:after="0"/>
              <w:rPr>
                <w:sz w:val="20"/>
                <w:szCs w:val="20"/>
                <w:color w:val="auto"/>
              </w:rPr>
            </w:pPr>
            <w:r>
              <w:rPr>
                <w:rFonts w:ascii="Times New Roman" w:cs="Times New Roman" w:eastAsia="Times New Roman" w:hAnsi="Times New Roman"/>
                <w:sz w:val="17"/>
                <w:szCs w:val="17"/>
                <w:color w:val="auto"/>
              </w:rPr>
              <w:t>$19.32 – $24.17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1,156,561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404,605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2980" w:type="dxa"/>
            <w:vAlign w:val="bottom"/>
            <w:tcBorders>
              <w:bottom w:val="single" w:sz="8" w:color="CCEEFF"/>
            </w:tcBorders>
            <w:gridSpan w:val="2"/>
            <w:shd w:val="clear" w:color="auto" w:fill="CCEEFF"/>
          </w:tcPr>
          <w:p>
            <w:pPr>
              <w:jc w:val="right"/>
              <w:ind w:right="1860"/>
              <w:spacing w:after="0"/>
              <w:rPr>
                <w:sz w:val="20"/>
                <w:szCs w:val="20"/>
                <w:color w:val="auto"/>
              </w:rPr>
            </w:pPr>
            <w:r>
              <w:rPr>
                <w:rFonts w:ascii="Times New Roman" w:cs="Times New Roman" w:eastAsia="Times New Roman" w:hAnsi="Times New Roman"/>
                <w:sz w:val="17"/>
                <w:szCs w:val="17"/>
                <w:color w:val="auto"/>
                <w:w w:val="99"/>
              </w:rPr>
              <w:t>$24.18 – $50.07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995,802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98"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as of December 31, 2021 and 2020 are as follows: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49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common stock</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40.83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20.37</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80" w:type="dxa"/>
            <w:vAlign w:val="bottom"/>
          </w:tcPr>
          <w:p>
            <w:pPr>
              <w:spacing w:after="0"/>
              <w:rPr>
                <w:sz w:val="20"/>
                <w:szCs w:val="20"/>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5.92</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r>
      <w:tr>
        <w:trPr>
          <w:trHeight w:val="39"/>
        </w:trPr>
        <w:tc>
          <w:tcPr>
            <w:tcW w:w="4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63" w:lineRule="exact"/>
        <w:rPr>
          <w:sz w:val="20"/>
          <w:szCs w:val="20"/>
          <w:color w:val="auto"/>
        </w:rPr>
      </w:pPr>
    </w:p>
    <w:p>
      <w:pPr>
        <w:ind w:left="1020" w:right="639"/>
        <w:spacing w:after="0" w:line="292" w:lineRule="auto"/>
        <w:rPr>
          <w:sz w:val="20"/>
          <w:szCs w:val="20"/>
          <w:color w:val="auto"/>
        </w:rPr>
      </w:pPr>
      <w:r>
        <w:rPr>
          <w:rFonts w:ascii="Times New Roman" w:cs="Times New Roman" w:eastAsia="Times New Roman" w:hAnsi="Times New Roman"/>
          <w:sz w:val="17"/>
          <w:szCs w:val="17"/>
          <w:color w:val="auto"/>
        </w:rPr>
        <w:t>Stock-based compensation is classified in the following operating expense accounts on the consolidated statements of operations and comprehensive loss for the years ended December 31, 2021 and 2020:</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4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0" w:type="dxa"/>
            <w:vAlign w:val="bottom"/>
          </w:tcPr>
          <w:p>
            <w:pPr>
              <w:spacing w:after="0"/>
              <w:rPr>
                <w:sz w:val="1"/>
                <w:szCs w:val="1"/>
                <w:color w:val="auto"/>
              </w:rPr>
            </w:pPr>
          </w:p>
        </w:tc>
      </w:tr>
      <w:tr>
        <w:trPr>
          <w:trHeight w:val="234"/>
        </w:trPr>
        <w:tc>
          <w:tcPr>
            <w:tcW w:w="30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Sales and marketing</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20" w:type="dxa"/>
            <w:vAlign w:val="bottom"/>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5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374"/>
              <w:spacing w:after="0"/>
              <w:rPr>
                <w:sz w:val="20"/>
                <w:szCs w:val="20"/>
                <w:color w:val="auto"/>
              </w:rPr>
            </w:pPr>
            <w:r>
              <w:rPr>
                <w:rFonts w:ascii="Times New Roman" w:cs="Times New Roman" w:eastAsia="Times New Roman" w:hAnsi="Times New Roman"/>
                <w:sz w:val="17"/>
                <w:szCs w:val="17"/>
                <w:color w:val="auto"/>
              </w:rPr>
              <w:t>F-61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92" w:name="page193"/>
    <w:bookmarkEnd w:id="19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Executive Options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0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maximum change in control bonus for executive award holders is $5,837 and remains unamortized as of December 31, 2021.</w:t>
      </w:r>
    </w:p>
    <w:p>
      <w:pPr>
        <w:spacing w:after="0" w:line="145"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LEASES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0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are as follows: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3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6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39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2023</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2024</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2025</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2026</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3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20" w:type="dxa"/>
            <w:vAlign w:val="bottom"/>
            <w:vMerge w:val="continue"/>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Additional information related to the Company’s lease balances during the year ended and as of</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December 31, 2021 includes</w:t>
      </w:r>
      <w:r>
        <w:rPr>
          <w:rFonts w:ascii="Times New Roman" w:cs="Times New Roman" w:eastAsia="Times New Roman" w:hAnsi="Times New Roman"/>
          <w:sz w:val="17"/>
          <w:szCs w:val="17"/>
          <w:i w:val="1"/>
          <w:iCs w:val="1"/>
          <w:color w:val="auto"/>
        </w:rPr>
        <w:t>:</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4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360" w:type="dxa"/>
            <w:vAlign w:val="bottom"/>
            <w:gridSpan w:val="2"/>
          </w:tcPr>
          <w:p>
            <w:pPr>
              <w:spacing w:after="0"/>
              <w:rPr>
                <w:sz w:val="3"/>
                <w:szCs w:val="3"/>
                <w:color w:val="auto"/>
              </w:rPr>
            </w:pPr>
          </w:p>
        </w:tc>
        <w:tc>
          <w:tcPr>
            <w:tcW w:w="3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2"/>
        </w:trPr>
        <w:tc>
          <w:tcPr>
            <w:tcW w:w="420" w:type="dxa"/>
            <w:vAlign w:val="bottom"/>
          </w:tcPr>
          <w:p>
            <w:pPr>
              <w:spacing w:after="0"/>
              <w:rPr>
                <w:sz w:val="20"/>
                <w:szCs w:val="20"/>
                <w:color w:val="auto"/>
              </w:rPr>
            </w:pPr>
          </w:p>
        </w:tc>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Short-term lease cost</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39"/>
        </w:trPr>
        <w:tc>
          <w:tcPr>
            <w:tcW w:w="3360" w:type="dxa"/>
            <w:vAlign w:val="bottom"/>
            <w:gridSpan w:val="2"/>
          </w:tcPr>
          <w:p>
            <w:pPr>
              <w:spacing w:after="0"/>
              <w:rPr>
                <w:sz w:val="3"/>
                <w:szCs w:val="3"/>
                <w:color w:val="auto"/>
              </w:rPr>
            </w:pPr>
          </w:p>
        </w:tc>
        <w:tc>
          <w:tcPr>
            <w:tcW w:w="3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2"/>
        </w:trPr>
        <w:tc>
          <w:tcPr>
            <w:tcW w:w="420" w:type="dxa"/>
            <w:vAlign w:val="bottom"/>
          </w:tcPr>
          <w:p>
            <w:pPr>
              <w:spacing w:after="0"/>
              <w:rPr>
                <w:sz w:val="23"/>
                <w:szCs w:val="23"/>
                <w:color w:val="auto"/>
              </w:rPr>
            </w:pPr>
          </w:p>
        </w:tc>
        <w:tc>
          <w:tcPr>
            <w:tcW w:w="294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Financing lease cost:</w:t>
            </w: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
        </w:trPr>
        <w:tc>
          <w:tcPr>
            <w:tcW w:w="3360" w:type="dxa"/>
            <w:vAlign w:val="bottom"/>
            <w:gridSpan w:val="2"/>
          </w:tcPr>
          <w:p>
            <w:pPr>
              <w:spacing w:after="0"/>
              <w:rPr>
                <w:sz w:val="3"/>
                <w:szCs w:val="3"/>
                <w:color w:val="auto"/>
              </w:rPr>
            </w:pPr>
          </w:p>
        </w:tc>
        <w:tc>
          <w:tcPr>
            <w:tcW w:w="3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4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415"/>
        </w:trPr>
        <w:tc>
          <w:tcPr>
            <w:tcW w:w="4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2574"/>
              <w:spacing w:after="0"/>
              <w:rPr>
                <w:sz w:val="20"/>
                <w:szCs w:val="20"/>
                <w:color w:val="auto"/>
              </w:rPr>
            </w:pPr>
            <w:r>
              <w:rPr>
                <w:rFonts w:ascii="Times New Roman" w:cs="Times New Roman" w:eastAsia="Times New Roman" w:hAnsi="Times New Roman"/>
                <w:sz w:val="17"/>
                <w:szCs w:val="17"/>
                <w:color w:val="auto"/>
              </w:rPr>
              <w:t>F-62</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93" w:name="page194"/>
    <w:bookmarkEnd w:id="19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LEASES </w:t>
      </w:r>
      <w:r>
        <w:rPr>
          <w:rFonts w:ascii="Times New Roman" w:cs="Times New Roman" w:eastAsia="Times New Roman" w:hAnsi="Times New Roman"/>
          <w:sz w:val="17"/>
          <w:szCs w:val="17"/>
          <w:color w:val="auto"/>
        </w:rPr>
        <w:t>(cont.)</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4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1.22</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w:t>
            </w:r>
          </w:p>
        </w:tc>
      </w:tr>
    </w:tbl>
    <w:p>
      <w:pPr>
        <w:spacing w:after="0" w:line="189"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Company’s rent expense totaled approximately $4,178 and $3,514 during the years ended December 31, 2021 and 2020, respectively.</w:t>
      </w:r>
    </w:p>
    <w:p>
      <w:pPr>
        <w:spacing w:after="0" w:line="145"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OTHER EXPENSE, NET</w:t>
      </w:r>
    </w:p>
    <w:p>
      <w:pPr>
        <w:spacing w:after="0" w:line="15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Other expense, net on the consolidated statements of operations and comprehensive loss is comprised of the following for the years ended December 31, 2021 and 2020, respectively:</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7"/>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4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(4,920)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(1,806)</w:t>
            </w: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(3,775)</w:t>
            </w: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3"/>
        </w:trPr>
        <w:tc>
          <w:tcPr>
            <w:tcW w:w="4480" w:type="dxa"/>
            <w:vAlign w:val="bottom"/>
            <w:vMerge w:val="continue"/>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NET LOSS PER SHARE</w:t>
      </w:r>
    </w:p>
    <w:p>
      <w:pPr>
        <w:spacing w:after="0" w:line="157"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years ended December 31, 2021 and 2020:</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7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(79,540)</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(74,407)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Less: deemed dividend related to the exchange of Preferred Stock</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Series D-3A for Preferred Stock Series D-3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73"/>
        </w:trPr>
        <w:tc>
          <w:tcPr>
            <w:tcW w:w="4780" w:type="dxa"/>
            <w:vAlign w:val="bottom"/>
            <w:gridSpan w:val="2"/>
            <w:vMerge w:val="continue"/>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shares outstanding – Basic and Dilutive</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Basic and Diluted Net Loss Per Share</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4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years ended December 31, 2021 and 2020, the diluted earnings per share is equal to the basic earnings per share as the effect of potentially dilutive securities would have been antidilutive.</w:t>
      </w:r>
    </w:p>
    <w:p>
      <w:pPr>
        <w:spacing w:after="0" w:line="69"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78"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380" w:type="dxa"/>
            <w:vAlign w:val="bottom"/>
            <w:gridSpan w:val="3"/>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4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0"/>
        </w:trPr>
        <w:tc>
          <w:tcPr>
            <w:tcW w:w="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600" w:type="dxa"/>
            <w:vAlign w:val="bottom"/>
            <w:gridSpan w:val="2"/>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00" w:type="dxa"/>
            <w:vAlign w:val="bottom"/>
            <w:gridSpan w:val="2"/>
          </w:tcPr>
          <w:p>
            <w:pPr>
              <w:spacing w:after="0"/>
              <w:rPr>
                <w:sz w:val="3"/>
                <w:szCs w:val="3"/>
                <w:color w:val="auto"/>
              </w:rPr>
            </w:pPr>
          </w:p>
        </w:tc>
        <w:tc>
          <w:tcPr>
            <w:tcW w:w="2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2"/>
        </w:trPr>
        <w:tc>
          <w:tcPr>
            <w:tcW w:w="420" w:type="dxa"/>
            <w:vAlign w:val="bottom"/>
          </w:tcPr>
          <w:p>
            <w:pPr>
              <w:spacing w:after="0"/>
              <w:rPr>
                <w:sz w:val="20"/>
                <w:szCs w:val="20"/>
                <w:color w:val="auto"/>
              </w:rPr>
            </w:pPr>
          </w:p>
        </w:tc>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5,178,276</w:t>
            </w:r>
          </w:p>
        </w:tc>
      </w:tr>
      <w:tr>
        <w:trPr>
          <w:trHeight w:val="234"/>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C Warrants</w:t>
            </w:r>
          </w:p>
        </w:tc>
        <w:tc>
          <w:tcPr>
            <w:tcW w:w="25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134,126</w:t>
            </w:r>
          </w:p>
        </w:tc>
      </w:tr>
      <w:tr>
        <w:trPr>
          <w:trHeight w:val="39"/>
        </w:trPr>
        <w:tc>
          <w:tcPr>
            <w:tcW w:w="2900" w:type="dxa"/>
            <w:vAlign w:val="bottom"/>
            <w:gridSpan w:val="2"/>
          </w:tcPr>
          <w:p>
            <w:pPr>
              <w:spacing w:after="0"/>
              <w:rPr>
                <w:sz w:val="3"/>
                <w:szCs w:val="3"/>
                <w:color w:val="auto"/>
              </w:rPr>
            </w:pPr>
          </w:p>
        </w:tc>
        <w:tc>
          <w:tcPr>
            <w:tcW w:w="2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2"/>
        </w:trPr>
        <w:tc>
          <w:tcPr>
            <w:tcW w:w="420" w:type="dxa"/>
            <w:vAlign w:val="bottom"/>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3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Preferred Stock</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19,132,387</w:t>
            </w:r>
          </w:p>
        </w:tc>
      </w:tr>
      <w:tr>
        <w:trPr>
          <w:trHeight w:val="26"/>
        </w:trPr>
        <w:tc>
          <w:tcPr>
            <w:tcW w:w="420" w:type="dxa"/>
            <w:vAlign w:val="bottom"/>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420" w:type="dxa"/>
            <w:vAlign w:val="bottom"/>
          </w:tcPr>
          <w:p>
            <w:pPr>
              <w:spacing w:after="0"/>
              <w:rPr>
                <w:sz w:val="20"/>
                <w:szCs w:val="20"/>
                <w:color w:val="auto"/>
              </w:rPr>
            </w:pPr>
          </w:p>
        </w:tc>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24,915,175</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24,444,789</w:t>
            </w:r>
          </w:p>
        </w:tc>
      </w:tr>
      <w:tr>
        <w:trPr>
          <w:trHeight w:val="20"/>
        </w:trPr>
        <w:tc>
          <w:tcPr>
            <w:tcW w:w="4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61"/>
        </w:trPr>
        <w:tc>
          <w:tcPr>
            <w:tcW w:w="4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7"/>
                <w:szCs w:val="17"/>
                <w:color w:val="auto"/>
              </w:rPr>
              <w:t>F-63</w:t>
            </w: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94" w:name="page195"/>
    <w:bookmarkEnd w:id="19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INCOME TAXES</w:t>
      </w:r>
    </w:p>
    <w:p>
      <w:pPr>
        <w:spacing w:after="0" w:line="15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Company’s income (loss) before provision for income taxes for the years ended December 31, 2021 and 2020 consist of the following:</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r>
      <w:tr>
        <w:trPr>
          <w:trHeight w:val="45"/>
        </w:trPr>
        <w:tc>
          <w:tcPr>
            <w:tcW w:w="296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(79,962)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(73,056)</w:t>
            </w:r>
          </w:p>
        </w:tc>
      </w:tr>
      <w:tr>
        <w:trPr>
          <w:trHeight w:val="24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(613)</w:t>
            </w:r>
          </w:p>
        </w:tc>
      </w:tr>
      <w:tr>
        <w:trPr>
          <w:trHeight w:val="26"/>
        </w:trPr>
        <w:tc>
          <w:tcPr>
            <w:tcW w:w="29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components of the provision for income taxes for the years ended December 31, 2021 and 2020 consist of the following:</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2660" w:type="dxa"/>
            <w:vAlign w:val="bottom"/>
            <w:gridSpan w:val="3"/>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94"/>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100" w:type="dxa"/>
            <w:vAlign w:val="bottom"/>
            <w:gridSpan w:val="2"/>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2660" w:type="dxa"/>
            <w:vAlign w:val="bottom"/>
            <w:gridSpan w:val="3"/>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34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Total provision</w:t>
            </w:r>
          </w:p>
        </w:tc>
        <w:tc>
          <w:tcPr>
            <w:tcW w:w="19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1920" w:type="dxa"/>
            <w:vAlign w:val="bottom"/>
            <w:gridSpan w:val="2"/>
          </w:tcPr>
          <w:p>
            <w:pPr>
              <w:spacing w:after="0"/>
              <w:rPr>
                <w:sz w:val="18"/>
                <w:szCs w:val="18"/>
                <w:color w:val="auto"/>
              </w:rPr>
            </w:pPr>
          </w:p>
        </w:tc>
        <w:tc>
          <w:tcPr>
            <w:tcW w:w="74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gridSpan w:val="2"/>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90"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benefit from income taxes differs from the amount expected by applying the federal statutory rate to the loss before taxes as follows: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4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7"/>
                <w:szCs w:val="17"/>
                <w:color w:val="auto"/>
              </w:rPr>
            </w:pPr>
          </w:p>
        </w:tc>
      </w:tr>
      <w:tr>
        <w:trPr>
          <w:trHeight w:val="45"/>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35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State income tax rate, net of federal benefit</w:t>
            </w:r>
          </w:p>
        </w:tc>
        <w:tc>
          <w:tcPr>
            <w:tcW w:w="28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2.56%</w:t>
            </w:r>
          </w:p>
        </w:tc>
        <w:tc>
          <w:tcPr>
            <w:tcW w:w="80" w:type="dxa"/>
            <w:vAlign w:val="bottom"/>
          </w:tcPr>
          <w:p>
            <w:pPr>
              <w:spacing w:after="0"/>
              <w:rPr>
                <w:sz w:val="20"/>
                <w:szCs w:val="20"/>
                <w:color w:val="auto"/>
              </w:rPr>
            </w:pPr>
          </w:p>
        </w:tc>
        <w:tc>
          <w:tcPr>
            <w:tcW w:w="1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1.63%</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withholding and income tax</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r>
      <w:tr>
        <w:trPr>
          <w:trHeight w:val="234"/>
        </w:trPr>
        <w:tc>
          <w:tcPr>
            <w:tcW w:w="35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28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tcPr>
          <w:p>
            <w:pPr>
              <w:spacing w:after="0"/>
              <w:rPr>
                <w:sz w:val="20"/>
                <w:szCs w:val="20"/>
                <w:color w:val="auto"/>
              </w:rPr>
            </w:pPr>
          </w:p>
        </w:tc>
        <w:tc>
          <w:tcPr>
            <w:tcW w:w="1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2.51%</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34"/>
        </w:trPr>
        <w:tc>
          <w:tcPr>
            <w:tcW w:w="35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Stock based compensation</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Non-deductible permanent expenses</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46"/>
        </w:trPr>
        <w:tc>
          <w:tcPr>
            <w:tcW w:w="35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Other</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6"/>
        </w:trPr>
        <w:tc>
          <w:tcPr>
            <w:tcW w:w="38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33"/>
        </w:trPr>
        <w:tc>
          <w:tcPr>
            <w:tcW w:w="380" w:type="dxa"/>
            <w:vAlign w:val="bottom"/>
          </w:tcPr>
          <w:p>
            <w:pPr>
              <w:spacing w:after="0"/>
              <w:rPr>
                <w:sz w:val="20"/>
                <w:szCs w:val="20"/>
                <w:color w:val="auto"/>
              </w:rPr>
            </w:pPr>
          </w:p>
        </w:tc>
        <w:tc>
          <w:tcPr>
            <w:tcW w:w="31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w:t>
            </w:r>
          </w:p>
        </w:tc>
      </w:tr>
      <w:tr>
        <w:trPr>
          <w:trHeight w:val="20"/>
        </w:trPr>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61"/>
        </w:trPr>
        <w:tc>
          <w:tcPr>
            <w:tcW w:w="3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F-64</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95" w:name="page196"/>
    <w:bookmarkEnd w:id="19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16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liability</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Share-based compensation</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rent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Debt issuance cost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Accruals and reserves</w:t>
            </w: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deferred tax assets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(86,695</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(68,760</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6"/>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46"/>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Right-of-use assets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(2,461)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deferred tax liabilities</w:t>
            </w: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160" w:type="dxa"/>
            <w:vAlign w:val="bottom"/>
            <w:vMerge w:val="continue"/>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303"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108"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1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6" w:name="page197"/>
    <w:bookmarkEnd w:id="19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11"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90"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Company’s tax years 2006 to 2021 will remain open for examination by the federal and state authorities for three and four years, respectively, from the date of utilization of any net operating loss credits.</w:t>
      </w:r>
    </w:p>
    <w:p>
      <w:pPr>
        <w:spacing w:after="0" w:line="98"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70"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17.</w:t>
        <w:tab/>
        <w:t>RELATED PARTY TRANSACTIONS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3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34925</wp:posOffset>
            </wp:positionV>
            <wp:extent cx="15233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71"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15,238</w:t>
            </w:r>
          </w:p>
        </w:tc>
        <w:tc>
          <w:tcPr>
            <w:tcW w:w="1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SUBSEQUENT EVENTS</w:t>
      </w:r>
    </w:p>
    <w:p>
      <w:pPr>
        <w:spacing w:after="0" w:line="157" w:lineRule="exact"/>
        <w:rPr>
          <w:sz w:val="20"/>
          <w:szCs w:val="20"/>
          <w:color w:val="auto"/>
        </w:rPr>
      </w:pPr>
    </w:p>
    <w:p>
      <w:pPr>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 has evaluated subsequent events through March 9, 2022, the date the consolidated financial statements were issued.</w:t>
      </w:r>
    </w:p>
    <w:p>
      <w:pPr>
        <w:spacing w:after="0" w:line="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January 2022, the Company entered into a new office lease agreement for office space in Tokyo, Japan.</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lease commenced on January 1, 2022 and will expire on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7" w:name="page198"/>
    <w:bookmarkEnd w:id="19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1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2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to related party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 liability</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657,839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 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redemption value as of March 31, 2022 and December 31, 2021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authorized; none issued and outstanding</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shares authorized, 4,161,000 shares issued and outstanding (excluding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13,300,000 shares subject to possible redemption) as of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2022 and December 31, 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806,490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(1,368,050)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(982,600)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3"/>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8" w:name="page199"/>
    <w:bookmarkEnd w:id="19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OPERATIONS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4"/>
        </w:trPr>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r>
      <w:tr>
        <w:trPr>
          <w:trHeight w:val="194"/>
        </w:trPr>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Ended</w:t>
            </w:r>
          </w:p>
        </w:tc>
      </w:tr>
      <w:tr>
        <w:trPr>
          <w:trHeight w:val="194"/>
        </w:trPr>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3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7"/>
                <w:szCs w:val="17"/>
                <w:color w:val="auto"/>
              </w:rPr>
            </w:pPr>
          </w:p>
        </w:tc>
      </w:tr>
      <w:tr>
        <w:trPr>
          <w:trHeight w:val="45"/>
        </w:trPr>
        <w:tc>
          <w:tcPr>
            <w:tcW w:w="374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52"/>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9"/>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1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140" w:type="dxa"/>
            <w:vAlign w:val="bottom"/>
          </w:tcPr>
          <w:p>
            <w:pPr>
              <w:spacing w:after="0"/>
              <w:rPr>
                <w:sz w:val="19"/>
                <w:szCs w:val="19"/>
                <w:color w:val="auto"/>
              </w:rPr>
            </w:pPr>
          </w:p>
        </w:tc>
      </w:tr>
      <w:tr>
        <w:trPr>
          <w:trHeight w:val="33"/>
        </w:trPr>
        <w:tc>
          <w:tcPr>
            <w:tcW w:w="3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2"/>
        </w:trPr>
        <w:tc>
          <w:tcPr>
            <w:tcW w:w="37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bl>
    <w:p>
      <w:pPr>
        <w:spacing w:after="0" w:line="8" w:lineRule="exact"/>
        <w:rPr>
          <w:sz w:val="20"/>
          <w:szCs w:val="20"/>
          <w:color w:val="auto"/>
        </w:rPr>
      </w:pPr>
    </w:p>
    <w:p>
      <w:pPr>
        <w:sectPr>
          <w:pgSz w:w="11900" w:h="16838" w:orient="portrait"/>
          <w:cols w:equalWidth="0" w:num="1">
            <w:col w:w="9019"/>
          </w:cols>
          <w:pgMar w:left="1440" w:top="264" w:right="1440" w:bottom="1440" w:gutter="0" w:footer="0" w:header="0"/>
        </w:sectPr>
      </w:pPr>
    </w:p>
    <w:p>
      <w:pPr>
        <w:jc w:val="right"/>
        <w:ind w:right="3400"/>
        <w:spacing w:after="0"/>
        <w:rPr>
          <w:sz w:val="20"/>
          <w:szCs w:val="20"/>
          <w:color w:val="auto"/>
        </w:rPr>
      </w:pPr>
      <w:r>
        <w:rPr>
          <w:rFonts w:ascii="Times New Roman" w:cs="Times New Roman" w:eastAsia="Times New Roman" w:hAnsi="Times New Roman"/>
          <w:sz w:val="17"/>
          <w:szCs w:val="17"/>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727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jc w:val="right"/>
        <w:ind w:right="3440"/>
        <w:spacing w:after="0"/>
        <w:rPr>
          <w:sz w:val="20"/>
          <w:szCs w:val="20"/>
          <w:color w:val="auto"/>
        </w:rPr>
      </w:pPr>
      <w:r>
        <w:rPr>
          <w:rFonts w:ascii="Times New Roman" w:cs="Times New Roman" w:eastAsia="Times New Roman" w:hAnsi="Times New Roman"/>
          <w:sz w:val="17"/>
          <w:szCs w:val="17"/>
          <w:color w:val="auto"/>
        </w:rPr>
        <w:t>Trust interest income</w:t>
      </w:r>
    </w:p>
    <w:p>
      <w:pPr>
        <w:spacing w:after="0" w:line="77" w:lineRule="exact"/>
        <w:rPr>
          <w:sz w:val="20"/>
          <w:szCs w:val="20"/>
          <w:color w:val="auto"/>
        </w:rPr>
      </w:pPr>
    </w:p>
    <w:p>
      <w:pPr>
        <w:ind w:left="620" w:right="920" w:firstLine="173"/>
        <w:spacing w:after="0" w:line="371" w:lineRule="auto"/>
        <w:rPr>
          <w:sz w:val="20"/>
          <w:szCs w:val="20"/>
          <w:color w:val="auto"/>
        </w:rPr>
      </w:pPr>
      <w:r>
        <w:rPr>
          <w:rFonts w:ascii="Times New Roman" w:cs="Times New Roman" w:eastAsia="Times New Roman" w:hAnsi="Times New Roman"/>
          <w:sz w:val="17"/>
          <w:szCs w:val="17"/>
          <w:color w:val="auto"/>
        </w:rPr>
        <w:t>Unrealized gain (loss) on change in fair value of warrants 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-215265</wp:posOffset>
            </wp:positionV>
            <wp:extent cx="4939665" cy="1727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100"/>
        <w:spacing w:after="0"/>
        <w:tabs>
          <w:tab w:leader="none" w:pos="1580" w:val="left"/>
        </w:tabs>
        <w:rPr>
          <w:sz w:val="20"/>
          <w:szCs w:val="20"/>
          <w:color w:val="auto"/>
        </w:rPr>
      </w:pPr>
      <w:r>
        <w:rPr>
          <w:rFonts w:ascii="Times New Roman" w:cs="Times New Roman" w:eastAsia="Times New Roman" w:hAnsi="Times New Roman"/>
          <w:sz w:val="17"/>
          <w:szCs w:val="17"/>
          <w:color w:val="auto"/>
        </w:rPr>
        <w:t>11,857</w:t>
      </w:r>
      <w:r>
        <w:rPr>
          <w:sz w:val="20"/>
          <w:szCs w:val="20"/>
          <w:color w:val="auto"/>
        </w:rPr>
        <w:tab/>
      </w:r>
      <w:r>
        <w:rPr>
          <w:rFonts w:ascii="Times New Roman" w:cs="Times New Roman" w:eastAsia="Times New Roman" w:hAnsi="Times New Roman"/>
          <w:sz w:val="17"/>
          <w:szCs w:val="17"/>
          <w:color w:val="auto"/>
        </w:rPr>
        <w:t>525</w:t>
      </w:r>
    </w:p>
    <w:p>
      <w:pPr>
        <w:spacing w:after="0" w:line="77" w:lineRule="exact"/>
        <w:rPr>
          <w:sz w:val="20"/>
          <w:szCs w:val="20"/>
          <w:color w:val="auto"/>
        </w:rPr>
      </w:pPr>
    </w:p>
    <w:p>
      <w:pPr>
        <w:ind w:left="100"/>
        <w:spacing w:after="0"/>
        <w:tabs>
          <w:tab w:leader="none" w:pos="1400" w:val="left"/>
        </w:tabs>
        <w:rPr>
          <w:sz w:val="20"/>
          <w:szCs w:val="20"/>
          <w:color w:val="auto"/>
        </w:rPr>
      </w:pPr>
      <w:r>
        <w:rPr>
          <w:rFonts w:ascii="Times New Roman" w:cs="Times New Roman" w:eastAsia="Times New Roman" w:hAnsi="Times New Roman"/>
          <w:sz w:val="16"/>
          <w:szCs w:val="16"/>
          <w:color w:val="auto"/>
        </w:rPr>
        <w:t>92,746</w:t>
      </w:r>
      <w:r>
        <w:rPr>
          <w:sz w:val="20"/>
          <w:szCs w:val="20"/>
          <w:color w:val="auto"/>
        </w:rPr>
        <w:tab/>
      </w:r>
      <w:r>
        <w:rPr>
          <w:rFonts w:ascii="Times New Roman" w:cs="Times New Roman" w:eastAsia="Times New Roman" w:hAnsi="Times New Roman"/>
          <w:sz w:val="16"/>
          <w:szCs w:val="16"/>
          <w:color w:val="auto"/>
        </w:rPr>
        <w:t>(3,117)</w:t>
      </w:r>
    </w:p>
    <w:p>
      <w:pPr>
        <w:spacing w:after="0" w:line="8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7"/>
          <w:szCs w:val="17"/>
          <w:color w:val="auto"/>
        </w:rPr>
        <w:t>104,603</w:t>
      </w:r>
      <w:r>
        <w:rPr>
          <w:sz w:val="20"/>
          <w:szCs w:val="20"/>
          <w:color w:val="auto"/>
        </w:rPr>
        <w:tab/>
      </w:r>
      <w:r>
        <w:rPr>
          <w:rFonts w:ascii="Times New Roman" w:cs="Times New Roman" w:eastAsia="Times New Roman" w:hAnsi="Times New Roman"/>
          <w:sz w:val="17"/>
          <w:szCs w:val="17"/>
          <w:color w:val="auto"/>
        </w:rPr>
        <w:t>(2,592)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43815</wp:posOffset>
            </wp:positionV>
            <wp:extent cx="14243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5680" w:space="720"/>
            <w:col w:w="2619"/>
          </w:cols>
          <w:pgMar w:left="1440" w:top="264" w:right="1440" w:bottom="1440" w:gutter="0" w:footer="0" w:header="0"/>
          <w:type w:val="continuous"/>
        </w:sectPr>
      </w:pPr>
    </w:p>
    <w:p>
      <w:pPr>
        <w:spacing w:after="0" w:line="18" w:lineRule="exact"/>
        <w:rPr>
          <w:sz w:val="20"/>
          <w:szCs w:val="20"/>
          <w:color w:val="auto"/>
        </w:rPr>
      </w:pPr>
    </w:p>
    <w:tbl>
      <w:tblPr>
        <w:tblLayout w:type="fixed"/>
        <w:tblInd w:w="620" w:type="dxa"/>
        <w:tblCellMar>
          <w:top w:w="0" w:type="dxa"/>
          <w:left w:w="0" w:type="dxa"/>
          <w:bottom w:w="0" w:type="dxa"/>
          <w:right w:w="0" w:type="dxa"/>
        </w:tblCellMar>
      </w:tblPr>
      <w:tr>
        <w:trPr>
          <w:trHeight w:val="25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(385,450)</w:t>
            </w:r>
          </w:p>
        </w:tc>
        <w:tc>
          <w:tcPr>
            <w:tcW w:w="3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subject to redemption</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(loss) income per share attributable to common</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5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(0.02)</w:t>
            </w:r>
          </w:p>
        </w:tc>
        <w:tc>
          <w:tcPr>
            <w:tcW w:w="32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22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99" w:name="page200"/>
    <w:bookmarkEnd w:id="19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DEFICIT</w:t>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right="80"/>
        <w:spacing w:after="0" w:line="319" w:lineRule="auto"/>
        <w:rPr>
          <w:sz w:val="20"/>
          <w:szCs w:val="20"/>
          <w:color w:val="auto"/>
        </w:rPr>
      </w:pPr>
      <w:r>
        <w:rPr>
          <w:rFonts w:ascii="Times New Roman" w:cs="Times New Roman" w:eastAsia="Times New Roman" w:hAnsi="Times New Roman"/>
          <w:sz w:val="17"/>
          <w:szCs w:val="17"/>
          <w:b w:val="1"/>
          <w:bCs w:val="1"/>
          <w:color w:val="auto"/>
        </w:rPr>
        <w:t xml:space="preserve">Balance as of December 31, 2021 </w:t>
      </w:r>
      <w:r>
        <w:rPr>
          <w:rFonts w:ascii="Times New Roman" w:cs="Times New Roman" w:eastAsia="Times New Roman" w:hAnsi="Times New Roman"/>
          <w:sz w:val="17"/>
          <w:szCs w:val="17"/>
          <w:color w:val="auto"/>
        </w:rPr>
        <w:t>Net loss</w:t>
      </w:r>
    </w:p>
    <w:p>
      <w:pPr>
        <w:spacing w:after="0" w:line="1" w:lineRule="exact"/>
        <w:rPr>
          <w:sz w:val="20"/>
          <w:szCs w:val="20"/>
          <w:color w:val="auto"/>
        </w:rPr>
      </w:pPr>
    </w:p>
    <w:p>
      <w:pPr>
        <w:ind w:left="780" w:hanging="172"/>
        <w:spacing w:after="0" w:line="273" w:lineRule="auto"/>
        <w:rPr>
          <w:sz w:val="20"/>
          <w:szCs w:val="20"/>
          <w:color w:val="auto"/>
        </w:rPr>
      </w:pPr>
      <w:r>
        <w:rPr>
          <w:rFonts w:ascii="Times New Roman" w:cs="Times New Roman" w:eastAsia="Times New Roman" w:hAnsi="Times New Roman"/>
          <w:sz w:val="17"/>
          <w:szCs w:val="17"/>
          <w:color w:val="auto"/>
        </w:rPr>
        <w:t>Accretion of common stock to redemption value (interest earned on trust account)</w:t>
      </w:r>
    </w:p>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Balance as of March 31, 2022</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94"/>
        </w:trPr>
        <w:tc>
          <w:tcPr>
            <w:tcW w:w="1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1140" w:type="dxa"/>
            <w:vAlign w:val="bottom"/>
          </w:tcPr>
          <w:p>
            <w:pPr>
              <w:spacing w:after="0"/>
              <w:rPr>
                <w:sz w:val="16"/>
                <w:szCs w:val="16"/>
                <w:color w:val="auto"/>
              </w:rPr>
            </w:pPr>
          </w:p>
        </w:tc>
        <w:tc>
          <w:tcPr>
            <w:tcW w:w="104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1860" w:type="dxa"/>
            <w:vAlign w:val="bottom"/>
            <w:gridSpan w:val="2"/>
            <w:vMerge w:val="continue"/>
          </w:tcPr>
          <w:p>
            <w:pPr>
              <w:spacing w:after="0"/>
              <w:rPr>
                <w:sz w:val="9"/>
                <w:szCs w:val="9"/>
                <w:color w:val="auto"/>
              </w:rPr>
            </w:pPr>
          </w:p>
        </w:tc>
        <w:tc>
          <w:tcPr>
            <w:tcW w:w="1020" w:type="dxa"/>
            <w:vAlign w:val="bottom"/>
            <w:vMerge w:val="restart"/>
          </w:tcPr>
          <w:p>
            <w:pPr>
              <w:jc w:val="center"/>
              <w:ind w:left="2"/>
              <w:spacing w:after="0" w:line="13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1040" w:type="dxa"/>
            <w:vAlign w:val="bottom"/>
            <w:vMerge w:val="restart"/>
          </w:tcPr>
          <w:p>
            <w:pPr>
              <w:jc w:val="center"/>
              <w:ind w:left="42"/>
              <w:spacing w:after="0" w:line="138"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104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28575</wp:posOffset>
            </wp:positionV>
            <wp:extent cx="4939665" cy="1727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700" w:type="dxa"/>
            <w:vAlign w:val="bottom"/>
            <w:gridSpan w:val="2"/>
          </w:tcPr>
          <w:p>
            <w:pPr>
              <w:jc w:val="right"/>
              <w:ind w:right="442"/>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(11,857)</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700" w:type="dxa"/>
            <w:vAlign w:val="bottom"/>
            <w:gridSpan w:val="2"/>
          </w:tcPr>
          <w:p>
            <w:pPr>
              <w:jc w:val="right"/>
              <w:ind w:right="442"/>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806,490</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(1,368,050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(561,144</w:t>
            </w:r>
          </w:p>
        </w:tc>
        <w:tc>
          <w:tcPr>
            <w:tcW w:w="1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20" w:type="dxa"/>
            <w:vAlign w:val="bottom"/>
          </w:tcPr>
          <w:p>
            <w:pPr>
              <w:spacing w:after="0"/>
              <w:rPr>
                <w:sz w:val="24"/>
                <w:szCs w:val="24"/>
                <w:color w:val="auto"/>
              </w:rPr>
            </w:pPr>
          </w:p>
        </w:tc>
        <w:tc>
          <w:tcPr>
            <w:tcW w:w="1580" w:type="dxa"/>
            <w:vAlign w:val="bottom"/>
            <w:gridSpan w:val="3"/>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14"/>
        </w:trPr>
        <w:tc>
          <w:tcPr>
            <w:tcW w:w="1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vMerge w:val="restart"/>
          </w:tcPr>
          <w:p>
            <w:pPr>
              <w:spacing w:after="0" w:line="13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9"/>
                <w:szCs w:val="9"/>
                <w:color w:val="auto"/>
              </w:rPr>
            </w:pPr>
          </w:p>
        </w:tc>
        <w:tc>
          <w:tcPr>
            <w:tcW w:w="1000" w:type="dxa"/>
            <w:vAlign w:val="bottom"/>
            <w:gridSpan w:val="3"/>
            <w:vMerge w:val="restart"/>
          </w:tcPr>
          <w:p>
            <w:pPr>
              <w:jc w:val="right"/>
              <w:ind w:right="62"/>
              <w:spacing w:after="0" w:line="138"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1160" w:type="dxa"/>
            <w:vAlign w:val="bottom"/>
            <w:gridSpan w:val="5"/>
            <w:vMerge w:val="restart"/>
          </w:tcPr>
          <w:p>
            <w:pPr>
              <w:ind w:left="100"/>
              <w:spacing w:after="0" w:line="13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45"/>
        </w:trPr>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11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88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9"/>
                <w:szCs w:val="19"/>
                <w:color w:val="auto"/>
              </w:rPr>
            </w:pPr>
          </w:p>
        </w:tc>
        <w:tc>
          <w:tcPr>
            <w:tcW w:w="120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-1139825</wp:posOffset>
            </wp:positionV>
            <wp:extent cx="4939665" cy="419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39665" cy="41973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3100" w:space="40"/>
            <w:col w:w="5879"/>
          </w:cols>
          <w:pgMar w:left="1440" w:top="264" w:right="1440" w:bottom="1440" w:gutter="0" w:footer="0" w:header="0"/>
          <w:type w:val="continuous"/>
        </w:sectPr>
      </w:pPr>
    </w:p>
    <w:tbl>
      <w:tblPr>
        <w:tblLayout w:type="fixed"/>
        <w:tblInd w:w="6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CCEEFF"/>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(716)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stockholders’ equity</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liability</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related to Public Shares</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(84,033)</w:t>
            </w: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(124,412,583)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value</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earned on trust account)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2021</w:t>
            </w: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520" w:type="dxa"/>
            <w:vAlign w:val="bottom"/>
            <w:gridSpan w:val="2"/>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0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828,405</w:t>
            </w:r>
          </w:p>
        </w:tc>
        <w:tc>
          <w:tcPr>
            <w:tcW w:w="1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(84,749</w:t>
            </w: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744,072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200" w:name="page201"/>
    <w:bookmarkEnd w:id="20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CASH FLOWS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4"/>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4"/>
              </w:rPr>
              <w:t>Ended</w:t>
            </w: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205"/>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(385,450)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loss on change in fair value of warrants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(92,746)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(165,713)</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(217,166</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(185,958</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(133,000,000)</w:t>
            </w:r>
          </w:p>
        </w:tc>
        <w:tc>
          <w:tcPr>
            <w:tcW w:w="0" w:type="dxa"/>
            <w:vAlign w:val="bottom"/>
          </w:tcPr>
          <w:p>
            <w:pPr>
              <w:spacing w:after="0"/>
              <w:rPr>
                <w:sz w:val="1"/>
                <w:szCs w:val="1"/>
                <w:color w:val="auto"/>
              </w:rPr>
            </w:pPr>
          </w:p>
        </w:tc>
      </w:tr>
      <w:tr>
        <w:trPr>
          <w:trHeight w:val="226"/>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(125,000)</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(375,347)</w:t>
            </w:r>
          </w:p>
        </w:tc>
        <w:tc>
          <w:tcPr>
            <w:tcW w:w="0" w:type="dxa"/>
            <w:vAlign w:val="bottom"/>
          </w:tcPr>
          <w:p>
            <w:pPr>
              <w:spacing w:after="0"/>
              <w:rPr>
                <w:sz w:val="1"/>
                <w:szCs w:val="1"/>
                <w:color w:val="auto"/>
              </w:rPr>
            </w:pPr>
          </w:p>
        </w:tc>
      </w:tr>
      <w:tr>
        <w:trPr>
          <w:trHeight w:val="226"/>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134,149,653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(217,166)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period</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300" w:type="dxa"/>
            <w:vAlign w:val="bottom"/>
            <w:vMerge w:val="continue"/>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55"/>
        </w:trPr>
        <w:tc>
          <w:tcPr>
            <w:tcW w:w="530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300" w:type="dxa"/>
            <w:vAlign w:val="bottom"/>
            <w:tcBorders>
              <w:bottom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160"/>
              <w:spacing w:after="0" w:line="185"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30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Forfeiture of founder shares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300" w:type="dxa"/>
            <w:vAlign w:val="bottom"/>
            <w:tcBorders>
              <w:bottom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Deferred offering costs included in accrued expenses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1" w:name="page202"/>
    <w:bookmarkEnd w:id="20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5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 of March 31, 2022, the Company had not commenced any revenue-generating operations. All activity for the period from September 15, 2020 (inception) through March 31, 2022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(“SoundHound”), a voice artificial intelligence company, pursuant to which the two companies agreed to consummate a Business Combination (the “Merger Agreement”). The total consideration to be paid by the Company to SoundHound is $2,000,000,000 in equity of the Company, with outstanding SoundHound stock options and warrants included on a net exercise basis.</w:t>
      </w:r>
    </w:p>
    <w:p>
      <w:pPr>
        <w:spacing w:after="0" w:line="105"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(See Note 9).</w:t>
      </w:r>
    </w:p>
    <w:p>
      <w:pPr>
        <w:spacing w:after="0" w:line="319"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9"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7).</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3, on March 15, 2021, the Company consummated the IPO of 12,000,000 units, (the “Public Units”), at $10.00 per Public Unit, generating gross proceeds of $120,000,000.</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4.</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2" w:name="page203"/>
    <w:bookmarkEnd w:id="20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67" w:lineRule="auto"/>
        <w:rPr>
          <w:sz w:val="20"/>
          <w:szCs w:val="20"/>
          <w:color w:val="auto"/>
        </w:rPr>
      </w:pPr>
      <w:r>
        <w:rPr>
          <w:rFonts w:ascii="Times New Roman" w:cs="Times New Roman" w:eastAsia="Times New Roman" w:hAnsi="Times New Roman"/>
          <w:sz w:val="17"/>
          <w:szCs w:val="17"/>
          <w:color w:val="auto"/>
        </w:rPr>
        <w:t>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0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6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0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(see below) to holders that properly exercised their right to have their Public Shares redeemed, with a remaining Trust Account balance of approximately $5,356,628 (the “Trust Proceeds”). Additionally, pursuant to subscription agreements the Company had previously entered into with certain accredited investors (the “Subscribers”), the Subscribers purchased an aggregate of 11,300,000 shares of Class A Common Stock of the combined company for a purchase price of $10.00 per share in a private placement that closed concurrently with the Business Combination, for total gross proceeds of $113,000,000 (the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3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1"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to holders that properly exercised their right to have their Public Shares redeemed, resulting in Trust Proceeds of approximately $5,356,628 (See Note 9).</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57"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As a result of the Business Combination, the registrant owns 100% of the outstanding common stock of SoundHound and the registrant changed its name from “Archimedes Tech SPAC Partners Co.” to “SoundHound AI, Inc.” In connection with the Company’s Business Combination, the Company received approximately $5,356,628 in Trust Proceeds and $113,000,000 in PIPE Proceeds. The Trust Proceeds and PIPE Proceeds were used for the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3" w:name="page204"/>
    <w:bookmarkEnd w:id="20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payment of expenses incurred by the Company and SoundHound in connection with the Business Combination and the remaining proceeds will be used for general corporate purposes of the Company following the Business Combination (See Note 9).</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As of March 31, 2022, the Company had cash outside the Trust Account of $18,129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2022, none of the amount on deposit in the Trust Account was available to be withdrawn as described above.</w:t>
      </w:r>
    </w:p>
    <w:p>
      <w:pPr>
        <w:spacing w:after="0" w:line="9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April 21, 2022, SPAC Partners LLC (“SP”), an affiliate of the Company’s Chief Executive Officer, agreed to loan the Company $167,955 to be used for tax payments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0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5), advances from the Sponsor in an aggregate amount of $125,000 under an unsecured promissory note, which were repaid upon the closing of the IPO (see Note 5). Subsequent to the consummation of the IPO and Private Placement, the Company’s liquidity needs have been satisfied through the net proceeds from the IPO and Private Placement held outside of the Trust Account. Subsequent to the consummation of the Company’s Business Combination on April 26, 2022, the Company’s liquidity needs have been satisfied through the remaining Trust Proceeds and PIPE Proceeds after payment of expenses in connection with the Business Combination (See Note 9).</w:t>
      </w:r>
    </w:p>
    <w:p>
      <w:pPr>
        <w:spacing w:after="0" w:line="9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0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4" w:name="page205"/>
    <w:bookmarkEnd w:id="20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67" w:lineRule="auto"/>
        <w:rPr>
          <w:sz w:val="20"/>
          <w:szCs w:val="20"/>
          <w:color w:val="auto"/>
        </w:rPr>
      </w:pPr>
      <w:r>
        <w:rPr>
          <w:rFonts w:ascii="Times New Roman" w:cs="Times New Roman" w:eastAsia="Times New Roman" w:hAnsi="Times New Roman"/>
          <w:sz w:val="17"/>
          <w:szCs w:val="17"/>
          <w:color w:val="auto"/>
        </w:rPr>
        <w:t>operations, or cash flows.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accompanying unaudited condensed financial statements should be read in conjunction with the audited 2021 financial statements and notes thereto included in the Form 10-K filed by the Company with the SEC on March 9, 2022.</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$18,129 and $235,295 of cash held outside of the Trust Account as of March 31, 2022 and December 31, 2021, respectively. The Company did not have any cash equivalents held outside of the Trust Account as of March 31, 2022 or December 31, 2021.</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At March 31, 2022 and December 31, 2021, the Company had 133,022,440 and $133,010,583 in the Trust Account which may be utilized for Business Combination. As of March 31, 2022 and December 31, 2021, the assets held in the Trust Account were invested in Treasury Securities consisting of money market funds.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5" w:name="page206"/>
    <w:bookmarkEnd w:id="20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5" w:lineRule="exact"/>
        <w:rPr>
          <w:sz w:val="20"/>
          <w:szCs w:val="20"/>
          <w:color w:val="auto"/>
        </w:rPr>
      </w:pPr>
    </w:p>
    <w:p>
      <w:pPr>
        <w:ind w:left="1440" w:right="639" w:hanging="411"/>
        <w:spacing w:after="0" w:line="292" w:lineRule="auto"/>
        <w:tabs>
          <w:tab w:leader="none" w:pos="143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8"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liabilities, and due to related party are estimated to approximate the carrying values as of March 31, 2022 and December 31, 2021 due to the short maturities of such instruments.</w:t>
      </w:r>
    </w:p>
    <w:p>
      <w:pPr>
        <w:spacing w:after="0" w:line="92"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6 for additional information on assets, liabilities and Representative Shares measured at fair value.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March 31, 2022 and December 31, 2021, the Company has not experienced losses on this account and management believes the Company is not exposed to significant risks on such account.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6" w:name="page207"/>
    <w:bookmarkEnd w:id="20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5"/>
              </w:rPr>
              <w:t>For the three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5"/>
              </w:rPr>
              <w:t>For the three</w:t>
            </w:r>
          </w:p>
        </w:tc>
      </w:tr>
      <w:tr>
        <w:trPr>
          <w:trHeight w:val="194"/>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3"/>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8"/>
              </w:rPr>
              <w:t>months ended</w:t>
            </w:r>
          </w:p>
        </w:tc>
      </w:tr>
      <w:tr>
        <w:trPr>
          <w:trHeight w:val="194"/>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7"/>
                <w:szCs w:val="17"/>
                <w:color w:val="auto"/>
              </w:rPr>
            </w:pPr>
          </w:p>
        </w:tc>
      </w:tr>
      <w:tr>
        <w:trPr>
          <w:trHeight w:val="45"/>
        </w:trPr>
        <w:tc>
          <w:tcPr>
            <w:tcW w:w="50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(385,450)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(84,033)</w:t>
            </w:r>
          </w:p>
        </w:tc>
      </w:tr>
      <w:tr>
        <w:trPr>
          <w:trHeight w:val="246"/>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(13,366,548)</w:t>
            </w:r>
          </w:p>
        </w:tc>
      </w:tr>
      <w:tr>
        <w:trPr>
          <w:trHeight w:val="26"/>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(397,307</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(13,450,581</w:t>
            </w:r>
          </w:p>
        </w:tc>
        <w:tc>
          <w:tcPr>
            <w:tcW w:w="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For the three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7"/>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5"/>
              </w:rPr>
              <w:t>For the three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7"/>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8"/>
              </w:rPr>
              <w:t>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7"/>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4"/>
          </w:tcPr>
          <w:p>
            <w:pPr>
              <w:jc w:val="center"/>
              <w:ind w:left="758"/>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99"/>
              <w:spacing w:after="0" w:line="171" w:lineRule="exact"/>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6"/>
              </w:rPr>
              <w:t>redeemable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0" w:type="dxa"/>
            <w:vAlign w:val="bottom"/>
          </w:tcPr>
          <w:p>
            <w:pPr>
              <w:spacing w:after="0"/>
              <w:rPr>
                <w:sz w:val="1"/>
                <w:szCs w:val="1"/>
                <w:color w:val="auto"/>
              </w:rPr>
            </w:pPr>
          </w:p>
        </w:tc>
      </w:tr>
      <w:tr>
        <w:trPr>
          <w:trHeight w:val="45"/>
        </w:trPr>
        <w:tc>
          <w:tcPr>
            <w:tcW w:w="29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Numerator: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Allocation of net loss including accretion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 temporary equity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(302,628)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(5,492,495)</w:t>
            </w:r>
          </w:p>
        </w:tc>
        <w:tc>
          <w:tcPr>
            <w:tcW w:w="400" w:type="dxa"/>
            <w:vAlign w:val="bottom"/>
            <w:tcBorders>
              <w:bottom w:val="single" w:sz="8" w:color="CCEEFF"/>
            </w:tcBorders>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(7,958,086)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temporary equity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13,366,548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Allocation of net income (loss)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7,874,053</w:t>
            </w:r>
          </w:p>
        </w:tc>
        <w:tc>
          <w:tcPr>
            <w:tcW w:w="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(7,958,086</w:t>
            </w:r>
          </w:p>
        </w:tc>
        <w:tc>
          <w:tcPr>
            <w:tcW w:w="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As of March 31, 2022 and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7" w:name="page208"/>
    <w:bookmarkEnd w:id="20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0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8" w:name="page209"/>
    <w:bookmarkEnd w:id="20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3 — Initial Public Offering</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0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5"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4 — Private Placement</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0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9" w:name="page210"/>
    <w:bookmarkEnd w:id="20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5 — Related Party Transactions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1"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0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 (See Note 9).</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44"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March 31, 2022 and December 31, 2021, no such Working Capital Loans were outstanding.</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0" w:name="page211"/>
    <w:bookmarkEnd w:id="21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5 — Related Party Transactions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SP an aggregate fee of $10,000 per month for providing the Company with office space and certain office and secretarial services. The Company has recorded $30,000 and $7,097 for the three months ended March 31, 2022 and March 31, 2021, respectively.</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6 — Fair Value Measurements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5"/>
        </w:trPr>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5"/>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6"/>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2"/>
        </w:trPr>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6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6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 price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4"/>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9"/>
        </w:trPr>
        <w:tc>
          <w:tcPr>
            <w:tcW w:w="6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following tables present information about the Company’s assets and liabilities that were measured at fair value on a recurring basis as of March 31, 2022 and December 31, 2021 and indicate the fair value hierarchy of the valuation techniques the Company utilized to determine such fair value.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1" w:name="page212"/>
    <w:bookmarkEnd w:id="21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5"/>
              </w:rPr>
              <w:t>Prices In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30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3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tcBorders>
              <w:left w:val="single" w:sz="8" w:color="CCEEFF"/>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left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71"/>
              </w:rPr>
              <w:t>—</w:t>
            </w:r>
          </w:p>
        </w:tc>
        <w:tc>
          <w:tcPr>
            <w:tcW w:w="260" w:type="dxa"/>
            <w:vAlign w:val="bottom"/>
            <w:tcBorders>
              <w:left w:val="single" w:sz="8" w:color="CCEEFF"/>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0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30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380" w:type="dxa"/>
            <w:vAlign w:val="bottom"/>
            <w:gridSpan w:val="3"/>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5"/>
          </w:tcPr>
          <w:p>
            <w:pPr>
              <w:jc w:val="right"/>
              <w:ind w:right="2"/>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3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tcBorders>
              <w:left w:val="single" w:sz="8" w:color="CCEEFF"/>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left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60" w:type="dxa"/>
            <w:vAlign w:val="bottom"/>
            <w:tcBorders>
              <w:left w:val="single" w:sz="8" w:color="CCEEFF"/>
              <w:bottom w:val="single" w:sz="8" w:color="CCEEFF"/>
            </w:tcBorders>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8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5"/>
          </w:tcPr>
          <w:p>
            <w:pPr>
              <w:jc w:val="right"/>
              <w:ind w:right="2"/>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31, 2022 and December 31, 2021 was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March 15, 2021:</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w w:val="94"/>
              </w:rPr>
              <w:t>March 15, 2021</w:t>
            </w:r>
          </w:p>
        </w:tc>
      </w:tr>
      <w:tr>
        <w:trPr>
          <w:trHeight w:val="45"/>
        </w:trPr>
        <w:tc>
          <w:tcPr>
            <w:tcW w:w="270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2"/>
        </w:trPr>
        <w:tc>
          <w:tcPr>
            <w:tcW w:w="2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Expected term (years)</w:t>
            </w:r>
          </w:p>
        </w:tc>
        <w:tc>
          <w:tcPr>
            <w:tcW w:w="3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2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Expected volatility</w:t>
            </w: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27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2"/>
        </w:trPr>
        <w:tc>
          <w:tcPr>
            <w:tcW w:w="2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Risk-free interest rate</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2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 price</w:t>
            </w:r>
          </w:p>
        </w:tc>
        <w:tc>
          <w:tcPr>
            <w:tcW w:w="3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27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2"/>
        </w:trPr>
        <w:tc>
          <w:tcPr>
            <w:tcW w:w="2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Dividend yield</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Exercise price</w:t>
            </w:r>
          </w:p>
        </w:tc>
        <w:tc>
          <w:tcPr>
            <w:tcW w:w="3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11.5</w:t>
            </w:r>
          </w:p>
        </w:tc>
      </w:tr>
      <w:tr>
        <w:trPr>
          <w:trHeight w:val="415"/>
        </w:trPr>
        <w:tc>
          <w:tcPr>
            <w:tcW w:w="27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3"/>
          </w:tcPr>
          <w:p>
            <w:pPr>
              <w:jc w:val="right"/>
              <w:ind w:right="2620"/>
              <w:spacing w:after="0"/>
              <w:rPr>
                <w:sz w:val="20"/>
                <w:szCs w:val="20"/>
                <w:color w:val="auto"/>
              </w:rPr>
            </w:pPr>
            <w:r>
              <w:rPr>
                <w:rFonts w:ascii="Times New Roman" w:cs="Times New Roman" w:eastAsia="Times New Roman" w:hAnsi="Times New Roman"/>
                <w:sz w:val="17"/>
                <w:szCs w:val="17"/>
                <w:color w:val="auto"/>
              </w:rPr>
              <w:t>F-81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2" w:name="page213"/>
    <w:bookmarkEnd w:id="21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2"/>
        </w:trPr>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6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6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 price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Exercise price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March 31, 2022:</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w w:val="94"/>
              </w:rPr>
              <w:t>March 31, 2022</w:t>
            </w:r>
          </w:p>
        </w:tc>
      </w:tr>
      <w:tr>
        <w:trPr>
          <w:trHeight w:val="45"/>
        </w:trPr>
        <w:tc>
          <w:tcPr>
            <w:tcW w:w="6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2"/>
        </w:trPr>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6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34"/>
        </w:trPr>
        <w:tc>
          <w:tcPr>
            <w:tcW w:w="6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 price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9.77</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Exercise price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2022:</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4520" w:type="dxa"/>
            <w:vAlign w:val="bottom"/>
          </w:tcPr>
          <w:p>
            <w:pPr>
              <w:spacing w:after="0"/>
              <w:rPr>
                <w:sz w:val="17"/>
                <w:szCs w:val="17"/>
                <w:color w:val="auto"/>
              </w:rPr>
            </w:pPr>
          </w:p>
        </w:tc>
        <w:tc>
          <w:tcPr>
            <w:tcW w:w="3260" w:type="dxa"/>
            <w:vAlign w:val="bottom"/>
            <w:gridSpan w:val="4"/>
          </w:tcPr>
          <w:p>
            <w:pPr>
              <w:ind w:left="2060"/>
              <w:spacing w:after="0"/>
              <w:rPr>
                <w:sz w:val="20"/>
                <w:szCs w:val="20"/>
                <w:color w:val="auto"/>
              </w:rPr>
            </w:pPr>
            <w:r>
              <w:rPr>
                <w:rFonts w:ascii="Times New Roman" w:cs="Times New Roman" w:eastAsia="Times New Roman" w:hAnsi="Times New Roman"/>
                <w:sz w:val="16"/>
                <w:szCs w:val="16"/>
                <w:b w:val="1"/>
                <w:bCs w:val="1"/>
                <w:color w:val="auto"/>
                <w:w w:val="95"/>
              </w:rPr>
              <w:t>Warrant Liability</w:t>
            </w:r>
          </w:p>
        </w:tc>
      </w:tr>
      <w:tr>
        <w:trPr>
          <w:trHeight w:val="45"/>
        </w:trPr>
        <w:tc>
          <w:tcPr>
            <w:tcW w:w="452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2"/>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4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(92,746)</w:t>
            </w:r>
          </w:p>
        </w:tc>
      </w:tr>
      <w:tr>
        <w:trPr>
          <w:trHeight w:val="26"/>
        </w:trPr>
        <w:tc>
          <w:tcPr>
            <w:tcW w:w="45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March 31, 2022</w:t>
            </w:r>
          </w:p>
        </w:tc>
        <w:tc>
          <w:tcPr>
            <w:tcW w:w="236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20" w:type="dxa"/>
            <w:vAlign w:val="bottom"/>
            <w:shd w:val="clear" w:color="auto" w:fill="CCEEFF"/>
          </w:tcPr>
          <w:p>
            <w:pPr>
              <w:spacing w:after="0"/>
              <w:rPr>
                <w:sz w:val="20"/>
                <w:szCs w:val="20"/>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0"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2021:</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658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5"/>
              </w:rPr>
              <w:t>Warrant Liability</w:t>
            </w:r>
          </w:p>
        </w:tc>
        <w:tc>
          <w:tcPr>
            <w:tcW w:w="0" w:type="dxa"/>
            <w:vAlign w:val="bottom"/>
          </w:tcPr>
          <w:p>
            <w:pPr>
              <w:spacing w:after="0"/>
              <w:rPr>
                <w:sz w:val="1"/>
                <w:szCs w:val="1"/>
                <w:color w:val="auto"/>
              </w:rPr>
            </w:pPr>
          </w:p>
        </w:tc>
      </w:tr>
      <w:tr>
        <w:trPr>
          <w:trHeight w:val="45"/>
        </w:trPr>
        <w:tc>
          <w:tcPr>
            <w:tcW w:w="65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6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Initial valuation of warrant liability</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6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Fair value as of March 31, 2021</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580" w:type="dxa"/>
            <w:vAlign w:val="bottom"/>
            <w:vMerge w:val="continue"/>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273,424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7 — Commitments and Contingencies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3" w:name="page214"/>
    <w:bookmarkEnd w:id="21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59" w:lineRule="auto"/>
        <w:rPr>
          <w:sz w:val="20"/>
          <w:szCs w:val="20"/>
          <w:color w:val="auto"/>
        </w:rPr>
      </w:pPr>
      <w:r>
        <w:rPr>
          <w:rFonts w:ascii="Times New Roman" w:cs="Times New Roman" w:eastAsia="Times New Roman" w:hAnsi="Times New Roman"/>
          <w:sz w:val="17"/>
          <w:szCs w:val="17"/>
          <w:color w:val="auto"/>
        </w:rPr>
        <w:t>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57"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6). On March 10, 2021, the Company effected a stock dividend of 0.2 shares of common stock for every share of common stock outstanding, resulting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4" w:name="page215"/>
    <w:bookmarkEnd w:id="21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60" w:lineRule="auto"/>
        <w:rPr>
          <w:sz w:val="20"/>
          <w:szCs w:val="20"/>
          <w:color w:val="auto"/>
        </w:rPr>
      </w:pPr>
      <w:r>
        <w:rPr>
          <w:rFonts w:ascii="Times New Roman" w:cs="Times New Roman" w:eastAsia="Times New Roman" w:hAnsi="Times New Roman"/>
          <w:sz w:val="17"/>
          <w:szCs w:val="17"/>
          <w:color w:val="auto"/>
        </w:rPr>
        <w:t>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0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4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July 1, 2021, the Company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For the three-month period ended March 31, 2022, the Company had accrued a total of $100,000 of legal fees.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which Dr. Julia had introduced to the Company. Pursuant to the consulting agreement, upon the closing of the Business Combination, Dr. Julia will be entitled to a finder’s fee of $2,660,000.</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8 — Stockholders’ Equity</w:t>
      </w:r>
    </w:p>
    <w:p>
      <w:pPr>
        <w:spacing w:after="0" w:line="153" w:lineRule="exact"/>
        <w:rPr>
          <w:sz w:val="20"/>
          <w:szCs w:val="20"/>
          <w:color w:val="auto"/>
        </w:rPr>
      </w:pPr>
    </w:p>
    <w:p>
      <w:pPr>
        <w:jc w:val="both"/>
        <w:ind w:left="620" w:right="639" w:firstLine="415"/>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March 31, 2022 and December 31, 2021, there were no shares of preferred stock issued or outstanding.</w:t>
      </w:r>
    </w:p>
    <w:p>
      <w:pPr>
        <w:spacing w:after="0" w:line="80" w:lineRule="exact"/>
        <w:rPr>
          <w:sz w:val="20"/>
          <w:szCs w:val="20"/>
          <w:color w:val="auto"/>
        </w:rPr>
      </w:pPr>
    </w:p>
    <w:p>
      <w:pPr>
        <w:jc w:val="both"/>
        <w:ind w:left="620" w:right="619" w:firstLine="415"/>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March 31, 2022 and December 31, 2021, there were 4,161,000 shares of common stock issued and outstanding, excluding 13,300,000 shares of common stock subject to possible redemption.</w:t>
      </w:r>
    </w:p>
    <w:p>
      <w:pPr>
        <w:spacing w:after="0" w:line="3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59"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5" w:name="page216"/>
    <w:bookmarkEnd w:id="21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8 — Stockholders’ Equity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1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90" w:lineRule="exact"/>
        <w:rPr>
          <w:sz w:val="20"/>
          <w:szCs w:val="20"/>
          <w:color w:val="auto"/>
        </w:rPr>
      </w:pPr>
    </w:p>
    <w:p>
      <w:pPr>
        <w:ind w:left="1440" w:hanging="411"/>
        <w:spacing w:after="0"/>
        <w:tabs>
          <w:tab w:leader="none" w:pos="14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54" w:lineRule="exact"/>
        <w:rPr>
          <w:rFonts w:ascii="Times New Roman" w:cs="Times New Roman" w:eastAsia="Times New Roman" w:hAnsi="Times New Roman"/>
          <w:sz w:val="17"/>
          <w:szCs w:val="17"/>
          <w:color w:val="auto"/>
        </w:rPr>
      </w:pPr>
    </w:p>
    <w:p>
      <w:pPr>
        <w:jc w:val="both"/>
        <w:ind w:left="1440" w:right="639" w:hanging="411"/>
        <w:spacing w:after="0" w:line="265" w:lineRule="auto"/>
        <w:tabs>
          <w:tab w:leader="none" w:pos="143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03"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8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9 — Subsequent Events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unaudited condensed financial statements were issued.</w:t>
      </w:r>
    </w:p>
    <w:p>
      <w:pPr>
        <w:spacing w:after="0" w:line="69"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On April 9, 2022, the Company entered into a subscription agreement with an accredited investor (the “New Subscriber”) pursuant to which the New Subscriber agreed to purchase, and the Company has agreed to sell, 200,000 shares of common stock, par value $0.0001 per share, at a purchase price of $10.00 per share for gross proceeds of $2,000,000.</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6" w:name="page217"/>
    <w:bookmarkEnd w:id="21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9 — Subsequent Events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Northland to serve as a capital markets advisor in connection with the Business Combination. The Company agreed an advisory fee in the amount of $500,000 payable to Northland upon the closing of the Business Combination, plus expenses. In addition to the advisory fee, the Company agreed to consider awarding, at the Company’s sole discretion, a discretionary fee to Northland in an amount not to exceed 2% of the balance of the funds in the Trust Account remaining after the closing. No such fee was paid.</w:t>
      </w:r>
    </w:p>
    <w:p>
      <w:pPr>
        <w:spacing w:after="0" w:line="1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Wedbush to act as the Company’s strategic financial advisor in connection with the Business Combination. The Company agreed to pay Wedbush a fee in the amount of $750,000, with $500,000 payable no later than ten days after the close of the Business Combination and the remaining $250,000 payable in six monthly installments of $41,667 with the installment payments starting the first month after the close.</w:t>
      </w:r>
    </w:p>
    <w:p>
      <w:pPr>
        <w:spacing w:after="0" w:line="9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On April 13, 2022, the Company entered into an agreement to engage IB CAP to act as the Company’s financial advisor and marketing agent in connection with the Business Combination. The Company agreed a fee in the amount of $550,000 payable to IB CAP upon the closing of the Business Combination. An affiliate of IB CAP acted as a “qualified independent underwriter” and co-manager in the Company’s Initial Public Offering.</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April 14, 2022, the Company amended the lock-up agreement (the “Amendment”) previously entered into with the chief executive officer of SoundHound, Keyvan Mohajer, to extend the lock-up period applicable to Mr. Mohajer from six months to one year from the date of the closing of the Business Combination.</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April 18, 2022, the Company entered into an agreement to engage CF&amp;CO to act as the Company’s capital markets advisor in connection with the Business Combination. The Company agreed to pay an advisory fee in the amount of $750,000 to CF&amp;CO upon the closing of the Business Combination, plus expenses.</w:t>
      </w:r>
    </w:p>
    <w:p>
      <w:pPr>
        <w:spacing w:after="0" w:line="8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05"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In connection with the Business Combination, an aggregate of $127,679,500 was paid from the Company’s Trust Account to holders that properly exercised their right to have their Public Shares redeemed, with remaining Trust Proceeds of approximately $5,356,628. Additionally, pursuant to subscription agreements the Company had previously entered into with certain Subscribers, the Subscribers purchased an aggregate of 11,300,000 shares of Class A Common Stock of the combined company for a purchase price of $10.00 per share in a private placement that closed concurrently with the Business Combination, for total PIPE Proceeds of $113,000,000.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7" w:name="page218"/>
    <w:bookmarkEnd w:id="21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Accounts receivable, net of allowances of $109 as of June 30, 2022 and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December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issuance cost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27,471</w:t>
            </w: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cash equivalents, non-current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0" w:type="dxa"/>
            <w:vAlign w:val="bottom"/>
          </w:tcPr>
          <w:p>
            <w:pPr>
              <w:spacing w:after="0"/>
              <w:rPr>
                <w:sz w:val="1"/>
                <w:szCs w:val="1"/>
                <w:color w:val="auto"/>
              </w:rPr>
            </w:pPr>
          </w:p>
        </w:tc>
      </w:tr>
      <w:tr>
        <w:trPr>
          <w:trHeight w:val="39"/>
        </w:trPr>
        <w:tc>
          <w:tcPr>
            <w:tcW w:w="5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10,291</w:t>
            </w: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0" w:type="dxa"/>
            <w:vAlign w:val="bottom"/>
          </w:tcPr>
          <w:p>
            <w:pPr>
              <w:spacing w:after="0"/>
              <w:rPr>
                <w:sz w:val="1"/>
                <w:szCs w:val="1"/>
                <w:color w:val="auto"/>
              </w:rPr>
            </w:pPr>
          </w:p>
        </w:tc>
      </w:tr>
      <w:tr>
        <w:trPr>
          <w:trHeight w:val="39"/>
        </w:trPr>
        <w:tc>
          <w:tcPr>
            <w:tcW w:w="5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Debt issuance cost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offering costs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0" w:type="dxa"/>
            <w:vAlign w:val="bottom"/>
          </w:tcPr>
          <w:p>
            <w:pPr>
              <w:spacing w:after="0"/>
              <w:rPr>
                <w:sz w:val="1"/>
                <w:szCs w:val="1"/>
                <w:color w:val="auto"/>
              </w:rPr>
            </w:pPr>
          </w:p>
        </w:tc>
      </w:tr>
      <w:tr>
        <w:trPr>
          <w:trHeight w:val="246"/>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89,803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20" w:type="dxa"/>
            <w:vAlign w:val="bottom"/>
            <w:shd w:val="clear" w:color="auto" w:fill="CCEEFF"/>
          </w:tcPr>
          <w:p>
            <w:pPr>
              <w:ind w:left="220"/>
              <w:spacing w:after="0" w:line="187" w:lineRule="exact"/>
              <w:rPr>
                <w:sz w:val="20"/>
                <w:szCs w:val="20"/>
                <w:color w:val="auto"/>
              </w:rPr>
            </w:pPr>
            <w:r>
              <w:rPr>
                <w:rFonts w:ascii="Times New Roman" w:cs="Times New Roman" w:eastAsia="Times New Roman" w:hAnsi="Times New Roman"/>
                <w:sz w:val="17"/>
                <w:szCs w:val="17"/>
                <w:b w:val="1"/>
                <w:bCs w:val="1"/>
                <w:color w:val="auto"/>
              </w:rPr>
              <w:t>LIABILITIES, REDEEMABLE CONVERTIBLE PREFERRED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liability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liability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Notes payable</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40,880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0" w:type="dxa"/>
            <w:vAlign w:val="bottom"/>
          </w:tcPr>
          <w:p>
            <w:pPr>
              <w:spacing w:after="0"/>
              <w:rPr>
                <w:sz w:val="1"/>
                <w:szCs w:val="1"/>
                <w:color w:val="auto"/>
              </w:rPr>
            </w:pPr>
          </w:p>
        </w:tc>
      </w:tr>
      <w:tr>
        <w:trPr>
          <w:trHeight w:val="33"/>
        </w:trPr>
        <w:tc>
          <w:tcPr>
            <w:tcW w:w="5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3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0" w:type="dxa"/>
            <w:vAlign w:val="bottom"/>
          </w:tcPr>
          <w:p>
            <w:pPr>
              <w:spacing w:after="0"/>
              <w:rPr>
                <w:sz w:val="1"/>
                <w:szCs w:val="1"/>
                <w:color w:val="auto"/>
              </w:rPr>
            </w:pPr>
          </w:p>
        </w:tc>
      </w:tr>
      <w:tr>
        <w:trPr>
          <w:trHeight w:val="39"/>
        </w:trPr>
        <w:tc>
          <w:tcPr>
            <w:tcW w:w="5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liabilities,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14,959</w:t>
            </w:r>
          </w:p>
        </w:tc>
        <w:tc>
          <w:tcPr>
            <w:tcW w:w="0" w:type="dxa"/>
            <w:vAlign w:val="bottom"/>
          </w:tcPr>
          <w:p>
            <w:pPr>
              <w:spacing w:after="0"/>
              <w:rPr>
                <w:sz w:val="1"/>
                <w:szCs w:val="1"/>
                <w:color w:val="auto"/>
              </w:rPr>
            </w:pPr>
          </w:p>
        </w:tc>
      </w:tr>
      <w:tr>
        <w:trPr>
          <w:trHeight w:val="39"/>
        </w:trPr>
        <w:tc>
          <w:tcPr>
            <w:tcW w:w="5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112,937</w:t>
            </w:r>
          </w:p>
        </w:tc>
        <w:tc>
          <w:tcPr>
            <w:tcW w:w="0" w:type="dxa"/>
            <w:vAlign w:val="bottom"/>
          </w:tcPr>
          <w:p>
            <w:pPr>
              <w:spacing w:after="0"/>
              <w:rPr>
                <w:sz w:val="1"/>
                <w:szCs w:val="1"/>
                <w:color w:val="auto"/>
              </w:rPr>
            </w:pPr>
          </w:p>
        </w:tc>
      </w:tr>
      <w:tr>
        <w:trPr>
          <w:trHeight w:val="226"/>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Commitments and contingencies (Note 7)</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Legacy SoundHound redeemable convertible preferred stock; $0.0001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par value; 0 and 146,218,514 shares authorized; 0 and 106,949,326 shares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issued and outstanding, liquidation preference of $0 and $284,826 as of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June 30, 2022 and December 31, 2021, respectively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279,503</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32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7"/>
                <w:szCs w:val="17"/>
                <w:color w:val="auto"/>
              </w:rPr>
              <w:t>F-87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18" w:name="page219"/>
    <w:bookmarkEnd w:id="21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0"/>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189"/>
        </w:trPr>
        <w:tc>
          <w:tcPr>
            <w:tcW w:w="526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Legacy SoundHound Common Stock, $0.0001 par value; 250,030,433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7"/>
        </w:trPr>
        <w:tc>
          <w:tcPr>
            <w:tcW w:w="5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shares authorized; 0 and 68,258,556 shares issued and outstanding as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6"/>
        </w:trPr>
        <w:tc>
          <w:tcPr>
            <w:tcW w:w="5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of June 30, 2022 and December 31, 2021, respectively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r>
      <w:tr>
        <w:trPr>
          <w:trHeight w:val="39"/>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9"/>
        </w:trPr>
        <w:tc>
          <w:tcPr>
            <w:tcW w:w="526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Class A Common Stock, $0.0001 par value; 455,000,000 shares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7"/>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authorized; 156,266,549 and 0 shares issued and outstanding as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5"/>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June 30, 2022 and December 31, 2021,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r>
      <w:tr>
        <w:trPr>
          <w:trHeight w:val="189"/>
        </w:trPr>
        <w:tc>
          <w:tcPr>
            <w:tcW w:w="526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Class B Common Stock, $0.0001 par value; 44,000,000 shares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7"/>
        </w:trPr>
        <w:tc>
          <w:tcPr>
            <w:tcW w:w="5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authorized; 40,396,600 and 0 shares issued and outstanding as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6"/>
        </w:trPr>
        <w:tc>
          <w:tcPr>
            <w:tcW w:w="5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June 30, 2022 and December 31, 2021, respectively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447,136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6"/>
        </w:trPr>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(442,500)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(386,729)</w:t>
            </w:r>
          </w:p>
        </w:tc>
      </w:tr>
      <w:tr>
        <w:trPr>
          <w:trHeight w:val="26"/>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2"/>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(343,237</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69"/>
        </w:trPr>
        <w:tc>
          <w:tcPr>
            <w:tcW w:w="5260" w:type="dxa"/>
            <w:vAlign w:val="bottom"/>
          </w:tcPr>
          <w:p>
            <w:pPr>
              <w:ind w:left="340"/>
              <w:spacing w:after="0" w:line="169" w:lineRule="exact"/>
              <w:rPr>
                <w:sz w:val="20"/>
                <w:szCs w:val="20"/>
                <w:color w:val="auto"/>
              </w:rPr>
            </w:pPr>
            <w:r>
              <w:rPr>
                <w:rFonts w:ascii="Times New Roman" w:cs="Times New Roman" w:eastAsia="Times New Roman" w:hAnsi="Times New Roman"/>
                <w:sz w:val="17"/>
                <w:szCs w:val="17"/>
                <w:color w:val="auto"/>
              </w:rPr>
              <w:t>Total liabilities, redeemable convertible preferred stock, and</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45"/>
        </w:trPr>
        <w:tc>
          <w:tcPr>
            <w:tcW w:w="52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4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9" w:name="page220"/>
    <w:bookmarkEnd w:id="21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6"/>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6"/>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revenues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41,136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(28,930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(29,118</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
        </w:trPr>
        <w:tc>
          <w:tcPr>
            <w:tcW w:w="2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9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(3,042)</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(1,542)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other expense, net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9"/>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Unrealized holding gain on available-for-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 securities, net of tax</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(33,911</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(0.51)</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29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Weighted-average common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outstanding: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162,004,172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67,357,878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116,059,520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66,666,508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0" w:name="page221"/>
    <w:bookmarkEnd w:id="22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60" w:type="dxa"/>
            <w:vAlign w:val="bottom"/>
            <w:tcBorders>
              <w:top w:val="single" w:sz="8" w:color="auto"/>
              <w:right w:val="single" w:sz="8" w:color="auto"/>
            </w:tcBorders>
            <w:gridSpan w:val="6"/>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280" w:type="dxa"/>
            <w:vAlign w:val="bottom"/>
            <w:tcBorders>
              <w:top w:val="single" w:sz="8" w:color="auto"/>
            </w:tcBorders>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Legacy SoundHound</w:t>
            </w:r>
          </w:p>
        </w:tc>
        <w:tc>
          <w:tcPr>
            <w:tcW w:w="1080" w:type="dxa"/>
            <w:vAlign w:val="bottom"/>
            <w:tcBorders>
              <w:top w:val="single" w:sz="8" w:color="auto"/>
            </w:tcBorders>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Borders>
              <w:right w:val="single" w:sz="8" w:color="auto"/>
            </w:tcBorders>
            <w:gridSpan w:val="6"/>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Redeemable Convertible</w:t>
            </w:r>
          </w:p>
        </w:tc>
        <w:tc>
          <w:tcPr>
            <w:tcW w:w="1280" w:type="dxa"/>
            <w:vAlign w:val="bottom"/>
            <w:gridSpan w:val="7"/>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Borders>
              <w:right w:val="single" w:sz="8" w:color="auto"/>
            </w:tcBorders>
            <w:gridSpan w:val="6"/>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280" w:type="dxa"/>
            <w:vAlign w:val="bottom"/>
            <w:gridSpan w:val="7"/>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right"/>
              <w:ind w:right="51"/>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20" w:type="dxa"/>
            <w:vAlign w:val="bottom"/>
            <w:gridSpan w:val="8"/>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8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8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12,718,968</w:t>
            </w:r>
          </w:p>
        </w:tc>
        <w:tc>
          <w:tcPr>
            <w:tcW w:w="6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48,429</w:t>
            </w:r>
          </w:p>
        </w:tc>
        <w:tc>
          <w:tcPr>
            <w:tcW w:w="10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(411,832)</w:t>
            </w:r>
          </w:p>
        </w:tc>
        <w:tc>
          <w:tcPr>
            <w:tcW w:w="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(363,402)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380" w:type="dxa"/>
            <w:vAlign w:val="bottom"/>
            <w:tcBorders>
              <w:bottom w:val="single" w:sz="8" w:color="CCEEFF"/>
            </w:tcBorders>
            <w:gridSpan w:val="3"/>
            <w:vMerge w:val="continue"/>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87,700,789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(279,503)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57,969,213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279,503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70,688,181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327,932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(411,832)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152,910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Net exercise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673,416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Conversion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2,046,827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Effect of reverse</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recapitalization,</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net of costs</w:t>
            </w: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3"/>
              </w:rPr>
              <w:t>(73,561,334)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140,114,060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3)</w:t>
            </w: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financing</w:t>
            </w:r>
          </w:p>
        </w:tc>
        <w:tc>
          <w:tcPr>
            <w:tcW w:w="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11,300,000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pursuant to the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4,693,050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42,099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release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of restricted</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(30,668)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(30,668)</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80" w:type="dxa"/>
            <w:vAlign w:val="bottom"/>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156,266,549</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447,136</w:t>
            </w:r>
          </w:p>
        </w:tc>
        <w:tc>
          <w:tcPr>
            <w:tcW w:w="10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(442,500)</w:t>
            </w: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21" w:name="page222"/>
    <w:bookmarkEnd w:id="22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00" w:type="dxa"/>
            <w:vAlign w:val="bottom"/>
            <w:tcBorders>
              <w:top w:val="single" w:sz="8" w:color="auto"/>
              <w:right w:val="single" w:sz="8" w:color="auto"/>
            </w:tcBorders>
            <w:gridSpan w:val="4"/>
          </w:tcPr>
          <w:p>
            <w:pPr>
              <w:jc w:val="center"/>
              <w:ind w:right="3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980" w:type="dxa"/>
            <w:vAlign w:val="bottom"/>
            <w:tcBorders>
              <w:top w:val="single" w:sz="8" w:color="auto"/>
            </w:tcBorders>
            <w:gridSpan w:val="3"/>
          </w:tcPr>
          <w:p>
            <w:pPr>
              <w:jc w:val="center"/>
              <w:ind w:left="5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Borders>
              <w:right w:val="single" w:sz="8" w:color="auto"/>
            </w:tcBorders>
            <w:gridSpan w:val="5"/>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980" w:type="dxa"/>
            <w:vAlign w:val="bottom"/>
            <w:gridSpan w:val="3"/>
          </w:tcPr>
          <w:p>
            <w:pPr>
              <w:jc w:val="center"/>
              <w:ind w:left="51"/>
              <w:spacing w:after="0" w:line="143" w:lineRule="exact"/>
              <w:rPr>
                <w:sz w:val="20"/>
                <w:szCs w:val="20"/>
                <w:color w:val="auto"/>
              </w:rPr>
            </w:pPr>
            <w:r>
              <w:rPr>
                <w:rFonts w:ascii="Times New Roman" w:cs="Times New Roman" w:eastAsia="Times New Roman" w:hAnsi="Times New Roman"/>
                <w:sz w:val="14"/>
                <w:szCs w:val="14"/>
                <w:b w:val="1"/>
                <w:bCs w:val="1"/>
                <w:color w:val="auto"/>
                <w:w w:val="98"/>
              </w:rPr>
              <w:t>SoundHound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Borders>
              <w:right w:val="single" w:sz="8" w:color="auto"/>
            </w:tcBorders>
            <w:gridSpan w:val="4"/>
          </w:tcPr>
          <w:p>
            <w:pPr>
              <w:jc w:val="center"/>
              <w:ind w:right="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00" w:type="dxa"/>
            <w:vAlign w:val="bottom"/>
            <w:gridSpan w:val="5"/>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60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80" w:type="dxa"/>
            <w:vAlign w:val="bottom"/>
            <w:gridSpan w:val="9"/>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Comprehensive Accumulated</w:t>
            </w: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80" w:type="dxa"/>
            <w:vAlign w:val="bottom"/>
            <w:tcBorders>
              <w:right w:val="single" w:sz="8" w:color="auto"/>
            </w:tcBorders>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40" w:type="dxa"/>
            <w:vAlign w:val="bottom"/>
            <w:gridSpan w:val="1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560" w:type="dxa"/>
            <w:vAlign w:val="bottom"/>
            <w:gridSpan w:val="2"/>
            <w:vMerge w:val="continue"/>
          </w:tcPr>
          <w:p>
            <w:pPr>
              <w:spacing w:after="0"/>
              <w:rPr>
                <w:sz w:val="5"/>
                <w:szCs w:val="5"/>
                <w:color w:val="auto"/>
              </w:rPr>
            </w:pPr>
          </w:p>
        </w:tc>
        <w:tc>
          <w:tcPr>
            <w:tcW w:w="178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right w:val="single" w:sz="8" w:color="auto"/>
            </w:tcBorders>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640" w:type="dxa"/>
            <w:vAlign w:val="bottom"/>
            <w:gridSpan w:val="15"/>
            <w:vMerge w:val="continue"/>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19,132,387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12,116,611</w:t>
            </w: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33,423</w:t>
            </w:r>
          </w:p>
        </w:tc>
        <w:tc>
          <w:tcPr>
            <w:tcW w:w="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(326,449)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(293,026)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87,171,583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55,206,093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right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67,322,704</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(326,449)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(293,026)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311,187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320" w:type="dxa"/>
            <w:vAlign w:val="bottom"/>
            <w:tcBorders>
              <w:bottom w:val="single" w:sz="8" w:color="CCEEFF"/>
            </w:tcBorders>
            <w:gridSpan w:val="3"/>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net of tax</w:t>
            </w: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320" w:type="dxa"/>
            <w:vAlign w:val="bottom"/>
            <w:tcBorders>
              <w:bottom w:val="single" w:sz="8" w:color="CCEEFF"/>
            </w:tcBorders>
            <w:gridSpan w:val="3"/>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(14,652)</w:t>
            </w:r>
          </w:p>
        </w:tc>
        <w:tc>
          <w:tcPr>
            <w:tcW w:w="4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(14,652)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right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67,633,891</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39,084</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(341,101)</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(302,016)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480"/>
          </w:cols>
          <w:pgMar w:left="1440" w:top="264" w:right="979" w:bottom="1440" w:gutter="0" w:footer="0" w:header="0"/>
        </w:sectPr>
      </w:pPr>
    </w:p>
    <w:bookmarkStart w:id="222" w:name="page223"/>
    <w:bookmarkEnd w:id="22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60" w:type="dxa"/>
            <w:vAlign w:val="bottom"/>
            <w:tcBorders>
              <w:top w:val="single" w:sz="8" w:color="auto"/>
              <w:right w:val="single" w:sz="8" w:color="auto"/>
            </w:tcBorders>
            <w:gridSpan w:val="6"/>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280" w:type="dxa"/>
            <w:vAlign w:val="bottom"/>
            <w:tcBorders>
              <w:top w:val="single" w:sz="8" w:color="auto"/>
            </w:tcBorders>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Legacy SoundHound</w:t>
            </w:r>
          </w:p>
        </w:tc>
        <w:tc>
          <w:tcPr>
            <w:tcW w:w="1080" w:type="dxa"/>
            <w:vAlign w:val="bottom"/>
            <w:tcBorders>
              <w:top w:val="single" w:sz="8" w:color="auto"/>
            </w:tcBorders>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Borders>
              <w:right w:val="single" w:sz="8" w:color="auto"/>
            </w:tcBorders>
            <w:gridSpan w:val="6"/>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Redeemable Convertible</w:t>
            </w:r>
          </w:p>
        </w:tc>
        <w:tc>
          <w:tcPr>
            <w:tcW w:w="1280" w:type="dxa"/>
            <w:vAlign w:val="bottom"/>
            <w:gridSpan w:val="7"/>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Borders>
              <w:right w:val="single" w:sz="8" w:color="auto"/>
            </w:tcBorders>
            <w:gridSpan w:val="6"/>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280" w:type="dxa"/>
            <w:vAlign w:val="bottom"/>
            <w:gridSpan w:val="7"/>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right"/>
              <w:ind w:right="51"/>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20" w:type="dxa"/>
            <w:vAlign w:val="bottom"/>
            <w:gridSpan w:val="8"/>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8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12,280,051</w:t>
            </w:r>
          </w:p>
        </w:tc>
        <w:tc>
          <w:tcPr>
            <w:tcW w:w="6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0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(386,729)</w:t>
            </w:r>
          </w:p>
        </w:tc>
        <w:tc>
          <w:tcPr>
            <w:tcW w:w="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380" w:type="dxa"/>
            <w:vAlign w:val="bottom"/>
            <w:tcBorders>
              <w:bottom w:val="single" w:sz="8" w:color="CCEEFF"/>
            </w:tcBorders>
            <w:gridSpan w:val="3"/>
            <w:vMerge w:val="continue"/>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87,700,789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(279,503)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55,978,505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279,504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0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balance, beginning</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68,258,556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322,995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(386,729)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 common</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stock upon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exercise of stock</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2,582,535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Net exercise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673,416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Conversion of</w:t>
            </w:r>
          </w:p>
        </w:tc>
        <w:tc>
          <w:tcPr>
            <w:tcW w:w="6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2,046,827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note</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Effect of reverse</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recapitalization, net</w:t>
            </w: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3"/>
              </w:rPr>
              <w:t>(73,561,334)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140,114,060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costs (Note 3)</w:t>
            </w: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financing</w:t>
            </w:r>
          </w:p>
        </w:tc>
        <w:tc>
          <w:tcPr>
            <w:tcW w:w="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11,300,000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 Class A</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pursuant to the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4,693,050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 Class A</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 of</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42,099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 common</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stock upon</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release of restricted</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(55,771)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00" w:type="dxa"/>
            <w:vAlign w:val="bottom"/>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156,266,549</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447,136</w:t>
            </w:r>
          </w:p>
        </w:tc>
        <w:tc>
          <w:tcPr>
            <w:tcW w:w="10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(442,500)</w:t>
            </w: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23" w:name="page224"/>
    <w:bookmarkEnd w:id="22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00" w:type="dxa"/>
            <w:vAlign w:val="bottom"/>
            <w:tcBorders>
              <w:top w:val="single" w:sz="8" w:color="auto"/>
              <w:right w:val="single" w:sz="8" w:color="auto"/>
            </w:tcBorders>
            <w:gridSpan w:val="4"/>
          </w:tcPr>
          <w:p>
            <w:pPr>
              <w:jc w:val="center"/>
              <w:ind w:right="3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980" w:type="dxa"/>
            <w:vAlign w:val="bottom"/>
            <w:tcBorders>
              <w:top w:val="single" w:sz="8" w:color="auto"/>
            </w:tcBorders>
            <w:gridSpan w:val="3"/>
          </w:tcPr>
          <w:p>
            <w:pPr>
              <w:jc w:val="center"/>
              <w:ind w:left="5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Borders>
              <w:right w:val="single" w:sz="8" w:color="auto"/>
            </w:tcBorders>
            <w:gridSpan w:val="5"/>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980" w:type="dxa"/>
            <w:vAlign w:val="bottom"/>
            <w:gridSpan w:val="3"/>
          </w:tcPr>
          <w:p>
            <w:pPr>
              <w:jc w:val="center"/>
              <w:ind w:left="51"/>
              <w:spacing w:after="0" w:line="143" w:lineRule="exact"/>
              <w:rPr>
                <w:sz w:val="20"/>
                <w:szCs w:val="20"/>
                <w:color w:val="auto"/>
              </w:rPr>
            </w:pPr>
            <w:r>
              <w:rPr>
                <w:rFonts w:ascii="Times New Roman" w:cs="Times New Roman" w:eastAsia="Times New Roman" w:hAnsi="Times New Roman"/>
                <w:sz w:val="14"/>
                <w:szCs w:val="14"/>
                <w:b w:val="1"/>
                <w:bCs w:val="1"/>
                <w:color w:val="auto"/>
                <w:w w:val="98"/>
              </w:rPr>
              <w:t>SoundHound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Borders>
              <w:right w:val="single" w:sz="8" w:color="auto"/>
            </w:tcBorders>
            <w:gridSpan w:val="4"/>
          </w:tcPr>
          <w:p>
            <w:pPr>
              <w:jc w:val="center"/>
              <w:ind w:right="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00" w:type="dxa"/>
            <w:vAlign w:val="bottom"/>
            <w:gridSpan w:val="5"/>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60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80" w:type="dxa"/>
            <w:vAlign w:val="bottom"/>
            <w:gridSpan w:val="9"/>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Comprehensive Accumulated</w:t>
            </w: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80" w:type="dxa"/>
            <w:vAlign w:val="bottom"/>
            <w:tcBorders>
              <w:right w:val="single" w:sz="8" w:color="auto"/>
            </w:tcBorders>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40" w:type="dxa"/>
            <w:vAlign w:val="bottom"/>
            <w:gridSpan w:val="1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560" w:type="dxa"/>
            <w:vAlign w:val="bottom"/>
            <w:gridSpan w:val="2"/>
            <w:vMerge w:val="continue"/>
          </w:tcPr>
          <w:p>
            <w:pPr>
              <w:spacing w:after="0"/>
              <w:rPr>
                <w:sz w:val="5"/>
                <w:szCs w:val="5"/>
                <w:color w:val="auto"/>
              </w:rPr>
            </w:pPr>
          </w:p>
        </w:tc>
        <w:tc>
          <w:tcPr>
            <w:tcW w:w="178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right w:val="single" w:sz="8" w:color="auto"/>
            </w:tcBorders>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640" w:type="dxa"/>
            <w:vAlign w:val="bottom"/>
            <w:gridSpan w:val="15"/>
            <w:vMerge w:val="continue"/>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19,132,387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11,818,761</w:t>
            </w: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87,171,583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53,849,015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right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65,667,776</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1,966,115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320" w:type="dxa"/>
            <w:vAlign w:val="bottom"/>
            <w:tcBorders>
              <w:bottom w:val="single" w:sz="8" w:color="CCEEFF"/>
            </w:tcBorders>
            <w:gridSpan w:val="3"/>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net of tax</w:t>
            </w: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320" w:type="dxa"/>
            <w:vAlign w:val="bottom"/>
            <w:tcBorders>
              <w:bottom w:val="single" w:sz="8" w:color="CCEEFF"/>
            </w:tcBorders>
            <w:gridSpan w:val="3"/>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(33,912)</w:t>
            </w:r>
          </w:p>
        </w:tc>
        <w:tc>
          <w:tcPr>
            <w:tcW w:w="4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(33,912)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right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67,633,891</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39,084</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(341,101)</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(302,016)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9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480"/>
          </w:cols>
          <w:pgMar w:left="1440" w:top="264" w:right="979" w:bottom="1440" w:gutter="0" w:footer="0" w:header="0"/>
        </w:sectPr>
      </w:pPr>
    </w:p>
    <w:bookmarkStart w:id="224" w:name="page225"/>
    <w:bookmarkEnd w:id="22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6"/>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(55,771)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(33,912)</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debt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lease 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(2,323)</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Other current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(373)</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4"/>
        </w:trPr>
        <w:tc>
          <w:tcPr>
            <w:tcW w:w="53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(2,258)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(2,096)</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(4,845)</w:t>
            </w:r>
          </w:p>
        </w:tc>
        <w:tc>
          <w:tcPr>
            <w:tcW w:w="0" w:type="dxa"/>
            <w:vAlign w:val="bottom"/>
          </w:tcPr>
          <w:p>
            <w:pPr>
              <w:spacing w:after="0"/>
              <w:rPr>
                <w:sz w:val="1"/>
                <w:szCs w:val="1"/>
                <w:color w:val="auto"/>
              </w:rPr>
            </w:pPr>
          </w:p>
        </w:tc>
      </w:tr>
      <w:tr>
        <w:trPr>
          <w:trHeight w:val="246"/>
        </w:trPr>
        <w:tc>
          <w:tcPr>
            <w:tcW w:w="53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Other liabilities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(46,767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(32,625</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5"/>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5"/>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 net of issuance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note payable, net of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issuance of common stock upon exercise of 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Business Combination and PIPE, net of transaction costs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Payments on notes payable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(3,416)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(1,295)</w:t>
            </w:r>
          </w:p>
        </w:tc>
        <w:tc>
          <w:tcPr>
            <w:tcW w:w="0" w:type="dxa"/>
            <w:vAlign w:val="bottom"/>
          </w:tcPr>
          <w:p>
            <w:pPr>
              <w:spacing w:after="0"/>
              <w:rPr>
                <w:sz w:val="1"/>
                <w:szCs w:val="1"/>
                <w:color w:val="auto"/>
              </w:rPr>
            </w:pPr>
          </w:p>
        </w:tc>
      </w:tr>
      <w:tr>
        <w:trPr>
          <w:trHeight w:val="226"/>
        </w:trPr>
        <w:tc>
          <w:tcPr>
            <w:tcW w:w="53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00" w:type="dxa"/>
            <w:vAlign w:val="bottom"/>
            <w:shd w:val="clear" w:color="auto" w:fill="CCEEFF"/>
          </w:tcPr>
          <w:p>
            <w:pPr>
              <w:ind w:left="680"/>
              <w:spacing w:after="0" w:line="169" w:lineRule="exact"/>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beginning of period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end of period</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65,240</w:t>
            </w: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Reconciliation to amounts on the condensed consolidated balance sheets: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65,010</w:t>
            </w:r>
          </w:p>
        </w:tc>
        <w:tc>
          <w:tcPr>
            <w:tcW w:w="12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restricted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portion of restricted cash equivalents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00" w:type="dxa"/>
            <w:vAlign w:val="bottom"/>
            <w:shd w:val="clear" w:color="auto" w:fill="CCEEFF"/>
          </w:tcPr>
          <w:p>
            <w:pPr>
              <w:ind w:left="520"/>
              <w:spacing w:after="0" w:line="169" w:lineRule="exact"/>
              <w:rPr>
                <w:sz w:val="20"/>
                <w:szCs w:val="20"/>
                <w:color w:val="auto"/>
              </w:rPr>
            </w:pPr>
            <w:r>
              <w:rPr>
                <w:rFonts w:ascii="Times New Roman" w:cs="Times New Roman" w:eastAsia="Times New Roman" w:hAnsi="Times New Roman"/>
                <w:sz w:val="17"/>
                <w:szCs w:val="17"/>
                <w:color w:val="auto"/>
              </w:rPr>
              <w:t>Total cash, cash equivalents, and restricted cash equivalents shown</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 the condensed consolidated statements of cash flows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65,240</w:t>
            </w:r>
          </w:p>
        </w:tc>
        <w:tc>
          <w:tcPr>
            <w:tcW w:w="1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47,500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720"/>
              <w:spacing w:after="0"/>
              <w:rPr>
                <w:sz w:val="20"/>
                <w:szCs w:val="20"/>
                <w:color w:val="auto"/>
              </w:rPr>
            </w:pPr>
            <w:r>
              <w:rPr>
                <w:rFonts w:ascii="Times New Roman" w:cs="Times New Roman" w:eastAsia="Times New Roman" w:hAnsi="Times New Roman"/>
                <w:sz w:val="17"/>
                <w:szCs w:val="17"/>
                <w:color w:val="auto"/>
              </w:rPr>
              <w:t>F-94</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25" w:name="page226"/>
    <w:bookmarkEnd w:id="22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52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for: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3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26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5"/>
        </w:trPr>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Operating lease liabilities and right-of-use assets through adoption of</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ASC 842</w:t>
            </w: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4"/>
          </w:tcPr>
          <w:p>
            <w:pPr>
              <w:jc w:val="right"/>
              <w:ind w:right="174"/>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11,428</w:t>
            </w:r>
          </w:p>
        </w:tc>
        <w:tc>
          <w:tcPr>
            <w:tcW w:w="0" w:type="dxa"/>
            <w:vAlign w:val="bottom"/>
          </w:tcPr>
          <w:p>
            <w:pPr>
              <w:spacing w:after="0"/>
              <w:rPr>
                <w:sz w:val="1"/>
                <w:szCs w:val="1"/>
                <w:color w:val="auto"/>
              </w:rPr>
            </w:pPr>
          </w:p>
        </w:tc>
      </w:tr>
      <w:tr>
        <w:trPr>
          <w:trHeight w:val="148"/>
        </w:trPr>
        <w:tc>
          <w:tcPr>
            <w:tcW w:w="526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Conversion of convertible note into common stock pursuant to</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Business Combination</w:t>
            </w:r>
          </w:p>
        </w:tc>
        <w:tc>
          <w:tcPr>
            <w:tcW w:w="3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20,239</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40"/>
              <w:spacing w:after="0" w:line="189" w:lineRule="exact"/>
              <w:rPr>
                <w:sz w:val="20"/>
                <w:szCs w:val="20"/>
                <w:color w:val="auto"/>
              </w:rPr>
            </w:pPr>
            <w:r>
              <w:rPr>
                <w:rFonts w:ascii="Times New Roman" w:cs="Times New Roman" w:eastAsia="Times New Roman" w:hAnsi="Times New Roman"/>
                <w:sz w:val="17"/>
                <w:szCs w:val="17"/>
                <w:color w:val="auto"/>
              </w:rPr>
              <w:t>Unpaid deferred offering costs associated with the Business</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Combination</w:t>
            </w: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80" w:type="dxa"/>
            <w:vAlign w:val="bottom"/>
          </w:tcPr>
          <w:p>
            <w:pPr>
              <w:spacing w:after="0"/>
              <w:rPr>
                <w:sz w:val="24"/>
                <w:szCs w:val="24"/>
                <w:color w:val="auto"/>
              </w:rPr>
            </w:pPr>
          </w:p>
        </w:tc>
        <w:tc>
          <w:tcPr>
            <w:tcW w:w="36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526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Conversion of redeemable convertible preferred stock to common</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stock pursuant to Business Combination</w:t>
            </w:r>
          </w:p>
        </w:tc>
        <w:tc>
          <w:tcPr>
            <w:tcW w:w="3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279,503</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Debt discount through issuance of common stock warrants</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26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3,842</w:t>
            </w:r>
          </w:p>
        </w:tc>
        <w:tc>
          <w:tcPr>
            <w:tcW w:w="0" w:type="dxa"/>
            <w:vAlign w:val="bottom"/>
          </w:tcPr>
          <w:p>
            <w:pPr>
              <w:spacing w:after="0"/>
              <w:rPr>
                <w:sz w:val="1"/>
                <w:szCs w:val="1"/>
                <w:color w:val="auto"/>
              </w:rPr>
            </w:pPr>
          </w:p>
        </w:tc>
      </w:tr>
      <w:tr>
        <w:trPr>
          <w:trHeight w:val="212"/>
        </w:trPr>
        <w:tc>
          <w:tcPr>
            <w:tcW w:w="5260" w:type="dxa"/>
            <w:vAlign w:val="bottom"/>
            <w:tcBorders>
              <w:bottom w:val="single" w:sz="8" w:color="CCEEFF"/>
            </w:tcBorders>
            <w:shd w:val="clear" w:color="auto" w:fill="CCEEFF"/>
          </w:tcPr>
          <w:p>
            <w:pPr>
              <w:ind w:left="340"/>
              <w:spacing w:after="0" w:line="190" w:lineRule="exact"/>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Property and equipment acquired under finance leases or debt</w:t>
            </w:r>
          </w:p>
        </w:tc>
        <w:tc>
          <w:tcPr>
            <w:tcW w:w="3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6" w:name="page227"/>
    <w:bookmarkEnd w:id="22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20" w:right="6419" w:hanging="405"/>
        <w:spacing w:after="0" w:line="423" w:lineRule="auto"/>
        <w:tabs>
          <w:tab w:leader="none" w:pos="994"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u w:val="single" w:color="auto"/>
          <w:color w:val="auto"/>
        </w:rPr>
        <w:t>Nature of Operations</w:t>
      </w: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16"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99"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 xml:space="preserve">Legacy SoundHound determined that it was the accounting acquirer in the Business Combination based on an analysis of the criteria outlined in Accounting Standards Codification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determination was primarily based on the following facts:</w:t>
      </w:r>
    </w:p>
    <w:p>
      <w:pPr>
        <w:spacing w:after="0" w:line="98" w:lineRule="exact"/>
        <w:rPr>
          <w:sz w:val="20"/>
          <w:szCs w:val="20"/>
          <w:color w:val="auto"/>
        </w:rPr>
      </w:pPr>
    </w:p>
    <w:p>
      <w:pPr>
        <w:ind w:left="1860" w:hanging="416"/>
        <w:spacing w:after="0"/>
        <w:tabs>
          <w:tab w:leader="none" w:pos="18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Legacy SoundHound stockholders have a controlling voting interest in the Company;</w:t>
      </w:r>
    </w:p>
    <w:p>
      <w:pPr>
        <w:spacing w:after="0" w:line="154" w:lineRule="exact"/>
        <w:rPr>
          <w:rFonts w:ascii="Times New Roman" w:cs="Times New Roman" w:eastAsia="Times New Roman" w:hAnsi="Times New Roman"/>
          <w:sz w:val="17"/>
          <w:szCs w:val="17"/>
          <w:color w:val="auto"/>
        </w:rPr>
      </w:pPr>
    </w:p>
    <w:p>
      <w:pPr>
        <w:jc w:val="both"/>
        <w:ind w:left="1860" w:right="639" w:hanging="416"/>
        <w:spacing w:after="0" w:line="273" w:lineRule="auto"/>
        <w:tabs>
          <w:tab w:leader="none" w:pos="1856"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board of directors immediately after the closing of the Business Combination was comprised of five board members, primarily from the board of directors of Legacy SoundHound; and</w:t>
      </w:r>
    </w:p>
    <w:p>
      <w:pPr>
        <w:spacing w:after="0" w:line="84" w:lineRule="exact"/>
        <w:rPr>
          <w:rFonts w:ascii="Times New Roman" w:cs="Times New Roman" w:eastAsia="Times New Roman" w:hAnsi="Times New Roman"/>
          <w:sz w:val="17"/>
          <w:szCs w:val="17"/>
          <w:color w:val="auto"/>
        </w:rPr>
      </w:pPr>
    </w:p>
    <w:p>
      <w:pPr>
        <w:jc w:val="both"/>
        <w:ind w:left="1860" w:right="639" w:hanging="416"/>
        <w:spacing w:after="0" w:line="273" w:lineRule="auto"/>
        <w:tabs>
          <w:tab w:leader="none" w:pos="1856"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management continues to hold executive management roles for the Company following the Business Combination and are responsible for the day-to-day operations.</w:t>
      </w:r>
    </w:p>
    <w:p>
      <w:pPr>
        <w:spacing w:after="0" w:line="98" w:lineRule="exact"/>
        <w:rPr>
          <w:sz w:val="20"/>
          <w:szCs w:val="20"/>
          <w:color w:val="auto"/>
        </w:rPr>
      </w:pPr>
    </w:p>
    <w:p>
      <w:pPr>
        <w:jc w:val="both"/>
        <w:ind w:left="1020" w:right="639"/>
        <w:spacing w:after="0" w:line="263" w:lineRule="auto"/>
        <w:rPr>
          <w:sz w:val="20"/>
          <w:szCs w:val="20"/>
          <w:color w:val="auto"/>
        </w:rPr>
      </w:pPr>
      <w:r>
        <w:rPr>
          <w:rFonts w:ascii="Times New Roman" w:cs="Times New Roman" w:eastAsia="Times New Roman" w:hAnsi="Times New Roman"/>
          <w:sz w:val="17"/>
          <w:szCs w:val="17"/>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316"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7" w:name="page228"/>
    <w:bookmarkEnd w:id="22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financial statements included in this report reflect (i) the historical operating results of Legacy SoundHound 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0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3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44"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and reported a net loss of $30,668 and $55,711 for the three and six months ended June 30, 2022, respectively. As of June 30, 2022, the Company had an accumulated deficit of $442,500. Management expects to continue to incur additional substantial losses in the foreseeable future as a result of research and development activities. The Company has historically funded its operations primarily through equity or debt financings.</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Total cash and cash equivalents on hand as of June 30, 2022 was $65,010. The Company’s condensed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equity and future access to capital. Although the Company has incurred recurring losses each year since its inception, the Company expects its cash and cash equivalents will be able to fund its operations for at least the next twelve months.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9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 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8" w:name="page229"/>
    <w:bookmarkEnd w:id="22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383" w:lineRule="exact"/>
        <w:rPr>
          <w:sz w:val="20"/>
          <w:szCs w:val="20"/>
          <w:color w:val="auto"/>
        </w:rPr>
      </w:pPr>
    </w:p>
    <w:p>
      <w:pPr>
        <w:ind w:left="1000" w:hanging="385"/>
        <w:spacing w:after="0"/>
        <w:tabs>
          <w:tab w:leader="none" w:pos="100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57"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The (a) condensed consolidated balance sheet as of December 31, 2021, which has been derived from audited financial statements as filed in the Company’s Form S-1/A on July 13, 2022,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six months ended June 30, 2022 are not necessarily indicative of the results for the fiscal year ending December 31, 2022 or any future interim period.</w:t>
      </w:r>
    </w:p>
    <w:p>
      <w:pPr>
        <w:spacing w:after="0" w:line="105"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57"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Company’s condensed consolidated financial statements include the accounts of the Company and its wholly owned subsidiaries. All intercompany accounts and transactions have been eliminated in consolidation.</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reclassifications or combinations of certain accounts on the condensed consolidated balance sheets.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9" w:name="page230"/>
    <w:bookmarkEnd w:id="22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2021.</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six months ended June 30, 2022, the Company recognized net (gains)/losses related to foreign currency transactions and remeasurements of $(177) and $287, respectively, in the condensed consolidated statements of operations and comprehensive loss as other income (expense), net. During the three and six months ended June 30, 2021, the Company recognized net (gains)/losses related to foreign currency transactions and remeasurements of $(94) and $273, respectively, in the condensed consolidated statements of operations and comprehensive loss as other income (expense), net.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0" w:name="page231"/>
    <w:bookmarkEnd w:id="23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44"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9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June 30, 2022, accounts receivable balances due from four customers collectively totaled 54% of the Company’s condensed consolidated accounts receivable balance. As of December 31, 2021, accounts receivable balances due from five customers collectively totaled 86% of the Company’s condensed consolidated accounts receivable balance.</w:t>
      </w:r>
    </w:p>
    <w:p>
      <w:pPr>
        <w:spacing w:after="0" w:line="10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For the six months ended June 30, 2022, the Company had four customers that accounted for 70% of revenue, and for the six months ended June 30, 2021, the Company had two customers that accounted for 64% of revenue.</w:t>
      </w:r>
    </w:p>
    <w:p>
      <w:pPr>
        <w:spacing w:after="0" w:line="85"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For the three months ended June 30, 2022, the Company had four customers that accounted for 77% of revenue, and for the three months ended June 30, 2021, the Company had two customers that accounted for 71% of revenue.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$4,068 of deferred offering costs.</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92" w:lineRule="exact"/>
        <w:rPr>
          <w:sz w:val="20"/>
          <w:szCs w:val="20"/>
          <w:color w:val="auto"/>
        </w:rPr>
      </w:pPr>
    </w:p>
    <w:p>
      <w:pPr>
        <w:ind w:left="1820" w:hanging="376"/>
        <w:spacing w:after="0"/>
        <w:tabs>
          <w:tab w:leader="none" w:pos="18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4" w:lineRule="exact"/>
        <w:rPr>
          <w:rFonts w:ascii="Times New Roman" w:cs="Times New Roman" w:eastAsia="Times New Roman" w:hAnsi="Times New Roman"/>
          <w:sz w:val="17"/>
          <w:szCs w:val="17"/>
          <w:color w:val="auto"/>
        </w:rPr>
      </w:pPr>
    </w:p>
    <w:p>
      <w:pPr>
        <w:ind w:left="1840" w:hanging="396"/>
        <w:spacing w:after="0"/>
        <w:tabs>
          <w:tab w:leader="none" w:pos="18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41"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5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1" w:name="page232"/>
    <w:bookmarkEnd w:id="23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The Company currently generates its revenues through the following performance obligations: (1) hosted services, (2) professional services, (3) monetization and (4) licensing.</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08"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has been no interest expense or penalties related to unrecognized tax benefits recorded through June 30, 2022.</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 options. The Black-Scholes option-pricing model requires the use of highly subjective and complex assumptions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2" w:name="page233"/>
    <w:bookmarkEnd w:id="23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96" w:lineRule="exact"/>
        <w:rPr>
          <w:sz w:val="20"/>
          <w:szCs w:val="20"/>
          <w:color w:val="auto"/>
        </w:rPr>
      </w:pPr>
    </w:p>
    <w:p>
      <w:pPr>
        <w:jc w:val="both"/>
        <w:ind w:left="1440" w:right="619"/>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5" w:lineRule="exact"/>
        <w:rPr>
          <w:sz w:val="20"/>
          <w:szCs w:val="20"/>
          <w:color w:val="auto"/>
        </w:rPr>
      </w:pPr>
    </w:p>
    <w:p>
      <w:pPr>
        <w:jc w:val="both"/>
        <w:ind w:left="1440" w:right="619"/>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39"/>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The Company has not declared or paid dividends to date and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anticipate declaring dividends. As such, expected dividend yield is zero.</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0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9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2" w:lineRule="exact"/>
        <w:rPr>
          <w:sz w:val="20"/>
          <w:szCs w:val="20"/>
          <w:color w:val="auto"/>
        </w:rPr>
      </w:pPr>
    </w:p>
    <w:p>
      <w:pPr>
        <w:ind w:left="1860" w:right="639" w:hanging="416"/>
        <w:spacing w:after="0" w:line="292" w:lineRule="auto"/>
        <w:tabs>
          <w:tab w:leader="none" w:pos="1856"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unadjusted quoted prices in active markets for identical assets or liabilities at the measurement date.</w:t>
      </w:r>
    </w:p>
    <w:p>
      <w:pPr>
        <w:spacing w:after="0" w:line="81" w:lineRule="exact"/>
        <w:rPr>
          <w:rFonts w:ascii="Times New Roman" w:cs="Times New Roman" w:eastAsia="Times New Roman" w:hAnsi="Times New Roman"/>
          <w:sz w:val="17"/>
          <w:szCs w:val="17"/>
          <w:color w:val="auto"/>
        </w:rPr>
      </w:pPr>
    </w:p>
    <w:p>
      <w:pPr>
        <w:jc w:val="both"/>
        <w:ind w:left="1860" w:right="639" w:hanging="416"/>
        <w:spacing w:after="0" w:line="273" w:lineRule="auto"/>
        <w:tabs>
          <w:tab w:leader="none" w:pos="1856"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84" w:lineRule="exact"/>
        <w:rPr>
          <w:rFonts w:ascii="Times New Roman" w:cs="Times New Roman" w:eastAsia="Times New Roman" w:hAnsi="Times New Roman"/>
          <w:sz w:val="17"/>
          <w:szCs w:val="17"/>
          <w:color w:val="auto"/>
        </w:rPr>
      </w:pPr>
    </w:p>
    <w:p>
      <w:pPr>
        <w:jc w:val="both"/>
        <w:ind w:left="1860" w:right="619" w:hanging="416"/>
        <w:spacing w:after="0" w:line="273" w:lineRule="auto"/>
        <w:tabs>
          <w:tab w:leader="none" w:pos="1856"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3" w:name="page234"/>
    <w:bookmarkEnd w:id="23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spacing w:after="0" w:line="98"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13"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8"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4" w:name="page235"/>
    <w:bookmarkEnd w:id="23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six months ended June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spacing w:after="0" w:line="95"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118"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jc w:val="both"/>
        <w:ind w:left="1020" w:right="619" w:firstLine="9"/>
        <w:spacing w:after="0" w:line="258" w:lineRule="auto"/>
        <w:tabs>
          <w:tab w:leader="none" w:pos="1329"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1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9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2" w:lineRule="exact"/>
        <w:rPr>
          <w:sz w:val="20"/>
          <w:szCs w:val="20"/>
          <w:color w:val="auto"/>
        </w:rPr>
      </w:pPr>
    </w:p>
    <w:p>
      <w:pPr>
        <w:jc w:val="both"/>
        <w:ind w:left="1860" w:right="619" w:hanging="416"/>
        <w:spacing w:after="0" w:line="273" w:lineRule="auto"/>
        <w:tabs>
          <w:tab w:leader="none" w:pos="1856"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97" w:lineRule="exact"/>
        <w:rPr>
          <w:rFonts w:ascii="Times New Roman" w:cs="Times New Roman" w:eastAsia="Times New Roman" w:hAnsi="Times New Roman"/>
          <w:sz w:val="17"/>
          <w:szCs w:val="17"/>
          <w:color w:val="auto"/>
        </w:rPr>
      </w:pPr>
    </w:p>
    <w:p>
      <w:pPr>
        <w:jc w:val="both"/>
        <w:ind w:left="1860" w:right="619" w:hanging="416"/>
        <w:spacing w:after="0" w:line="273" w:lineRule="auto"/>
        <w:tabs>
          <w:tab w:leader="none" w:pos="1856"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$9,848 which represent the operating lease liabilities of $11,428, adjusted for (1) deferred rent of approximately $827, (2) lease incentives or tenant improvement allowance of $1,098 and (3) prepaid rent of $344.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5" w:name="page236"/>
    <w:bookmarkEnd w:id="23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84"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w:t>
      </w:r>
    </w:p>
    <w:p>
      <w:pPr>
        <w:spacing w:after="0" w:line="3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spacing w:after="0" w:line="9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The Company adopted the standard on January 1, 2022. ASU 2019-12 did not result in any material impact on the Company’s condensed consolidated financial statements.</w:t>
      </w:r>
    </w:p>
    <w:p>
      <w:pPr>
        <w:spacing w:after="0" w:line="3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57"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327"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is currently evaluating the impact the standard will have on the Company’s condensed consolidated financial statements.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6" w:name="page237"/>
    <w:bookmarkEnd w:id="23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June 30, 2022.</w:t>
      </w:r>
    </w:p>
    <w:p>
      <w:pPr>
        <w:spacing w:after="0" w:line="108"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05"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$127,680 in the aggregate.</w:t>
      </w:r>
    </w:p>
    <w:p>
      <w:pPr>
        <w:spacing w:after="0" w:line="92" w:lineRule="exact"/>
        <w:rPr>
          <w:sz w:val="20"/>
          <w:szCs w:val="20"/>
          <w:color w:val="auto"/>
        </w:rPr>
      </w:pPr>
    </w:p>
    <w:p>
      <w:pPr>
        <w:jc w:val="both"/>
        <w:ind w:left="1020" w:right="619"/>
        <w:spacing w:after="0" w:line="256" w:lineRule="auto"/>
        <w:rPr>
          <w:sz w:val="20"/>
          <w:szCs w:val="20"/>
          <w:color w:val="auto"/>
        </w:rPr>
      </w:pPr>
      <w:r>
        <w:rPr>
          <w:rFonts w:ascii="Times New Roman" w:cs="Times New Roman" w:eastAsia="Times New Roman" w:hAnsi="Times New Roman"/>
          <w:sz w:val="17"/>
          <w:szCs w:val="17"/>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2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$113,000,000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7" w:name="page238"/>
    <w:bookmarkEnd w:id="23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10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In accounting for the Business Combination and after redemptions, net proceeds received by the Company totaled $90,691. The table below shows the total net proceeds from the Business Combination and the PIPE Investment:</w:t>
      </w:r>
    </w:p>
    <w:p>
      <w:pPr>
        <w:spacing w:after="0" w:line="200" w:lineRule="exact"/>
        <w:rPr>
          <w:sz w:val="20"/>
          <w:szCs w:val="20"/>
          <w:color w:val="auto"/>
        </w:rPr>
      </w:pPr>
    </w:p>
    <w:p>
      <w:pPr>
        <w:spacing w:after="0" w:line="214" w:lineRule="exact"/>
        <w:rPr>
          <w:sz w:val="20"/>
          <w:szCs w:val="20"/>
          <w:color w:val="auto"/>
        </w:rPr>
      </w:pPr>
    </w:p>
    <w:tbl>
      <w:tblPr>
        <w:tblLayout w:type="fixed"/>
        <w:tblInd w:w="102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 ATSP trust and cash (net of redemption)</w:t>
            </w:r>
          </w:p>
        </w:tc>
        <w:tc>
          <w:tcPr>
            <w:tcW w:w="2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 PIPE Investment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120" w:type="dxa"/>
            <w:vAlign w:val="bottom"/>
          </w:tcPr>
          <w:p>
            <w:pPr>
              <w:spacing w:after="0"/>
              <w:rPr>
                <w:sz w:val="20"/>
                <w:szCs w:val="20"/>
                <w:color w:val="auto"/>
              </w:rPr>
            </w:pPr>
          </w:p>
        </w:tc>
      </w:tr>
      <w:tr>
        <w:trPr>
          <w:trHeight w:val="39"/>
        </w:trPr>
        <w:tc>
          <w:tcPr>
            <w:tcW w:w="620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2"/>
        </w:trPr>
        <w:tc>
          <w:tcPr>
            <w:tcW w:w="20" w:type="dxa"/>
            <w:vAlign w:val="bottom"/>
          </w:tcPr>
          <w:p>
            <w:pPr>
              <w:spacing w:after="0"/>
              <w:rPr>
                <w:sz w:val="23"/>
                <w:szCs w:val="23"/>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transaction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(27,666)</w:t>
            </w:r>
          </w:p>
        </w:tc>
      </w:tr>
      <w:tr>
        <w:trPr>
          <w:trHeight w:val="233"/>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proceeds from Business Combination and PIPE Investment</w:t>
            </w:r>
          </w:p>
        </w:tc>
        <w:tc>
          <w:tcPr>
            <w:tcW w:w="2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90,691</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Relating to the consummation of the Business Combination, the Company incurred $27,666 in total transaction costs consisting of direct legal, accounting and other fees. $4,068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spacing w:after="0" w:line="10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amount recorded to additional paid-in-capital was comprised of $86,584 net proceeds from the PIPE investment and $4,105 after net redemptions of ATSP shareholders.</w:t>
      </w:r>
    </w:p>
    <w:p>
      <w:pPr>
        <w:spacing w:after="0" w:line="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number of shares of common stock issued immediately following the consummation of the Business Combination was as follows:</w:t>
      </w:r>
    </w:p>
    <w:p>
      <w:pPr>
        <w:spacing w:after="0" w:line="340" w:lineRule="exact"/>
        <w:rPr>
          <w:sz w:val="20"/>
          <w:szCs w:val="20"/>
          <w:color w:val="auto"/>
        </w:rPr>
      </w:pPr>
    </w:p>
    <w:tbl>
      <w:tblPr>
        <w:tblLayout w:type="fixed"/>
        <w:tblInd w:w="620" w:type="dxa"/>
        <w:tblCellMar>
          <w:top w:w="0" w:type="dxa"/>
          <w:left w:w="0" w:type="dxa"/>
          <w:bottom w:w="0" w:type="dxa"/>
          <w:right w:w="0" w:type="dxa"/>
        </w:tblCellMar>
      </w:tblPr>
      <w:tr>
        <w:trPr>
          <w:trHeight w:val="254"/>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conversion of Legacy SoundHound Common Stock and Legacy</w:t>
            </w:r>
          </w:p>
        </w:tc>
        <w:tc>
          <w:tcPr>
            <w:tcW w:w="8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r>
      <w:tr>
        <w:trPr>
          <w:trHeight w:val="258"/>
        </w:trPr>
        <w:tc>
          <w:tcPr>
            <w:tcW w:w="6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SoundHound Preferred Stock outstanding prior to Business Combination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140,114,060</w:t>
            </w:r>
          </w:p>
        </w:tc>
      </w:tr>
      <w:tr>
        <w:trPr>
          <w:trHeight w:val="241"/>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B Common Stock – conversion of Legacy SoundHound Common Stock and Legacy</w:t>
            </w:r>
          </w:p>
        </w:tc>
        <w:tc>
          <w:tcPr>
            <w:tcW w:w="1240" w:type="dxa"/>
            <w:vAlign w:val="bottom"/>
          </w:tcPr>
          <w:p>
            <w:pPr>
              <w:spacing w:after="0"/>
              <w:rPr>
                <w:sz w:val="20"/>
                <w:szCs w:val="20"/>
                <w:color w:val="auto"/>
              </w:rPr>
            </w:pPr>
          </w:p>
        </w:tc>
      </w:tr>
      <w:tr>
        <w:trPr>
          <w:trHeight w:val="226"/>
        </w:trPr>
        <w:tc>
          <w:tcPr>
            <w:tcW w:w="63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SoundHound Preferred Stock outstanding prior to Business Combination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40,396,600</w:t>
            </w: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31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PIPE Investment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11,300,000</w:t>
            </w: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A Common Stock – issuance to ATSP shareholders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532,050</w:t>
            </w: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441"/>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issuance to Legacy SoundHound founders and representatives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4,161,000</w:t>
            </w:r>
          </w:p>
        </w:tc>
      </w:tr>
      <w:tr>
        <w:trPr>
          <w:trHeight w:val="26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shares of common stock immediately after Business Combination</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196,503,710</w:t>
            </w:r>
          </w:p>
        </w:tc>
      </w:tr>
      <w:tr>
        <w:trPr>
          <w:trHeight w:val="39"/>
        </w:trPr>
        <w:tc>
          <w:tcPr>
            <w:tcW w:w="6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
        </w:trPr>
        <w:tc>
          <w:tcPr>
            <w:tcW w:w="6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000" w:hanging="385"/>
        <w:spacing w:after="0"/>
        <w:tabs>
          <w:tab w:leader="none" w:pos="1000"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5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06"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8" w:name="page239"/>
    <w:bookmarkEnd w:id="23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44"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8"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07"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9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June 30, 2022, $239 of professional service revenue was recognized over time, with the remaining $1,143 recognized at a point in time when the performance obligation was fulfilled and control of the service was transferred to the customer. During the six months ended June 30, 2022, $806 of professional service revenue was recognized over time, with the remaining $1,143 recognized at a point in time when the performance obligation was fulfilled and control of the service was transferred to the customer.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9" w:name="page240"/>
    <w:bookmarkEnd w:id="23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Licensing</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08"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94" w:lineRule="exact"/>
        <w:rPr>
          <w:sz w:val="20"/>
          <w:szCs w:val="20"/>
          <w:color w:val="auto"/>
        </w:rPr>
      </w:pPr>
    </w:p>
    <w:p>
      <w:pPr>
        <w:ind w:left="1860" w:hanging="416"/>
        <w:spacing w:after="0"/>
        <w:tabs>
          <w:tab w:leader="none" w:pos="186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4" w:lineRule="exact"/>
        <w:rPr>
          <w:rFonts w:ascii="Times New Roman" w:cs="Times New Roman" w:eastAsia="Times New Roman" w:hAnsi="Times New Roman"/>
          <w:sz w:val="17"/>
          <w:szCs w:val="17"/>
          <w:color w:val="auto"/>
        </w:rPr>
      </w:pPr>
    </w:p>
    <w:p>
      <w:pPr>
        <w:ind w:left="1860" w:hanging="416"/>
        <w:spacing w:after="0"/>
        <w:tabs>
          <w:tab w:leader="none" w:pos="186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54" w:lineRule="exact"/>
        <w:rPr>
          <w:rFonts w:ascii="Times New Roman" w:cs="Times New Roman" w:eastAsia="Times New Roman" w:hAnsi="Times New Roman"/>
          <w:sz w:val="17"/>
          <w:szCs w:val="17"/>
          <w:color w:val="auto"/>
        </w:rPr>
      </w:pPr>
    </w:p>
    <w:p>
      <w:pPr>
        <w:ind w:left="1860" w:hanging="416"/>
        <w:spacing w:after="0"/>
        <w:tabs>
          <w:tab w:leader="none" w:pos="186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41"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5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2"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0" w:name="page241"/>
    <w:bookmarkEnd w:id="24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three and six months ended June 30, 2022 and 2021, revenues under each performance obligation were as follows: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10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6,510</w:t>
            </w: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r>
      <w:tr>
        <w:trPr>
          <w:trHeight w:val="39"/>
        </w:trPr>
        <w:tc>
          <w:tcPr>
            <w:tcW w:w="210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46"/>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Licensing</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20" w:type="dxa"/>
            <w:vAlign w:val="bottom"/>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8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three and six months ended June 30, 2022 and 2021, the disaggregated revenue by geographic location was as follows: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18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1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w:t>
            </w: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Japan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w:t>
            </w:r>
          </w:p>
        </w:tc>
      </w:tr>
      <w:tr>
        <w:trPr>
          <w:trHeight w:val="39"/>
        </w:trPr>
        <w:tc>
          <w:tcPr>
            <w:tcW w:w="18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6,217</w:t>
            </w: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r>
      <w:tr>
        <w:trPr>
          <w:trHeight w:val="39"/>
        </w:trPr>
        <w:tc>
          <w:tcPr>
            <w:tcW w:w="18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r>
      <w:tr>
        <w:trPr>
          <w:trHeight w:val="246"/>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6"/>
        </w:trPr>
        <w:tc>
          <w:tcPr>
            <w:tcW w:w="20" w:type="dxa"/>
            <w:vAlign w:val="bottom"/>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three and six months ended June 30, 2022 and 2021, the disaggregated revenue by recognition pattern was as follows:</w:t>
      </w:r>
    </w:p>
    <w:p>
      <w:pPr>
        <w:spacing w:after="0" w:line="123"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02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2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6,903</w:t>
            </w:r>
          </w:p>
        </w:tc>
      </w:tr>
      <w:tr>
        <w:trPr>
          <w:trHeight w:val="246"/>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Point-in-time</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5,115</w:t>
            </w:r>
          </w:p>
        </w:tc>
      </w:tr>
      <w:tr>
        <w:trPr>
          <w:trHeight w:val="26"/>
        </w:trPr>
        <w:tc>
          <w:tcPr>
            <w:tcW w:w="20" w:type="dxa"/>
            <w:vAlign w:val="bottom"/>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1" w:name="page242"/>
    <w:bookmarkEnd w:id="24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platform to fit customers’ specific needs. Revenue from Monetization is generated from the SoundHound music identification app and is primarily attributable to user ad impression revenue. For the three and six months ended June 30, 2022 and 2021, the disaggregated revenue by service type was as follows:</w:t>
      </w:r>
    </w:p>
    <w:p>
      <w:pPr>
        <w:spacing w:after="0" w:line="126"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4"/>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21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10,454</w:t>
            </w:r>
          </w:p>
        </w:tc>
        <w:tc>
          <w:tcPr>
            <w:tcW w:w="0" w:type="dxa"/>
            <w:vAlign w:val="bottom"/>
          </w:tcPr>
          <w:p>
            <w:pPr>
              <w:spacing w:after="0"/>
              <w:rPr>
                <w:sz w:val="1"/>
                <w:szCs w:val="1"/>
                <w:color w:val="auto"/>
              </w:rPr>
            </w:pPr>
          </w:p>
        </w:tc>
      </w:tr>
      <w:tr>
        <w:trPr>
          <w:trHeight w:val="234"/>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0" w:type="dxa"/>
            <w:vAlign w:val="bottom"/>
          </w:tcPr>
          <w:p>
            <w:pPr>
              <w:spacing w:after="0"/>
              <w:rPr>
                <w:sz w:val="1"/>
                <w:szCs w:val="1"/>
                <w:color w:val="auto"/>
              </w:rPr>
            </w:pPr>
          </w:p>
        </w:tc>
      </w:tr>
      <w:tr>
        <w:trPr>
          <w:trHeight w:val="39"/>
        </w:trPr>
        <w:tc>
          <w:tcPr>
            <w:tcW w:w="21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8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4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80" w:type="dxa"/>
            <w:vAlign w:val="bottom"/>
          </w:tcPr>
          <w:p>
            <w:pPr>
              <w:spacing w:after="0"/>
              <w:rPr>
                <w:sz w:val="20"/>
                <w:szCs w:val="20"/>
                <w:color w:val="auto"/>
              </w:rPr>
            </w:pPr>
          </w:p>
        </w:tc>
        <w:tc>
          <w:tcPr>
            <w:tcW w:w="360" w:type="dxa"/>
            <w:vAlign w:val="bottom"/>
            <w:gridSpan w:val="2"/>
          </w:tcPr>
          <w:p>
            <w:pPr>
              <w:jc w:val="right"/>
              <w:ind w:right="22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02"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As of June 30, 2022 and December 31, 2021, the Company had contract assets included in prepaid expenses and other current assets of $247 and $54, respectively, in the condensed consolidated balance sheets. The Company did not record any asset impairment charges related to contract assets during the six months ended June 30, 2022 and June 30, 2021.</w:t>
      </w:r>
    </w:p>
    <w:p>
      <w:pPr>
        <w:spacing w:after="0" w:line="90"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Revenue recognized included in the balances of the deferred revenue at the beginning of the reporting period during three and six months ended June 30, 2022, was $1,275 and $3,437, respectively, as compared to $3,458 and $5,168 for the three and six months ended June 30, 2021, respectively.</w:t>
      </w:r>
    </w:p>
    <w:p>
      <w:pPr>
        <w:spacing w:after="0" w:line="98"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As of June 30, 2022, the aggregate amount of the transaction price allocated to the remaining performance obligations related to customer contracts that were unsatisfied or partially unsatisfied was $23,081. Given the applicable contract terms, $8,933 is expected to be recognized as revenue within one year, $10,651 is expected to be recognized between two to five years and the remainder of $3,497 is expected to be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10"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90"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2" w:name="page243"/>
    <w:bookmarkEnd w:id="24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tbl>
      <w:tblPr>
        <w:tblLayout w:type="fixed"/>
        <w:tblInd w:w="620" w:type="dxa"/>
        <w:tblCellMar>
          <w:top w:w="0" w:type="dxa"/>
          <w:left w:w="0" w:type="dxa"/>
          <w:bottom w:w="0" w:type="dxa"/>
          <w:right w:w="0" w:type="dxa"/>
        </w:tblCellMar>
      </w:tblPr>
      <w:tr>
        <w:trPr>
          <w:trHeight w:val="228"/>
        </w:trPr>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8"/>
              </w:rPr>
              <w:t>5.</w:t>
            </w:r>
          </w:p>
        </w:tc>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7"/>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0"/>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260" w:type="dxa"/>
            <w:vAlign w:val="bottom"/>
          </w:tcPr>
          <w:p>
            <w:pPr>
              <w:spacing w:after="0"/>
              <w:rPr>
                <w:sz w:val="3"/>
                <w:szCs w:val="3"/>
                <w:color w:val="auto"/>
              </w:rPr>
            </w:pPr>
          </w:p>
        </w:tc>
        <w:tc>
          <w:tcPr>
            <w:tcW w:w="456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32"/>
        </w:trPr>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20,802</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4"/>
        </w:trPr>
        <w:tc>
          <w:tcPr>
            <w:tcW w:w="260" w:type="dxa"/>
            <w:vAlign w:val="bottom"/>
          </w:tcPr>
          <w:p>
            <w:pPr>
              <w:spacing w:after="0"/>
              <w:rPr>
                <w:sz w:val="20"/>
                <w:szCs w:val="20"/>
                <w:color w:val="auto"/>
              </w:rPr>
            </w:pPr>
          </w:p>
        </w:tc>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40" w:type="dxa"/>
            <w:vAlign w:val="bottom"/>
          </w:tcPr>
          <w:p>
            <w:pPr>
              <w:spacing w:after="0"/>
              <w:rPr>
                <w:sz w:val="20"/>
                <w:szCs w:val="20"/>
                <w:color w:val="auto"/>
              </w:rPr>
            </w:pPr>
          </w:p>
        </w:tc>
      </w:tr>
      <w:tr>
        <w:trPr>
          <w:trHeight w:val="39"/>
        </w:trPr>
        <w:tc>
          <w:tcPr>
            <w:tcW w:w="260" w:type="dxa"/>
            <w:vAlign w:val="bottom"/>
          </w:tcPr>
          <w:p>
            <w:pPr>
              <w:spacing w:after="0"/>
              <w:rPr>
                <w:sz w:val="3"/>
                <w:szCs w:val="3"/>
                <w:color w:val="auto"/>
              </w:rPr>
            </w:pPr>
          </w:p>
        </w:tc>
        <w:tc>
          <w:tcPr>
            <w:tcW w:w="456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6"/>
        </w:trPr>
        <w:tc>
          <w:tcPr>
            <w:tcW w:w="260" w:type="dxa"/>
            <w:vAlign w:val="bottom"/>
          </w:tcPr>
          <w:p>
            <w:pPr>
              <w:spacing w:after="0"/>
              <w:rPr>
                <w:sz w:val="21"/>
                <w:szCs w:val="21"/>
                <w:color w:val="auto"/>
              </w:rPr>
            </w:pPr>
          </w:p>
        </w:tc>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Furniture and fixtures</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40" w:type="dxa"/>
            <w:vAlign w:val="bottom"/>
          </w:tcPr>
          <w:p>
            <w:pPr>
              <w:spacing w:after="0"/>
              <w:rPr>
                <w:sz w:val="21"/>
                <w:szCs w:val="21"/>
                <w:color w:val="auto"/>
              </w:rPr>
            </w:pPr>
          </w:p>
        </w:tc>
      </w:tr>
      <w:tr>
        <w:trPr>
          <w:trHeight w:val="26"/>
        </w:trPr>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2"/>
        </w:trPr>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property and equipment, at cost</w:t>
            </w:r>
          </w:p>
        </w:tc>
        <w:tc>
          <w:tcPr>
            <w:tcW w:w="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6"/>
        </w:trPr>
        <w:tc>
          <w:tcPr>
            <w:tcW w:w="260" w:type="dxa"/>
            <w:vAlign w:val="bottom"/>
          </w:tcPr>
          <w:p>
            <w:pPr>
              <w:spacing w:after="0"/>
              <w:rPr>
                <w:sz w:val="21"/>
                <w:szCs w:val="21"/>
                <w:color w:val="auto"/>
              </w:rPr>
            </w:pPr>
          </w:p>
        </w:tc>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(29,750)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(27,399)</w:t>
            </w:r>
          </w:p>
        </w:tc>
      </w:tr>
      <w:tr>
        <w:trPr>
          <w:trHeight w:val="26"/>
        </w:trPr>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40" w:type="dxa"/>
            <w:vAlign w:val="bottom"/>
            <w:shd w:val="clear" w:color="auto" w:fill="CCEEFF"/>
          </w:tcPr>
          <w:p>
            <w:pPr>
              <w:spacing w:after="0"/>
              <w:rPr>
                <w:sz w:val="20"/>
                <w:szCs w:val="20"/>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Property and equipment, net includes assets under finance lease obligations (see Note 14 for additional information) with an aggregate cost of approximately $4,336 and $6,975 as of June 30, 2022 and December 31, 2021, respectively, and accumulated depreciation of approximately $2,930 and $4,293 as of June 30, 2022 and December 31, 2021, respectively. Depreciation and amortization expense totaled approximately $1,053 and $2,269 for the three and six months ended June 30, 2022, respectively, as compared to $1,382 and $2,836 for the three and six months ended June 30, 2021, respectively.</w:t>
      </w:r>
    </w:p>
    <w:p>
      <w:pPr>
        <w:spacing w:after="0" w:line="170" w:lineRule="exact"/>
        <w:rPr>
          <w:sz w:val="20"/>
          <w:szCs w:val="20"/>
          <w:color w:val="auto"/>
        </w:rPr>
      </w:pPr>
    </w:p>
    <w:p>
      <w:pPr>
        <w:ind w:left="1000" w:hanging="385"/>
        <w:spacing w:after="0"/>
        <w:tabs>
          <w:tab w:leader="none" w:pos="1000"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Accrued liabilities on the condensed consolidated balance sheets was comprised of the following:</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3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62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2"/>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1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r>
      <w:tr>
        <w:trPr>
          <w:trHeight w:val="39"/>
        </w:trPr>
        <w:tc>
          <w:tcPr>
            <w:tcW w:w="3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2"/>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r>
      <w:tr>
        <w:trPr>
          <w:trHeight w:val="39"/>
        </w:trPr>
        <w:tc>
          <w:tcPr>
            <w:tcW w:w="3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2"/>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
        </w:trPr>
        <w:tc>
          <w:tcPr>
            <w:tcW w:w="3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3"/>
        </w:trPr>
        <w:tc>
          <w:tcPr>
            <w:tcW w:w="36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5,939</w:t>
            </w:r>
          </w:p>
        </w:tc>
        <w:tc>
          <w:tcPr>
            <w:tcW w:w="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r>
      <w:tr>
        <w:trPr>
          <w:trHeight w:val="20"/>
        </w:trPr>
        <w:tc>
          <w:tcPr>
            <w:tcW w:w="3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000" w:hanging="385"/>
        <w:spacing w:after="0"/>
        <w:tabs>
          <w:tab w:leader="none" w:pos="1000"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57"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a minimum of $98,000 in cloud costs over a seven-year period subject to variable increases based on usage.</w:t>
      </w:r>
    </w:p>
    <w:p>
      <w:pPr>
        <w:spacing w:after="0" w:line="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Aggregate noncancelable future minimum payments were as follows as of June 30, 2022:</w:t>
      </w:r>
    </w:p>
    <w:p>
      <w:pPr>
        <w:spacing w:after="0" w:line="200" w:lineRule="exact"/>
        <w:rPr>
          <w:sz w:val="20"/>
          <w:szCs w:val="20"/>
          <w:color w:val="auto"/>
        </w:rPr>
      </w:pPr>
    </w:p>
    <w:p>
      <w:pPr>
        <w:spacing w:after="0" w:line="284" w:lineRule="exact"/>
        <w:rPr>
          <w:sz w:val="20"/>
          <w:szCs w:val="20"/>
          <w:color w:val="auto"/>
        </w:rPr>
      </w:pPr>
    </w:p>
    <w:tbl>
      <w:tblPr>
        <w:tblLayout w:type="fixed"/>
        <w:tblInd w:w="620" w:type="dxa"/>
        <w:tblCellMar>
          <w:top w:w="0" w:type="dxa"/>
          <w:left w:w="0" w:type="dxa"/>
          <w:bottom w:w="0" w:type="dxa"/>
          <w:right w:w="0" w:type="dxa"/>
        </w:tblCellMar>
      </w:tblPr>
      <w:tr>
        <w:trPr>
          <w:trHeight w:val="252"/>
        </w:trPr>
        <w:tc>
          <w:tcPr>
            <w:tcW w:w="4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9"/>
              </w:rPr>
              <w:t>Remainder of 2022</w:t>
            </w:r>
          </w:p>
        </w:tc>
        <w:tc>
          <w:tcPr>
            <w:tcW w:w="426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34"/>
        </w:trPr>
        <w:tc>
          <w:tcPr>
            <w:tcW w:w="2720" w:type="dxa"/>
            <w:vAlign w:val="bottom"/>
            <w:gridSpan w:val="2"/>
          </w:tcPr>
          <w:p>
            <w:pPr>
              <w:jc w:val="right"/>
              <w:ind w:right="1874"/>
              <w:spacing w:after="0"/>
              <w:rPr>
                <w:sz w:val="20"/>
                <w:szCs w:val="20"/>
                <w:color w:val="auto"/>
              </w:rPr>
            </w:pPr>
            <w:r>
              <w:rPr>
                <w:rFonts w:ascii="Times New Roman" w:cs="Times New Roman" w:eastAsia="Times New Roman" w:hAnsi="Times New Roman"/>
                <w:sz w:val="17"/>
                <w:szCs w:val="17"/>
                <w:color w:val="auto"/>
              </w:rPr>
              <w:t>2023</w:t>
            </w:r>
          </w:p>
        </w:tc>
        <w:tc>
          <w:tcPr>
            <w:tcW w:w="3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r>
      <w:tr>
        <w:trPr>
          <w:trHeight w:val="39"/>
        </w:trPr>
        <w:tc>
          <w:tcPr>
            <w:tcW w:w="272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2"/>
        </w:trPr>
        <w:tc>
          <w:tcPr>
            <w:tcW w:w="4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874"/>
              <w:spacing w:after="0"/>
              <w:rPr>
                <w:sz w:val="20"/>
                <w:szCs w:val="20"/>
                <w:color w:val="auto"/>
              </w:rPr>
            </w:pPr>
            <w:r>
              <w:rPr>
                <w:rFonts w:ascii="Times New Roman" w:cs="Times New Roman" w:eastAsia="Times New Roman" w:hAnsi="Times New Roman"/>
                <w:sz w:val="17"/>
                <w:szCs w:val="17"/>
                <w:color w:val="auto"/>
                <w:w w:val="93"/>
              </w:rPr>
              <w:t>2024</w:t>
            </w:r>
          </w:p>
        </w:tc>
        <w:tc>
          <w:tcPr>
            <w:tcW w:w="3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w:t>
            </w:r>
          </w:p>
        </w:tc>
      </w:tr>
      <w:tr>
        <w:trPr>
          <w:trHeight w:val="234"/>
        </w:trPr>
        <w:tc>
          <w:tcPr>
            <w:tcW w:w="2720" w:type="dxa"/>
            <w:vAlign w:val="bottom"/>
            <w:gridSpan w:val="2"/>
          </w:tcPr>
          <w:p>
            <w:pPr>
              <w:jc w:val="right"/>
              <w:ind w:right="1874"/>
              <w:spacing w:after="0"/>
              <w:rPr>
                <w:sz w:val="20"/>
                <w:szCs w:val="20"/>
                <w:color w:val="auto"/>
              </w:rPr>
            </w:pPr>
            <w:r>
              <w:rPr>
                <w:rFonts w:ascii="Times New Roman" w:cs="Times New Roman" w:eastAsia="Times New Roman" w:hAnsi="Times New Roman"/>
                <w:sz w:val="17"/>
                <w:szCs w:val="17"/>
                <w:color w:val="auto"/>
              </w:rPr>
              <w:t>2025</w:t>
            </w:r>
          </w:p>
        </w:tc>
        <w:tc>
          <w:tcPr>
            <w:tcW w:w="3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w:t>
            </w:r>
          </w:p>
        </w:tc>
      </w:tr>
      <w:tr>
        <w:trPr>
          <w:trHeight w:val="39"/>
        </w:trPr>
        <w:tc>
          <w:tcPr>
            <w:tcW w:w="272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2"/>
        </w:trPr>
        <w:tc>
          <w:tcPr>
            <w:tcW w:w="4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874"/>
              <w:spacing w:after="0"/>
              <w:rPr>
                <w:sz w:val="20"/>
                <w:szCs w:val="20"/>
                <w:color w:val="auto"/>
              </w:rPr>
            </w:pPr>
            <w:r>
              <w:rPr>
                <w:rFonts w:ascii="Times New Roman" w:cs="Times New Roman" w:eastAsia="Times New Roman" w:hAnsi="Times New Roman"/>
                <w:sz w:val="17"/>
                <w:szCs w:val="17"/>
                <w:color w:val="auto"/>
                <w:w w:val="93"/>
              </w:rPr>
              <w:t>2026</w:t>
            </w:r>
          </w:p>
        </w:tc>
        <w:tc>
          <w:tcPr>
            <w:tcW w:w="3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r>
      <w:tr>
        <w:trPr>
          <w:trHeight w:val="246"/>
        </w:trPr>
        <w:tc>
          <w:tcPr>
            <w:tcW w:w="2720" w:type="dxa"/>
            <w:vAlign w:val="bottom"/>
            <w:gridSpan w:val="2"/>
          </w:tcPr>
          <w:p>
            <w:pPr>
              <w:jc w:val="right"/>
              <w:ind w:right="1514"/>
              <w:spacing w:after="0"/>
              <w:rPr>
                <w:sz w:val="20"/>
                <w:szCs w:val="20"/>
                <w:color w:val="auto"/>
              </w:rPr>
            </w:pPr>
            <w:r>
              <w:rPr>
                <w:rFonts w:ascii="Times New Roman" w:cs="Times New Roman" w:eastAsia="Times New Roman" w:hAnsi="Times New Roman"/>
                <w:sz w:val="17"/>
                <w:szCs w:val="17"/>
                <w:color w:val="auto"/>
              </w:rPr>
              <w:t>Thereafter</w:t>
            </w:r>
          </w:p>
        </w:tc>
        <w:tc>
          <w:tcPr>
            <w:tcW w:w="3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48,000</w:t>
            </w:r>
          </w:p>
        </w:tc>
      </w:tr>
      <w:tr>
        <w:trPr>
          <w:trHeight w:val="26"/>
        </w:trPr>
        <w:tc>
          <w:tcPr>
            <w:tcW w:w="42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420" w:type="dxa"/>
            <w:vAlign w:val="bottom"/>
          </w:tcPr>
          <w:p>
            <w:pPr>
              <w:spacing w:after="0"/>
              <w:rPr>
                <w:sz w:val="20"/>
                <w:szCs w:val="20"/>
                <w:color w:val="auto"/>
              </w:rPr>
            </w:pPr>
          </w:p>
        </w:tc>
        <w:tc>
          <w:tcPr>
            <w:tcW w:w="2300" w:type="dxa"/>
            <w:vAlign w:val="bottom"/>
            <w:tcBorders>
              <w:bottom w:val="single" w:sz="8" w:color="CCEEFF"/>
            </w:tcBorders>
            <w:shd w:val="clear" w:color="auto" w:fill="CCEEFF"/>
          </w:tcPr>
          <w:p>
            <w:pPr>
              <w:jc w:val="right"/>
              <w:ind w:right="1694"/>
              <w:spacing w:after="0"/>
              <w:rPr>
                <w:sz w:val="20"/>
                <w:szCs w:val="20"/>
                <w:color w:val="auto"/>
              </w:rPr>
            </w:pPr>
            <w:r>
              <w:rPr>
                <w:rFonts w:ascii="Times New Roman" w:cs="Times New Roman" w:eastAsia="Times New Roman" w:hAnsi="Times New Roman"/>
                <w:sz w:val="17"/>
                <w:szCs w:val="17"/>
                <w:color w:val="auto"/>
              </w:rPr>
              <w:t>Total</w:t>
            </w:r>
          </w:p>
        </w:tc>
        <w:tc>
          <w:tcPr>
            <w:tcW w:w="38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98,000</w:t>
            </w:r>
          </w:p>
        </w:tc>
      </w:tr>
      <w:tr>
        <w:trPr>
          <w:trHeight w:val="20"/>
        </w:trPr>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61"/>
        </w:trPr>
        <w:tc>
          <w:tcPr>
            <w:tcW w:w="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2814"/>
              <w:spacing w:after="0"/>
              <w:rPr>
                <w:sz w:val="20"/>
                <w:szCs w:val="20"/>
                <w:color w:val="auto"/>
              </w:rPr>
            </w:pPr>
            <w:r>
              <w:rPr>
                <w:rFonts w:ascii="Times New Roman" w:cs="Times New Roman" w:eastAsia="Times New Roman" w:hAnsi="Times New Roman"/>
                <w:sz w:val="17"/>
                <w:szCs w:val="17"/>
                <w:color w:val="auto"/>
              </w:rPr>
              <w:t>F-112</w:t>
            </w: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3" w:name="page244"/>
    <w:bookmarkEnd w:id="24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$1,105 as of June 30, 2022 and December 31, 2021.</w:t>
      </w:r>
    </w:p>
    <w:p>
      <w:pPr>
        <w:spacing w:after="0" w:line="174" w:lineRule="exact"/>
        <w:rPr>
          <w:sz w:val="20"/>
          <w:szCs w:val="20"/>
          <w:color w:val="auto"/>
        </w:rPr>
      </w:pPr>
    </w:p>
    <w:p>
      <w:pPr>
        <w:ind w:left="1000" w:hanging="385"/>
        <w:spacing w:after="0"/>
        <w:tabs>
          <w:tab w:leader="none" w:pos="1000" w:val="left"/>
        </w:tabs>
        <w:numPr>
          <w:ilvl w:val="0"/>
          <w:numId w:val="1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June 30, 2022 and December 31, 2021, the fair value of the warrant liability was $0.</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Convertible Notes and Note Payable</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0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$1,526, respectively. The warrants have a ten-year expiration date from the applicable closing date of March 2031 and June 2031, respectively.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4" w:name="page245"/>
    <w:bookmarkEnd w:id="24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the Business Combination</w:t>
      </w: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59"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03"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Subsequent to the closing of the Business Combination, the Company’s Public Warrants continue to be classified as equity instruments, as they are indexed to the Company’s stock. On the Closing Date, there were 3,324,984 Public Warrants issued and outstanding.</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15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spacing w:after="0" w:line="170" w:lineRule="exact"/>
        <w:rPr>
          <w:sz w:val="20"/>
          <w:szCs w:val="20"/>
          <w:color w:val="auto"/>
        </w:rPr>
      </w:pPr>
    </w:p>
    <w:p>
      <w:pPr>
        <w:ind w:left="1000" w:hanging="385"/>
        <w:spacing w:after="0"/>
        <w:tabs>
          <w:tab w:leader="none" w:pos="1000" w:val="left"/>
        </w:tabs>
        <w:numPr>
          <w:ilvl w:val="0"/>
          <w:numId w:val="1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NOTE AND NOTES PAYABLE</w:t>
      </w: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SNAP June 2020 Note</w:t>
      </w:r>
    </w:p>
    <w:p>
      <w:pPr>
        <w:spacing w:after="0" w:line="146"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5" w:name="page246"/>
    <w:bookmarkEnd w:id="24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SNAP June 2020 Note Qualified Financing shall be at least $30,000, which excludes the conversion of the SNAP June 2020 Note and any other indebtedness.</w:t>
      </w:r>
    </w:p>
    <w:p>
      <w:pPr>
        <w:spacing w:after="0" w:line="10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the SNAP June 2020 Note in cash, pursuant to the following terms (“Redemption Feature”):</w:t>
      </w:r>
    </w:p>
    <w:p>
      <w:pPr>
        <w:spacing w:after="0" w:line="69" w:lineRule="exact"/>
        <w:rPr>
          <w:sz w:val="20"/>
          <w:szCs w:val="20"/>
          <w:color w:val="auto"/>
        </w:rPr>
      </w:pPr>
    </w:p>
    <w:p>
      <w:pPr>
        <w:ind w:left="1860" w:right="619" w:hanging="416"/>
        <w:spacing w:after="0" w:line="292" w:lineRule="auto"/>
        <w:tabs>
          <w:tab w:leader="none" w:pos="1856"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then outstanding principal amount of the respective note plus any unpaid accrued interest on the original principal of such note; and</w:t>
      </w:r>
    </w:p>
    <w:p>
      <w:pPr>
        <w:spacing w:after="0" w:line="81" w:lineRule="exact"/>
        <w:rPr>
          <w:rFonts w:ascii="Times New Roman" w:cs="Times New Roman" w:eastAsia="Times New Roman" w:hAnsi="Times New Roman"/>
          <w:sz w:val="17"/>
          <w:szCs w:val="17"/>
          <w:color w:val="auto"/>
        </w:rPr>
      </w:pPr>
    </w:p>
    <w:p>
      <w:pPr>
        <w:jc w:val="both"/>
        <w:ind w:left="1860" w:right="619" w:hanging="416"/>
        <w:spacing w:after="0" w:line="273" w:lineRule="auto"/>
        <w:tabs>
          <w:tab w:leader="none" w:pos="1856"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98"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June 2020 was $2,460,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31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total amount of debt discount at issuance for the SNAP June 2020 Note was $2,529. The Company amortized the aggregate debt discount using the effective interest method. The Company recognized total interest expense of $150 and $666 associated with the SNAP June 2020 Note for the three and six months ended June 30, 2022, respectively, out of which $97 and $427 relates to the amortization of the debt discount. The Company recognized total interest expense of $499 and $985 associated with the SNAP June 2020 Note for the three and six months ended June 30, 2021, respectively, out of which $312 and $613 relates to the amortization of the debt discount. The debt discount related to the SNAP June 2020 Note is amortized over the life of the instrument, beginning at note issuance and ending on April 26, 2022, the date on which the note was converted.</w:t>
      </w:r>
    </w:p>
    <w:p>
      <w:pPr>
        <w:spacing w:after="0" w:line="11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$30,000, excluding the face value of the SNAP June 2020 Note (“SNAP June 2020 Note Qualified Financing”).</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$15,000 and accrued interest of $1,375 were converted into 368,384 shares of Class A Common Stock. In addition, the remaining debt discount of $230 and related derivative liability with fair value of $4,094 as of the Closing Date were extinguished.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6" w:name="page247"/>
    <w:bookmarkEnd w:id="24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April 26, 2022 and December 31, 2021.</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April 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60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2"/>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1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39"/>
        </w:trPr>
        <w:tc>
          <w:tcPr>
            <w:tcW w:w="36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39"/>
        </w:trPr>
        <w:tc>
          <w:tcPr>
            <w:tcW w:w="36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63"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Accrued interest is included in accrued liabilities on the condensed consolidated balance sheets to reflect the classification of the SNAP June 2020 Note as short-term in nature on December 31, 2021.</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4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$30,000 along with the issuance of warrants to purchase 127,570 shares of Legacy SoundHound’s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108"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June 30, 2022, the interest rate was 10.5%. Payments are interest-only for the first twelve months and are fully amortizable thereafter. The Company recorded stated interest expense in the condensed consolidated statements of operations and comprehensive loss for the three and six months ended June 30, 2022 of $689 and $1,363, respectively, of which $228 remained unpaid as accrued interest during both periods. During both the three and six months ended June 30, 2021, the Company recorded interest expense of $683, of which $225 remained unpaid as accrued interest. The total amount of debt discount at issuance was $3,532. As of June 30, 2022 and December 31, 2021, the unamortized debt discount totaled $102 and $1,086, respectively. During the three and six months ended June 30, 2022, the Company recorded $17 and $984 in interest expense related to the debt discounts, respectively. During both the three and six months ended June 30, 2021, the Company recorded $786 in interest expense related to the debt discounts.</w:t>
      </w:r>
    </w:p>
    <w:p>
      <w:pPr>
        <w:spacing w:after="0" w:line="320"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spacing w:after="0" w:line="306"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on the Closing Date and the performance milestone was met, satisfying the requirements to extend the maturity date to September 1, 2024. Accordingly, the Company has classified $16,050 of the balance as long-term and $12,000 of the balance as short-term as of June 30, 2022 compared to the entirety of the balance as short-term as of December 31, 2021.</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7" w:name="page248"/>
    <w:bookmarkEnd w:id="24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SCI June 2021 Note also contains a final payment provision of 3.5% on each draw or $525 in total. Additionally, warrants were issued alongside the convertible note to purchase 63,785 shares of Legacy SoundHound’s common stock. The warrant’s allocated fair value was $1,526 at issuance. The Company recorded the final payment as an increase to the principal balance and debt discount for the entire payment amount upon each draw.</w:t>
      </w:r>
    </w:p>
    <w:p>
      <w:pPr>
        <w:spacing w:after="0" w:line="10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As the warrants and discounts of $2,150 are directly attributable to the total commitment of $15,000,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$209 and $775 in interest expense related to the debt discounts during the three and six months ended June 30, 2022, respectively, and $138 in interest expense related to the debt discounts during both the three and six months ended June 30, 2021. As of June 30, 2022 and December 31, 2021, the unamortized debt discount totaled $357 and $1,132, respectively.</w:t>
      </w:r>
    </w:p>
    <w:p>
      <w:pPr>
        <w:spacing w:after="0" w:line="95"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June 30, 2022, the interest rate is 10.5%. Payments are interest-only for the first twelve months and are fully amortizing thereafter. The Company incurred and paid $365 and $703 in stated interest in the condensed consolidated statements of operations and comprehensive loss for the three and six months ended June 30, 2022, respectively, and $21 in stated interest during both the three and six months ended June 30, 2021.</w:t>
      </w:r>
    </w:p>
    <w:p>
      <w:pPr>
        <w:spacing w:after="0" w:line="316"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amortization date is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spacing w:after="0" w:line="113"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$5,000 of the balance as long-term and $10,108 of the balance as short-term as of June 30, 2022 compared to the entirety of the balance as short-term as of December 31, 2021. Additionally, as the Company and its Agent did not mutually consent to the equity conversion that could have been triggered by the Business Combination, the conversion feature no longer existed subsequent to the Closing Date. As of June 30, 2022, the SCI June 2021 Note was classified as a note payable.</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below tables summarize the Company’s debt balances as of June 30, 2022 and December 31, 2021:</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SVB</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7"/>
              <w:spacing w:after="0" w:line="171"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5"/>
              </w:rPr>
              <w:t>June 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5"/>
        </w:trPr>
        <w:tc>
          <w:tcPr>
            <w:tcW w:w="3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Notes payable, net of current portion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720" w:type="dxa"/>
            <w:vAlign w:val="bottom"/>
            <w:vMerge w:val="continue"/>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27,948</w:t>
            </w:r>
          </w:p>
        </w:tc>
        <w:tc>
          <w:tcPr>
            <w:tcW w:w="1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15,108</w:t>
            </w: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43,056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72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26670</wp:posOffset>
            </wp:positionV>
            <wp:extent cx="49396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248" w:name="page249"/>
    <w:bookmarkEnd w:id="24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40"/>
              <w:spacing w:after="0" w:line="171"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5"/>
        </w:trPr>
        <w:tc>
          <w:tcPr>
            <w:tcW w:w="37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June 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5"/>
        </w:trPr>
        <w:tc>
          <w:tcPr>
            <w:tcW w:w="372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shd w:val="clear" w:color="auto" w:fill="CCEEFF"/>
          </w:tcPr>
          <w:p>
            <w:pPr>
              <w:spacing w:after="0"/>
              <w:rPr>
                <w:sz w:val="20"/>
                <w:szCs w:val="20"/>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65"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FAIR VALUE MEASUREMENTS</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11"/>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6"/>
              </w:rPr>
              <w:t>Fair Value Measurements as of</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June 30, 2022</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78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equivalents</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0" w:type="dxa"/>
            <w:vAlign w:val="bottom"/>
          </w:tcPr>
          <w:p>
            <w:pPr>
              <w:spacing w:after="0"/>
              <w:rPr>
                <w:sz w:val="21"/>
                <w:szCs w:val="21"/>
                <w:color w:val="auto"/>
              </w:rPr>
            </w:pP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4"/>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2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4"/>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11"/>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6"/>
              </w:rPr>
              <w:t>Fair Value Measurements as of</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4"/>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78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equivalents</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4,863</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4"/>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78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8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liability</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39"/>
        </w:trPr>
        <w:tc>
          <w:tcPr>
            <w:tcW w:w="3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8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4,863</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4"/>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F-118</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49" w:name="page250"/>
    <w:bookmarkEnd w:id="24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fair values of the derivative liabilities were determined based on significant inputs not observable in the market, which represent Level 3 measurements within the fair value hierarchy.</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revalued the Series C warrants as of June 30, 2021, resulting in a change in fair value of $611 and $864 during the three and six months ended June 30, 2021, respectively. This change in fair value was recorded as a component of other income (expense), net, in the accompanying condensed consolidated statements of operations and comprehensive loss.</w:t>
      </w:r>
    </w:p>
    <w:p>
      <w:pPr>
        <w:spacing w:after="0" w:line="90"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redeemable convertible preferred stock warrants using the Black-Scholes-Merton option-pricing model using the following assumptions: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2.14</w:t>
            </w:r>
          </w:p>
        </w:tc>
      </w:tr>
    </w:tbl>
    <w:p>
      <w:pPr>
        <w:spacing w:after="0" w:line="189"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Upon exercise in December 2021, the warrants were recorded as Series C Preferred Stock at their fair value of $5,816 upon net share settlement.</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value of the debt proceeds of $2,316 and $1,526,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98"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p>
      <w:pPr>
        <w:spacing w:after="0" w:line="45" w:lineRule="exact"/>
        <w:rPr>
          <w:sz w:val="20"/>
          <w:szCs w:val="20"/>
          <w:color w:val="auto"/>
        </w:rPr>
      </w:pPr>
    </w:p>
    <w:tbl>
      <w:tblPr>
        <w:tblLayout w:type="fixed"/>
        <w:tblInd w:w="620" w:type="dxa"/>
        <w:tblCellMar>
          <w:top w:w="0" w:type="dxa"/>
          <w:left w:w="0" w:type="dxa"/>
          <w:bottom w:w="0" w:type="dxa"/>
          <w:right w:w="0" w:type="dxa"/>
        </w:tblCellMar>
      </w:tblPr>
      <w:tr>
        <w:trPr>
          <w:trHeight w:val="252"/>
        </w:trPr>
        <w:tc>
          <w:tcPr>
            <w:tcW w:w="380" w:type="dxa"/>
            <w:vAlign w:val="bottom"/>
          </w:tcPr>
          <w:p>
            <w:pPr>
              <w:spacing w:after="0"/>
              <w:rPr>
                <w:sz w:val="21"/>
                <w:szCs w:val="21"/>
                <w:color w:val="auto"/>
              </w:rPr>
            </w:pPr>
          </w:p>
        </w:tc>
        <w:tc>
          <w:tcPr>
            <w:tcW w:w="3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29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Risk-free interest rate</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3500" w:type="dxa"/>
            <w:vAlign w:val="bottom"/>
            <w:gridSpan w:val="2"/>
          </w:tcPr>
          <w:p>
            <w:pPr>
              <w:spacing w:after="0"/>
              <w:rPr>
                <w:sz w:val="3"/>
                <w:szCs w:val="3"/>
                <w:color w:val="auto"/>
              </w:rPr>
            </w:pPr>
          </w:p>
        </w:tc>
        <w:tc>
          <w:tcPr>
            <w:tcW w:w="29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4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(in years)</w:t>
            </w:r>
          </w:p>
        </w:tc>
        <w:tc>
          <w:tcPr>
            <w:tcW w:w="42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10.00</w:t>
            </w:r>
          </w:p>
        </w:tc>
      </w:tr>
      <w:tr>
        <w:trPr>
          <w:trHeight w:val="435"/>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
        </w:trPr>
        <w:tc>
          <w:tcPr>
            <w:tcW w:w="3500" w:type="dxa"/>
            <w:vAlign w:val="bottom"/>
            <w:gridSpan w:val="2"/>
          </w:tcPr>
          <w:p>
            <w:pPr>
              <w:spacing w:after="0"/>
              <w:rPr>
                <w:sz w:val="3"/>
                <w:szCs w:val="3"/>
                <w:color w:val="auto"/>
              </w:rPr>
            </w:pPr>
          </w:p>
        </w:tc>
        <w:tc>
          <w:tcPr>
            <w:tcW w:w="4280" w:type="dxa"/>
            <w:vAlign w:val="bottom"/>
            <w:gridSpan w:val="2"/>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3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29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Risk-free interest rate</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3500" w:type="dxa"/>
            <w:vAlign w:val="bottom"/>
            <w:gridSpan w:val="2"/>
          </w:tcPr>
          <w:p>
            <w:pPr>
              <w:spacing w:after="0"/>
              <w:rPr>
                <w:sz w:val="3"/>
                <w:szCs w:val="3"/>
                <w:color w:val="auto"/>
              </w:rPr>
            </w:pPr>
          </w:p>
        </w:tc>
        <w:tc>
          <w:tcPr>
            <w:tcW w:w="4280" w:type="dxa"/>
            <w:vAlign w:val="bottom"/>
            <w:gridSpan w:val="2"/>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4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(in years)</w:t>
            </w:r>
          </w:p>
        </w:tc>
        <w:tc>
          <w:tcPr>
            <w:tcW w:w="42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10.00</w:t>
            </w:r>
          </w:p>
        </w:tc>
      </w:tr>
      <w:tr>
        <w:trPr>
          <w:trHeight w:val="415"/>
        </w:trPr>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3614"/>
              <w:spacing w:after="0"/>
              <w:rPr>
                <w:sz w:val="20"/>
                <w:szCs w:val="20"/>
                <w:color w:val="auto"/>
              </w:rPr>
            </w:pPr>
            <w:r>
              <w:rPr>
                <w:rFonts w:ascii="Times New Roman" w:cs="Times New Roman" w:eastAsia="Times New Roman" w:hAnsi="Times New Roman"/>
                <w:sz w:val="17"/>
                <w:szCs w:val="17"/>
                <w:color w:val="auto"/>
              </w:rPr>
              <w:t>F-119</w:t>
            </w:r>
          </w:p>
        </w:tc>
      </w:tr>
    </w:tbl>
    <w:p>
      <w:pPr>
        <w:sectPr>
          <w:pgSz w:w="11900" w:h="16838" w:orient="portrait"/>
          <w:cols w:equalWidth="0" w:num="1">
            <w:col w:w="9019"/>
          </w:cols>
          <w:pgMar w:left="1440" w:top="264" w:right="1440" w:bottom="1440" w:gutter="0" w:footer="0" w:header="0"/>
        </w:sectPr>
      </w:pPr>
    </w:p>
    <w:bookmarkStart w:id="250" w:name="page251"/>
    <w:bookmarkEnd w:id="25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Upon the Closing of the Business Combination, all outstanding warrants associated with the SVB March 2021 Note and SCI June 2021 Note were exercised, leading to a net issuance of 673,416 shares of Class A Common Stock.</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Public and Private Common Stock 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$144.</w:t>
      </w:r>
    </w:p>
    <w:p>
      <w:pPr>
        <w:spacing w:after="0" w:line="9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Following the Business Combination and as of June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35"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06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r>
      <w:tr>
        <w:trPr>
          <w:trHeight w:val="45"/>
        </w:trPr>
        <w:tc>
          <w:tcPr>
            <w:tcW w:w="61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w:t>
            </w:r>
          </w:p>
        </w:tc>
      </w:tr>
      <w:tr>
        <w:trPr>
          <w:trHeight w:val="39"/>
        </w:trPr>
        <w:tc>
          <w:tcPr>
            <w:tcW w:w="6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6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9"/>
        </w:trPr>
        <w:tc>
          <w:tcPr>
            <w:tcW w:w="6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r>
        <w:trPr>
          <w:trHeight w:val="33"/>
        </w:trPr>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w:t>
            </w:r>
          </w:p>
        </w:tc>
      </w:tr>
    </w:tbl>
    <w:p>
      <w:pPr>
        <w:spacing w:after="0" w:line="2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9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On April 26, 2022, the Closing of the Business Combination, the embedded derivative was valued at fair value which was equivalent to its intrinsic value. The embedded derivative had a fair value of $4,094. As the Closing of the Business Combination triggered the Conversion Feature contained within the SNAP June 2020 Note, therefore converting the note’s principal to equity, the embedded derivative associated with the note was 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1" w:name="page252"/>
    <w:bookmarkEnd w:id="25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following table summarizes the fair value remeasurement of the embedded derivative for the three and six months ended June 30, 2022 and 2021:</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Six Months Ended</w:t>
            </w:r>
          </w:p>
        </w:tc>
      </w:tr>
      <w:tr>
        <w:trPr>
          <w:trHeight w:val="205"/>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169"/>
        </w:trPr>
        <w:tc>
          <w:tcPr>
            <w:tcW w:w="20" w:type="dxa"/>
            <w:vAlign w:val="bottom"/>
          </w:tcPr>
          <w:p>
            <w:pPr>
              <w:spacing w:after="0"/>
              <w:rPr>
                <w:sz w:val="14"/>
                <w:szCs w:val="14"/>
                <w:color w:val="auto"/>
              </w:rPr>
            </w:pPr>
          </w:p>
        </w:tc>
        <w:tc>
          <w:tcPr>
            <w:tcW w:w="25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Remeasurement of conversion</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45"/>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feature – (loss)/gain</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(606)  $</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(450)</w:t>
            </w: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following tables set forth a summary of changes in fair value of the Company’s derivative liability and warrant liability for which fair value was determined by Level 3 inputs: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Derivative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5"/>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Liability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Liability</w:t>
            </w:r>
          </w:p>
        </w:tc>
        <w:tc>
          <w:tcPr>
            <w:tcW w:w="0" w:type="dxa"/>
            <w:vAlign w:val="bottom"/>
          </w:tcPr>
          <w:p>
            <w:pPr>
              <w:spacing w:after="0"/>
              <w:rPr>
                <w:sz w:val="1"/>
                <w:szCs w:val="1"/>
                <w:color w:val="auto"/>
              </w:rPr>
            </w:pPr>
          </w:p>
        </w:tc>
      </w:tr>
      <w:tr>
        <w:trPr>
          <w:trHeight w:val="45"/>
        </w:trPr>
        <w:tc>
          <w:tcPr>
            <w:tcW w:w="458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46"/>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June 30, 2021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2,830</w:t>
            </w:r>
          </w:p>
        </w:tc>
        <w:tc>
          <w:tcPr>
            <w:tcW w:w="26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Derivative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5"/>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Liability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Liability</w:t>
            </w:r>
          </w:p>
        </w:tc>
        <w:tc>
          <w:tcPr>
            <w:tcW w:w="0" w:type="dxa"/>
            <w:vAlign w:val="bottom"/>
          </w:tcPr>
          <w:p>
            <w:pPr>
              <w:spacing w:after="0"/>
              <w:rPr>
                <w:sz w:val="1"/>
                <w:szCs w:val="1"/>
                <w:color w:val="auto"/>
              </w:rPr>
            </w:pPr>
          </w:p>
        </w:tc>
      </w:tr>
      <w:tr>
        <w:trPr>
          <w:trHeight w:val="45"/>
        </w:trPr>
        <w:tc>
          <w:tcPr>
            <w:tcW w:w="458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Extinguishment of embedded derivative upon conversion of</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convertible note</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(4,094)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as of June 30, 2022</w:t>
            </w: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gridSpan w:val="2"/>
            <w:vMerge w:val="continue"/>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3"/>
          </w:tcPr>
          <w:p>
            <w:pPr>
              <w:jc w:val="right"/>
              <w:ind w:right="4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for the six months ended June 30, 2022. The Company had no other financial assets or liabilities that were required to be measured at fair value on a recurring basis.</w:t>
      </w:r>
    </w:p>
    <w:p>
      <w:pPr>
        <w:spacing w:after="0" w:line="161"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11.</w:t>
        <w:tab/>
        <w:t>PREFERRED STOCK</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 summary of the Legacy SoundHound Preferred Stock authorized, issued and outstanding as of the date of the Business Combination is as follows</w:t>
      </w:r>
      <w:r>
        <w:rPr>
          <w:rFonts w:ascii="Times New Roman" w:cs="Times New Roman" w:eastAsia="Times New Roman" w:hAnsi="Times New Roman"/>
          <w:sz w:val="17"/>
          <w:szCs w:val="17"/>
          <w:i w:val="1"/>
          <w:iCs w:val="1"/>
          <w:color w:val="auto"/>
        </w:rPr>
        <w:t>:</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w w:val="96"/>
              </w:rPr>
              <w:t>Liquidation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3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Authorized</w:t>
            </w: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B</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C-1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527,992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20,835,869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127,785,195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106,949,326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1,582,562</w:t>
            </w:r>
          </w:p>
        </w:tc>
        <w:tc>
          <w:tcPr>
            <w:tcW w:w="2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61"/>
        </w:trPr>
        <w:tc>
          <w:tcPr>
            <w:tcW w:w="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7"/>
                <w:szCs w:val="17"/>
                <w:color w:val="auto"/>
              </w:rPr>
              <w:t>F-121</w:t>
            </w: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52" w:name="page253"/>
    <w:bookmarkEnd w:id="25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 xml:space="preserve">PREFERRED STOCK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June 30, 2022.</w:t>
      </w:r>
    </w:p>
    <w:p>
      <w:pPr>
        <w:spacing w:after="0" w:line="385"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COMMON STOCK</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 had 250,030,433 shares of Legacy SoundHound common stock authorized for issuance prior to the closing of the Business Combination.</w:t>
      </w:r>
    </w:p>
    <w:p>
      <w:pPr>
        <w:spacing w:after="0" w:line="8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w:t>
      </w:r>
    </w:p>
    <w:p>
      <w:pPr>
        <w:spacing w:after="0" w:line="1" w:lineRule="exact"/>
        <w:rPr>
          <w:sz w:val="20"/>
          <w:szCs w:val="20"/>
          <w:color w:val="auto"/>
        </w:rPr>
      </w:pPr>
    </w:p>
    <w:p>
      <w:pPr>
        <w:jc w:val="both"/>
        <w:ind w:left="1020" w:right="639" w:firstLine="9"/>
        <w:spacing w:after="0" w:line="262" w:lineRule="auto"/>
        <w:tabs>
          <w:tab w:leader="none" w:pos="1265"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44,000,000 shares of Class B Common Stock with a par value of $0.0001 per share, and (c) 1,000,000 shares of preferred stock with a par value of $0.0001 per share. The outstanding shares of the Company’s common stock are fully paid and non-assessable.</w:t>
      </w:r>
    </w:p>
    <w:p>
      <w:pPr>
        <w:spacing w:after="0" w:line="106"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98"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3" w:name="page254"/>
    <w:bookmarkEnd w:id="25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STOCK INCENTIVE PLANS</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April 2016, we adopted the 2016 Equity Incentive Plan (the “2016 Plan”) as a successor and continuation of the 2006 Plan (collectively, the “Plans”). Under the Plans, the Company may grant awards of stock options and RSUs, as well as stock appreciation rights and other stock awards. During the year ended December 31, 2021, the Company amended the 2016 Plan to increase the number of shares of common stock reserved for issuance under the Plans by 6,667,478 to an aggregate of 48,347,329. As of the Closing Date of the Business Combination, the Company no longer has shares available for issuance under the 2016 Plan.</w:t>
      </w:r>
    </w:p>
    <w:p>
      <w:pPr>
        <w:spacing w:after="0" w:line="1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322"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On April 26, 2022, the stockholders of the Company approved the SoundHound AI, Inc. 2022 Incentive Award Plan (the “2022 Incentive Plan”), which become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June 30, 2022, the Company has 15,700,371 awards remaining for issuance.</w:t>
      </w:r>
    </w:p>
    <w:p>
      <w:pPr>
        <w:spacing w:after="0" w:line="310"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On April 26, 2022, the stockholders of the Company approved SoundHound AI, Inc. 2022 Employee Stock Purchase Plan (the “ESPP”), which become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has not begun as of June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of the stock price on the purchase date is less than the stock price on the offering date.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4" w:name="page255"/>
    <w:bookmarkEnd w:id="25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six months ended June 30, 2022:</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5"/>
        </w:trPr>
        <w:tc>
          <w:tcPr>
            <w:tcW w:w="3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30,361,405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Authorized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(2,624,634)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20,705</w:t>
            </w: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forfeited or cancelled</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(412,707)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Outstanding, June 30, 2022</w:t>
            </w: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0" w:type="dxa"/>
            <w:vAlign w:val="bottom"/>
          </w:tcPr>
          <w:p>
            <w:pPr>
              <w:spacing w:after="0" w:line="20" w:lineRule="exact"/>
              <w:rPr>
                <w:sz w:val="1"/>
                <w:szCs w:val="1"/>
                <w:color w:val="auto"/>
              </w:rPr>
            </w:pPr>
          </w:p>
        </w:tc>
      </w:tr>
      <w:tr>
        <w:trPr>
          <w:trHeight w:val="273"/>
        </w:trPr>
        <w:tc>
          <w:tcPr>
            <w:tcW w:w="3020" w:type="dxa"/>
            <w:vAlign w:val="bottom"/>
            <w:vMerge w:val="continue"/>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27,501,865</w:t>
            </w:r>
          </w:p>
        </w:tc>
        <w:tc>
          <w:tcPr>
            <w:tcW w:w="1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02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Options exercisable as of June 30,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17,684,206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80" w:type="dxa"/>
            <w:vAlign w:val="bottom"/>
            <w:tcBorders>
              <w:top w:val="single" w:sz="8" w:color="CCEEFF"/>
              <w:bottom w:val="single" w:sz="8" w:color="CCEEFF"/>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7,750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six months ended June 30, 2021:</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5"/>
        </w:trPr>
        <w:tc>
          <w:tcPr>
            <w:tcW w:w="3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28,772,180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Authorized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989,018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4,996</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(1,966,115)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5,947</w:t>
            </w: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forfeited or cancelled</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(1,162,848)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Outstanding, June 30, 2021</w:t>
            </w: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172,816</w:t>
            </w:r>
          </w:p>
        </w:tc>
        <w:tc>
          <w:tcPr>
            <w:tcW w:w="0" w:type="dxa"/>
            <w:vAlign w:val="bottom"/>
          </w:tcPr>
          <w:p>
            <w:pPr>
              <w:spacing w:after="0" w:line="20" w:lineRule="exact"/>
              <w:rPr>
                <w:sz w:val="1"/>
                <w:szCs w:val="1"/>
                <w:color w:val="auto"/>
              </w:rPr>
            </w:pPr>
          </w:p>
        </w:tc>
      </w:tr>
      <w:tr>
        <w:trPr>
          <w:trHeight w:val="226"/>
        </w:trPr>
        <w:tc>
          <w:tcPr>
            <w:tcW w:w="30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26,632,235</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exercisable as of June 30,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17,078,959</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119,390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six months ended June 30, 2022 or year ended December 31, 2021 that were subject to repurchase.</w:t>
      </w:r>
    </w:p>
    <w:p>
      <w:pPr>
        <w:spacing w:after="0" w:line="90"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total fair value of options vested was approximately $1,893 and $3,468 during the three and six months ended June 30, 2022 respectively as compared to $933 and $1,969 for the three and six months ended June 30, 2021, respectively.</w:t>
      </w:r>
    </w:p>
    <w:p>
      <w:pPr>
        <w:spacing w:after="0" w:line="98"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5" w:name="page256"/>
    <w:bookmarkEnd w:id="25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during the six-month periods ended June 30, 2022 and June 30, 2021 are as follows: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5"/>
        </w:trPr>
        <w:tc>
          <w:tcPr>
            <w:tcW w:w="4980" w:type="dxa"/>
            <w:vAlign w:val="bottom"/>
          </w:tcPr>
          <w:p>
            <w:pPr>
              <w:spacing w:after="0"/>
              <w:rPr>
                <w:sz w:val="17"/>
                <w:szCs w:val="17"/>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9"/>
        </w:trPr>
        <w:tc>
          <w:tcPr>
            <w:tcW w:w="4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5.98</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6.06</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As of June 30, 2022, the unamortized expense related to outstanding options was $20,943. The weighted average remaining amortization period over which the balance as of June 30, 2022 is to be amortized is 2.74 years. No income tax benefit was recognized for this compensation expense in the condensed consolidated statements of operations and comprehensive loss, as the Company does not anticipate realizing any such benefit in the future.</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Activity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Restricted stock unit activity under the Plans was as follows for the six months ended June 30, 2022:</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94"/>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94"/>
        </w:trPr>
        <w:tc>
          <w:tcPr>
            <w:tcW w:w="50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205"/>
        </w:trPr>
        <w:tc>
          <w:tcPr>
            <w:tcW w:w="500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45"/>
        </w:trPr>
        <w:tc>
          <w:tcPr>
            <w:tcW w:w="50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5,918,392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r>
      <w:tr>
        <w:trPr>
          <w:trHeight w:val="39"/>
        </w:trPr>
        <w:tc>
          <w:tcPr>
            <w:tcW w:w="5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(117,340)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r>
      <w:tr>
        <w:trPr>
          <w:trHeight w:val="246"/>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(9,794)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r>
      <w:tr>
        <w:trPr>
          <w:trHeight w:val="26"/>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June 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5,791,258</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assessed an accounting grant date on June 2, 2022 for the issuance of 2,310,000 RSUs, 970,000 Performance-Based RSUs and 670,000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spacing w:after="0" w:line="105"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recorded stock-based compensation expense of $53 related to Performance-Based RSUs during the three months ended June 30, 2022. Unamortized expense related to Performance-Based RSUs was $7,659 as of June 30, 2022.</w:t>
      </w:r>
    </w:p>
    <w:p>
      <w:pPr>
        <w:spacing w:after="0" w:line="85"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assumptions under the Monte Carlo simulation model and the calculated fair value of the Market-</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Based RSUs granted to employees during the three months ended June 30, 2022 were as follows: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5"/>
        </w:trPr>
        <w:tc>
          <w:tcPr>
            <w:tcW w:w="3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80" w:type="dxa"/>
            <w:vAlign w:val="bottom"/>
            <w:gridSpan w:val="2"/>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76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4"/>
        </w:trPr>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(years)</w:t>
            </w:r>
          </w:p>
        </w:tc>
        <w:tc>
          <w:tcPr>
            <w:tcW w:w="49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w:t>
            </w:r>
          </w:p>
        </w:tc>
      </w:tr>
      <w:tr>
        <w:trPr>
          <w:trHeight w:val="39"/>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Drift rate</w:t>
            </w:r>
          </w:p>
        </w:tc>
        <w:tc>
          <w:tcPr>
            <w:tcW w:w="4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389"/>
        </w:trPr>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2"/>
          </w:tcPr>
          <w:p>
            <w:pPr>
              <w:jc w:val="right"/>
              <w:ind w:right="3598"/>
              <w:spacing w:after="0"/>
              <w:rPr>
                <w:sz w:val="20"/>
                <w:szCs w:val="20"/>
                <w:color w:val="auto"/>
              </w:rPr>
            </w:pPr>
            <w:r>
              <w:rPr>
                <w:rFonts w:ascii="Times New Roman" w:cs="Times New Roman" w:eastAsia="Times New Roman" w:hAnsi="Times New Roman"/>
                <w:sz w:val="17"/>
                <w:szCs w:val="17"/>
                <w:color w:val="auto"/>
              </w:rPr>
              <w:t>F-125</w:t>
            </w:r>
          </w:p>
        </w:tc>
      </w:tr>
    </w:tbl>
    <w:p>
      <w:pPr>
        <w:sectPr>
          <w:pgSz w:w="11900" w:h="16838" w:orient="portrait"/>
          <w:cols w:equalWidth="0" w:num="1">
            <w:col w:w="9019"/>
          </w:cols>
          <w:pgMar w:left="1440" w:top="264" w:right="1440" w:bottom="1440" w:gutter="0" w:footer="0" w:header="0"/>
        </w:sectPr>
      </w:pPr>
    </w:p>
    <w:bookmarkStart w:id="256" w:name="page257"/>
    <w:bookmarkEnd w:id="25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weighted average grant date fair value of the Market-Based RSUs was $3.57. The Company recorded $44 in stock-based compensation expense related to Market-Based RSUs during the three months ended June 30, 2022. Unamortized expense related to Market-Based RSUs was $2,267 as of June 30, 2022.</w:t>
      </w:r>
    </w:p>
    <w:p>
      <w:pPr>
        <w:spacing w:after="0" w:line="98"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During the three and six months ended June 30, 2022, the fair value of RSUs that vested was $942. During the three and six months ended June 30, 2022 the Company recorded $4,454 and $4,488, respectively, of stock-based compensation related to RSUs. As of June 30, 2022, the unamortized expense related to RSUs was $17,033. The weighted average remaining amortization period over which the balance as of June 30, 2022 is to be amortized is 3.64 years. No income tax benefit was recognized for this compensation expense in the condensed consolidated statements of operations and comprehensive loss, as the Company does not anticipate realizing any such benefit in the future.</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10 votes per share, the exchange resulted in incremental stock-based compensation expense of $963 which is included in general and administrative expenses on the condensed consolidated statements of operations and comprehensive loss for the three month period ended June 30, 2022.</w:t>
      </w:r>
    </w:p>
    <w:p>
      <w:pPr>
        <w:spacing w:after="0" w:line="108"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three and six months ended June 30, 2022, the Company’s stock compensation expense was $7,863 and $10,327, respectively, as compared to $1,346 and $2,734 for the three and six months ended June 30, 2021, respectively. Stock-based compensation is classified in the following operating expense accounts on the condensed consolidated statements of operations and comprehensive loss for the three and six months ended June 30, 2022 and 2021:</w:t>
      </w:r>
    </w:p>
    <w:p>
      <w:pPr>
        <w:spacing w:after="0" w:line="133"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4"/>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45"/>
        </w:trPr>
        <w:tc>
          <w:tcPr>
            <w:tcW w:w="26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39"/>
        </w:trPr>
        <w:tc>
          <w:tcPr>
            <w:tcW w:w="26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w:t>
            </w:r>
          </w:p>
        </w:tc>
      </w:tr>
      <w:tr>
        <w:trPr>
          <w:trHeight w:val="246"/>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r>
      <w:tr>
        <w:trPr>
          <w:trHeight w:val="26"/>
        </w:trPr>
        <w:tc>
          <w:tcPr>
            <w:tcW w:w="2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7,863</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w:t>
            </w: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w:t>
            </w:r>
          </w:p>
        </w:tc>
        <w:tc>
          <w:tcPr>
            <w:tcW w:w="4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w:t>
            </w: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Executive Options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in 2017 and 2020 for the same quantity previously granted, but with an exercise price set to the then fair value of common stock determined in accordance with a board approved 409A.</w:t>
      </w:r>
    </w:p>
    <w:p>
      <w:pPr>
        <w:spacing w:after="0" w:line="105"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7" w:name="page258"/>
    <w:bookmarkEnd w:id="25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price upon a change in control transaction as defined in the Company’s 2016 Equity Incentive Plan, provided that such a transaction also constitutes a “Liquidation Transaction” as defined in the Company’s Certificate of Incorporation.</w:t>
      </w:r>
    </w:p>
    <w:p>
      <w:pPr>
        <w:spacing w:after="0" w:line="98"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maximum change in control bonus for executive award holders is $5,837 and remains unamortized as of June 30, 2022.</w:t>
      </w:r>
    </w:p>
    <w:p>
      <w:pPr>
        <w:spacing w:after="0" w:line="145"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LEASES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0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were as follows as of June 30, 2022:</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1"/>
              </w:rPr>
              <w:t>Lease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40" w:type="dxa"/>
            <w:vAlign w:val="bottom"/>
            <w:tcBorders>
              <w:bottom w:val="single" w:sz="8" w:color="CCEEFF"/>
            </w:tcBorders>
          </w:tcPr>
          <w:p>
            <w:pPr>
              <w:spacing w:after="0"/>
              <w:rPr>
                <w:sz w:val="3"/>
                <w:szCs w:val="3"/>
                <w:color w:val="auto"/>
              </w:rPr>
            </w:pPr>
          </w:p>
        </w:tc>
        <w:tc>
          <w:tcPr>
            <w:tcW w:w="3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11,747</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6"/>
              </w:rPr>
              <w:t>(1,324)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10,423</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6"/>
              </w:rPr>
              <w:t>(3,299)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The components of lease cost were as follows:</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9"/>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3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5"/>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jc w:val="right"/>
              <w:ind w:right="458"/>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w:t>
            </w:r>
          </w:p>
        </w:tc>
        <w:tc>
          <w:tcPr>
            <w:tcW w:w="0" w:type="dxa"/>
            <w:vAlign w:val="bottom"/>
          </w:tcPr>
          <w:p>
            <w:pPr>
              <w:spacing w:after="0"/>
              <w:rPr>
                <w:sz w:val="1"/>
                <w:szCs w:val="1"/>
                <w:color w:val="auto"/>
              </w:rPr>
            </w:pPr>
          </w:p>
        </w:tc>
      </w:tr>
      <w:tr>
        <w:trPr>
          <w:trHeight w:val="234"/>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39"/>
        </w:trPr>
        <w:tc>
          <w:tcPr>
            <w:tcW w:w="33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cost: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0" w:type="dxa"/>
            <w:vAlign w:val="bottom"/>
          </w:tcPr>
          <w:p>
            <w:pPr>
              <w:spacing w:after="0"/>
              <w:rPr>
                <w:sz w:val="1"/>
                <w:szCs w:val="1"/>
                <w:color w:val="auto"/>
              </w:rPr>
            </w:pPr>
          </w:p>
        </w:tc>
      </w:tr>
      <w:tr>
        <w:trPr>
          <w:trHeight w:val="39"/>
        </w:trPr>
        <w:tc>
          <w:tcPr>
            <w:tcW w:w="33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3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table below presents additional information related to our leases as of June 30, 2022:</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366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3.85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1.55</w:t>
            </w:r>
          </w:p>
        </w:tc>
      </w:tr>
      <w:tr>
        <w:trPr>
          <w:trHeight w:val="234"/>
        </w:trPr>
        <w:tc>
          <w:tcPr>
            <w:tcW w:w="36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820" w:type="dxa"/>
            <w:vAlign w:val="bottom"/>
            <w:gridSpan w:val="2"/>
          </w:tcPr>
          <w:p>
            <w:pPr>
              <w:ind w:left="2340"/>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w:t>
            </w:r>
          </w:p>
        </w:tc>
      </w:tr>
      <w:tr>
        <w:trPr>
          <w:trHeight w:val="415"/>
        </w:trPr>
        <w:tc>
          <w:tcPr>
            <w:tcW w:w="3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F-127</w:t>
            </w: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58" w:name="page259"/>
    <w:bookmarkEnd w:id="25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Company’s total rent expense for the three and six months ended June 30, 2022 was $934 and $1,856, respectively. The Company’s total rent expense for the three and six months ended June 30, 2021 was $923 and $1,959, respectively.</w:t>
      </w:r>
    </w:p>
    <w:p>
      <w:pPr>
        <w:spacing w:after="0" w:line="161"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OTHER INCOME (EXPENSE), NET</w:t>
      </w:r>
    </w:p>
    <w:p>
      <w:pPr>
        <w:spacing w:after="0" w:line="157"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Other income (expense), net on the condensed consolidated statements of operations and comprehensive loss is comprised of the following for the three and six months ended June 30, 2022 and 2021:</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6"/>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5"/>
        </w:trPr>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0"/>
        </w:trPr>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9"/>
                <w:szCs w:val="19"/>
                <w:color w:val="auto"/>
              </w:rPr>
            </w:pPr>
          </w:p>
        </w:tc>
      </w:tr>
      <w:tr>
        <w:trPr>
          <w:trHeight w:val="45"/>
        </w:trPr>
        <w:tc>
          <w:tcPr>
            <w:tcW w:w="3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5"/>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4"/>
        </w:trPr>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r>
      <w:tr>
        <w:trPr>
          <w:trHeight w:val="39"/>
        </w:trPr>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9"/>
        </w:trPr>
        <w:tc>
          <w:tcPr>
            <w:tcW w:w="31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5"/>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warrant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(1,314)</w:t>
            </w:r>
          </w:p>
        </w:tc>
      </w:tr>
      <w:tr>
        <w:trPr>
          <w:trHeight w:val="246"/>
        </w:trPr>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(234)</w:t>
            </w:r>
          </w:p>
        </w:tc>
      </w:tr>
      <w:tr>
        <w:trPr>
          <w:trHeight w:val="26"/>
        </w:trPr>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NET LOSS PER SHARE</w:t>
      </w:r>
    </w:p>
    <w:p>
      <w:pPr>
        <w:spacing w:after="0" w:line="157" w:lineRule="exact"/>
        <w:rPr>
          <w:sz w:val="20"/>
          <w:szCs w:val="20"/>
          <w:color w:val="auto"/>
        </w:rPr>
      </w:pPr>
    </w:p>
    <w:p>
      <w:pPr>
        <w:ind w:left="1020" w:right="619"/>
        <w:spacing w:after="0" w:line="292"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three and six months ended June 30, 2022 and 2021:</w:t>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Numerator:</w:t>
      </w:r>
    </w:p>
    <w:p>
      <w:pPr>
        <w:spacing w:after="0" w:line="7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Net loss</w:t>
      </w:r>
    </w:p>
    <w:p>
      <w:pPr>
        <w:spacing w:after="0" w:line="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Denominator:</w:t>
      </w:r>
    </w:p>
    <w:p>
      <w:pPr>
        <w:spacing w:after="0" w:line="51" w:lineRule="exact"/>
        <w:rPr>
          <w:sz w:val="20"/>
          <w:szCs w:val="20"/>
          <w:color w:val="auto"/>
        </w:rPr>
      </w:pPr>
    </w:p>
    <w:p>
      <w:pPr>
        <w:ind w:left="1160" w:hanging="215"/>
        <w:spacing w:after="0" w:line="292" w:lineRule="auto"/>
        <w:rPr>
          <w:sz w:val="20"/>
          <w:szCs w:val="20"/>
          <w:color w:val="auto"/>
        </w:rPr>
      </w:pPr>
      <w:r>
        <w:rPr>
          <w:rFonts w:ascii="Times New Roman" w:cs="Times New Roman" w:eastAsia="Times New Roman" w:hAnsi="Times New Roman"/>
          <w:sz w:val="17"/>
          <w:szCs w:val="17"/>
          <w:color w:val="auto"/>
        </w:rPr>
        <w:t>Weighted average shares outstanding – basic and dilutive</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6"/>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8"/>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6"/>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8"/>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499"/>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(30,668)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(55,771)</w:t>
            </w: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42"/>
              <w:spacing w:after="0"/>
              <w:rPr>
                <w:sz w:val="20"/>
                <w:szCs w:val="20"/>
                <w:color w:val="auto"/>
              </w:rPr>
            </w:pPr>
            <w:r>
              <w:rPr>
                <w:rFonts w:ascii="Times New Roman" w:cs="Times New Roman" w:eastAsia="Times New Roman" w:hAnsi="Times New Roman"/>
                <w:sz w:val="17"/>
                <w:szCs w:val="17"/>
                <w:color w:val="auto"/>
              </w:rPr>
              <w:t>(33,912)</w:t>
            </w:r>
          </w:p>
        </w:tc>
        <w:tc>
          <w:tcPr>
            <w:tcW w:w="0" w:type="dxa"/>
            <w:vAlign w:val="bottom"/>
          </w:tcPr>
          <w:p>
            <w:pPr>
              <w:spacing w:after="0"/>
              <w:rPr>
                <w:sz w:val="1"/>
                <w:szCs w:val="1"/>
                <w:color w:val="auto"/>
              </w:rPr>
            </w:pPr>
          </w:p>
        </w:tc>
      </w:tr>
      <w:tr>
        <w:trPr>
          <w:trHeight w:val="745"/>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162,004,172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67,357,878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116,059,520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66,666,508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(0.51</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-1003935</wp:posOffset>
            </wp:positionV>
            <wp:extent cx="4733925" cy="1809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33925" cy="180975"/>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-649605</wp:posOffset>
            </wp:positionV>
            <wp:extent cx="4733925" cy="1727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33925" cy="17272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-188595</wp:posOffset>
            </wp:positionV>
            <wp:extent cx="4733925" cy="1727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33925" cy="172720"/>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3640" w:space="180"/>
            <w:col w:w="5199"/>
          </w:cols>
          <w:pgMar w:left="1440" w:top="264" w:right="1440" w:bottom="1440" w:gutter="0" w:footer="0" w:header="0"/>
          <w:type w:val="continuous"/>
        </w:sect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For the three and six months ended June 30, 2022 and 2021, the diluted earnings per share is equal to the basic earnings per share as the effect of potentially dilutive securities would have been antidilutive.</w:t>
      </w:r>
    </w:p>
    <w:p>
      <w:pPr>
        <w:spacing w:after="0" w:line="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three and six months ended June 30, 2022 and 2021:</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0" w:type="dxa"/>
            <w:vAlign w:val="bottom"/>
            <w:gridSpan w:val="3"/>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5"/>
        </w:trPr>
        <w:tc>
          <w:tcPr>
            <w:tcW w:w="38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0"/>
        </w:trPr>
        <w:tc>
          <w:tcPr>
            <w:tcW w:w="3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080" w:type="dxa"/>
            <w:vAlign w:val="bottom"/>
            <w:gridSpan w:val="2"/>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400" w:type="dxa"/>
            <w:vAlign w:val="bottom"/>
            <w:gridSpan w:val="2"/>
          </w:tcPr>
          <w:p>
            <w:pPr>
              <w:spacing w:after="0"/>
              <w:rPr>
                <w:sz w:val="3"/>
                <w:szCs w:val="3"/>
                <w:color w:val="auto"/>
              </w:rPr>
            </w:pPr>
          </w:p>
        </w:tc>
        <w:tc>
          <w:tcPr>
            <w:tcW w:w="1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9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27,501,865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26,632,235</w:t>
            </w:r>
          </w:p>
        </w:tc>
      </w:tr>
      <w:tr>
        <w:trPr>
          <w:trHeight w:val="234"/>
        </w:trPr>
        <w:tc>
          <w:tcPr>
            <w:tcW w:w="34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Restricted stock units (RSUs)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5,791,258</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400" w:type="dxa"/>
            <w:vAlign w:val="bottom"/>
            <w:gridSpan w:val="2"/>
          </w:tcPr>
          <w:p>
            <w:pPr>
              <w:spacing w:after="0"/>
              <w:rPr>
                <w:sz w:val="3"/>
                <w:szCs w:val="3"/>
                <w:color w:val="auto"/>
              </w:rPr>
            </w:pPr>
          </w:p>
        </w:tc>
        <w:tc>
          <w:tcPr>
            <w:tcW w:w="1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 warrants</w:t>
            </w:r>
          </w:p>
        </w:tc>
        <w:tc>
          <w:tcPr>
            <w:tcW w:w="1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745,238</w:t>
            </w:r>
          </w:p>
        </w:tc>
      </w:tr>
      <w:tr>
        <w:trPr>
          <w:trHeight w:val="234"/>
        </w:trPr>
        <w:tc>
          <w:tcPr>
            <w:tcW w:w="34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Common stock warrants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3,532,984</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1,063,214</w:t>
            </w:r>
          </w:p>
        </w:tc>
      </w:tr>
      <w:tr>
        <w:trPr>
          <w:trHeight w:val="39"/>
        </w:trPr>
        <w:tc>
          <w:tcPr>
            <w:tcW w:w="3400" w:type="dxa"/>
            <w:vAlign w:val="bottom"/>
            <w:gridSpan w:val="2"/>
          </w:tcPr>
          <w:p>
            <w:pPr>
              <w:spacing w:after="0"/>
              <w:rPr>
                <w:sz w:val="3"/>
                <w:szCs w:val="3"/>
                <w:color w:val="auto"/>
              </w:rPr>
            </w:pPr>
          </w:p>
        </w:tc>
        <w:tc>
          <w:tcPr>
            <w:tcW w:w="1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72"/>
        </w:trPr>
        <w:tc>
          <w:tcPr>
            <w:tcW w:w="380" w:type="dxa"/>
            <w:vAlign w:val="bottom"/>
          </w:tcPr>
          <w:p>
            <w:pPr>
              <w:spacing w:after="0"/>
              <w:rPr>
                <w:sz w:val="23"/>
                <w:szCs w:val="23"/>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19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106,303,970</w:t>
            </w:r>
          </w:p>
        </w:tc>
      </w:tr>
      <w:tr>
        <w:trPr>
          <w:trHeight w:val="233"/>
        </w:trPr>
        <w:tc>
          <w:tcPr>
            <w:tcW w:w="380" w:type="dxa"/>
            <w:vAlign w:val="bottom"/>
          </w:tcPr>
          <w:p>
            <w:pPr>
              <w:spacing w:after="0"/>
              <w:rPr>
                <w:sz w:val="20"/>
                <w:szCs w:val="20"/>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9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36,826,107</w:t>
            </w:r>
          </w:p>
        </w:tc>
        <w:tc>
          <w:tcPr>
            <w:tcW w:w="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134,744,657</w:t>
            </w:r>
          </w:p>
        </w:tc>
      </w:tr>
      <w:tr>
        <w:trPr>
          <w:trHeight w:val="20"/>
        </w:trPr>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74"/>
        </w:trPr>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7"/>
                <w:szCs w:val="17"/>
                <w:color w:val="auto"/>
              </w:rPr>
              <w:t>F-128</w:t>
            </w: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259" w:name="page260"/>
    <w:bookmarkEnd w:id="25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17.</w:t>
        <w:tab/>
        <w:t>INCOME TAXES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tax expense and the effective tax rate were as follows:</w:t>
      </w:r>
    </w:p>
    <w:p>
      <w:pPr>
        <w:spacing w:after="0" w:line="196" w:lineRule="exact"/>
        <w:rPr>
          <w:sz w:val="20"/>
          <w:szCs w:val="20"/>
          <w:color w:val="auto"/>
        </w:rPr>
      </w:pPr>
    </w:p>
    <w:tbl>
      <w:tblPr>
        <w:tblLayout w:type="fixed"/>
        <w:tblInd w:w="980" w:type="dxa"/>
        <w:tblCellMar>
          <w:top w:w="0" w:type="dxa"/>
          <w:left w:w="0" w:type="dxa"/>
          <w:bottom w:w="0" w:type="dxa"/>
          <w:right w:w="0" w:type="dxa"/>
        </w:tblCellMar>
      </w:tblPr>
      <w:tr>
        <w:trPr>
          <w:trHeight w:val="194"/>
        </w:trPr>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20" w:type="dxa"/>
            <w:vAlign w:val="bottom"/>
            <w:gridSpan w:val="3"/>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r>
      <w:tr>
        <w:trPr>
          <w:trHeight w:val="205"/>
        </w:trPr>
        <w:tc>
          <w:tcPr>
            <w:tcW w:w="2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20" w:type="dxa"/>
            <w:vAlign w:val="bottom"/>
            <w:gridSpan w:val="3"/>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360" w:type="dxa"/>
            <w:vAlign w:val="bottom"/>
            <w:gridSpan w:val="3"/>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Pr>
          <w:p>
            <w:pPr>
              <w:spacing w:after="0"/>
              <w:rPr>
                <w:sz w:val="17"/>
                <w:szCs w:val="17"/>
                <w:color w:val="auto"/>
              </w:rPr>
            </w:pPr>
          </w:p>
        </w:tc>
      </w:tr>
      <w:tr>
        <w:trPr>
          <w:trHeight w:val="45"/>
        </w:trPr>
        <w:tc>
          <w:tcPr>
            <w:tcW w:w="2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20"/>
        </w:trPr>
        <w:tc>
          <w:tcPr>
            <w:tcW w:w="2480" w:type="dxa"/>
            <w:vAlign w:val="bottom"/>
          </w:tcPr>
          <w:p>
            <w:pPr>
              <w:spacing w:after="0"/>
              <w:rPr>
                <w:sz w:val="19"/>
                <w:szCs w:val="19"/>
                <w:color w:val="auto"/>
              </w:rPr>
            </w:pPr>
          </w:p>
        </w:tc>
        <w:tc>
          <w:tcPr>
            <w:tcW w:w="16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gridSpan w:val="2"/>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4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7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  (30,279)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(14,609)</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  (55,030)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9"/>
              </w:rPr>
              <w:t>(33,702)</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68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389</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741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210</w:t>
            </w:r>
          </w:p>
        </w:tc>
      </w:tr>
      <w:tr>
        <w:trPr>
          <w:trHeight w:val="39"/>
        </w:trPr>
        <w:tc>
          <w:tcPr>
            <w:tcW w:w="2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r>
      <w:tr>
        <w:trPr>
          <w:trHeight w:val="39"/>
        </w:trPr>
        <w:tc>
          <w:tcPr>
            <w:tcW w:w="2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150"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increase in the effective tax rate for the three and six months ended June 30, 2022, compared to the three and six months ended June 30, 2021, is primarily due to the amount and mix of income (loss) from multiple tax jurisdictions and withholding taxes in excluded loss jurisdictions.</w:t>
      </w:r>
    </w:p>
    <w:p>
      <w:pPr>
        <w:spacing w:after="0" w:line="98"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8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currently has valuation allowances recorded against its deductible temporary differences and net operating loss carryforwards in certain jurisdictions where the realizability of such deferred tax assets is substantially in doubt. Each quarter, the Company assesses the likelihood that it will be able to recover its deferred tax assets. The Company considers available evidence, including significant events and transactions, both positive and negative, including reversing taxable temporary differences and forecasted earnings in assessing its need for a valuation allowance in each jurisdiction. As a result of the Company’s analysis, it concluded that it is more likely than not that a portion of its deferred tax assets will not be realized. Therefore, the Company continues to provide a valuation allowance against its deferred tax assets in certain jurisdictions. The Company continues to monitor available evidence and may reverse some or all its remaining valuation allowance in future periods, if appropriate. The Company has a recorded valuation allowance against its deferred tax assets of $2,169 as of June 30, 2022 and December 31, 2021.</w:t>
      </w:r>
    </w:p>
    <w:p>
      <w:pPr>
        <w:spacing w:after="0" w:line="383"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RELATED PARTY TRANSACTIONS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the Company’s Class A Common Stock. The following is financial information on related party transactions for the three and six months ended June 30, 2022 and 2021 and as of June 30, 2022 and December 31, 2021:</w:t>
      </w:r>
    </w:p>
    <w:p>
      <w:pPr>
        <w:spacing w:after="0" w:line="131"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gridSpan w:val="4"/>
          </w:tcPr>
          <w:p>
            <w:pPr>
              <w:jc w:val="center"/>
              <w:ind w:left="258"/>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300" w:type="dxa"/>
            <w:vAlign w:val="bottom"/>
            <w:gridSpan w:val="2"/>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3,019 $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1,813</w:t>
            </w:r>
          </w:p>
        </w:tc>
        <w:tc>
          <w:tcPr>
            <w:tcW w:w="26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6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0" w:type="dxa"/>
            <w:vAlign w:val="bottom"/>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12,064</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auto"/>
              </w:rPr>
              <w:t>F-129</w:t>
            </w: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60" w:name="page261"/>
    <w:bookmarkEnd w:id="26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323850</wp:posOffset>
            </wp:positionV>
            <wp:extent cx="4939665" cy="247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39665" cy="2476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365125</wp:posOffset>
            </wp:positionV>
            <wp:extent cx="4939665" cy="247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39665" cy="2476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56,348,404 Shares of Class A Common Stock</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40,396,600 Shares of Class A Common Stock Underlying Shares of Class B Common Stock</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174,750 Placement Warrants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3,457,996 Shares of Class A Common Stock Underlying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_____________________________</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3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228"/>
        </w:trPr>
        <w:tc>
          <w:tcPr>
            <w:tcW w:w="4740" w:type="dxa"/>
            <w:vAlign w:val="bottom"/>
          </w:tcPr>
          <w:p>
            <w:pPr>
              <w:ind w:left="2360"/>
              <w:spacing w:after="0"/>
              <w:rPr>
                <w:sz w:val="20"/>
                <w:szCs w:val="20"/>
                <w:color w:val="auto"/>
              </w:rPr>
            </w:pPr>
            <w:r>
              <w:rPr>
                <w:rFonts w:ascii="Times New Roman" w:cs="Times New Roman" w:eastAsia="Times New Roman" w:hAnsi="Times New Roman"/>
                <w:sz w:val="17"/>
                <w:szCs w:val="17"/>
                <w:b w:val="1"/>
                <w:bCs w:val="1"/>
                <w:color w:val="auto"/>
              </w:rPr>
              <w:t>The date of this Prospectus is</w:t>
            </w:r>
          </w:p>
        </w:tc>
        <w:tc>
          <w:tcPr>
            <w:tcW w:w="3040" w:type="dxa"/>
            <w:vAlign w:val="bottom"/>
          </w:tcPr>
          <w:p>
            <w:pPr>
              <w:jc w:val="right"/>
              <w:ind w:right="2274"/>
              <w:spacing w:after="0"/>
              <w:rPr>
                <w:sz w:val="20"/>
                <w:szCs w:val="20"/>
                <w:color w:val="auto"/>
              </w:rPr>
            </w:pPr>
            <w:r>
              <w:rPr>
                <w:rFonts w:ascii="Times New Roman" w:cs="Times New Roman" w:eastAsia="Times New Roman" w:hAnsi="Times New Roman"/>
                <w:sz w:val="17"/>
                <w:szCs w:val="17"/>
                <w:b w:val="1"/>
                <w:bCs w:val="1"/>
                <w:color w:val="auto"/>
              </w:rPr>
              <w:t>, 2022</w:t>
            </w:r>
          </w:p>
        </w:tc>
      </w:tr>
      <w:tr>
        <w:trPr>
          <w:trHeight w:val="823"/>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45"/>
        </w:trPr>
        <w:tc>
          <w:tcPr>
            <w:tcW w:w="474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376"/>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261" w:name="page262"/>
    <w:bookmarkEnd w:id="26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44"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is an estimate of the expenses (all of which are to be paid by the registrant) that we may incur in connection with the securities being registered hereby.</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4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5"/>
        </w:trPr>
        <w:tc>
          <w:tcPr>
            <w:tcW w:w="4340" w:type="dxa"/>
            <w:vAlign w:val="bottom"/>
            <w:tcBorders>
              <w:bottom w:val="single" w:sz="8" w:color="CCEEFF"/>
            </w:tcBorders>
          </w:tcPr>
          <w:p>
            <w:pPr>
              <w:spacing w:after="0"/>
              <w:rPr>
                <w:sz w:val="3"/>
                <w:szCs w:val="3"/>
                <w:color w:val="auto"/>
              </w:rPr>
            </w:pPr>
          </w:p>
        </w:tc>
        <w:tc>
          <w:tcPr>
            <w:tcW w:w="22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2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62,383</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3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2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3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34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020" w:right="639" w:hanging="405"/>
        <w:spacing w:after="0" w:line="277" w:lineRule="auto"/>
        <w:tabs>
          <w:tab w:leader="none" w:pos="994"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fees are calculated based on the securities offered and the number of issuances and accordingly cannot be defined at this time.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 permitted by Section 102 of the Delaware General Corporation Law, we have adopted provisions in our Amended and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12" w:lineRule="exact"/>
        <w:rPr>
          <w:sz w:val="20"/>
          <w:szCs w:val="20"/>
          <w:color w:val="auto"/>
        </w:rPr>
      </w:pPr>
    </w:p>
    <w:p>
      <w:pPr>
        <w:ind w:left="1440" w:hanging="411"/>
        <w:spacing w:after="0"/>
        <w:tabs>
          <w:tab w:leader="none" w:pos="14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us or our stockholders;</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related to unlawful stock repurchases, redemptions or other distributions or payment of dividends; or</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14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98"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As permitted by Section 145 of the Delaware General Corporation Law, our Amended and Restated Bylaws provide that:</w:t>
      </w:r>
    </w:p>
    <w:p>
      <w:pPr>
        <w:spacing w:after="0" w:line="82" w:lineRule="exact"/>
        <w:rPr>
          <w:sz w:val="20"/>
          <w:szCs w:val="20"/>
          <w:color w:val="auto"/>
        </w:rPr>
      </w:pPr>
    </w:p>
    <w:p>
      <w:pPr>
        <w:ind w:left="1440" w:right="639" w:hanging="411"/>
        <w:spacing w:after="0" w:line="292" w:lineRule="auto"/>
        <w:tabs>
          <w:tab w:leader="none" w:pos="1436"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indemnify our directors, officers and employees to the fullest extent permitted by the Delaware General Corporation Law, subject to limited exceptions;</w:t>
      </w:r>
    </w:p>
    <w:p>
      <w:pPr>
        <w:spacing w:after="0" w:line="68"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advance expenses to our directors, officers and employees in connection with a legal proceeding to the fullest extent permitted by the Delaware General Corporation Law, subject to limited exceptions; and</w:t>
      </w:r>
    </w:p>
    <w:p>
      <w:pPr>
        <w:spacing w:after="0" w:line="97"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provided in our Amended Bylaws are not exclusive.</w:t>
      </w:r>
    </w:p>
    <w:p>
      <w:pPr>
        <w:spacing w:after="0" w:line="155"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2" w:name="page263"/>
    <w:bookmarkEnd w:id="26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73" w:lineRule="auto"/>
        <w:rPr>
          <w:sz w:val="20"/>
          <w:szCs w:val="20"/>
          <w:color w:val="auto"/>
        </w:rPr>
      </w:pPr>
      <w:r>
        <w:rPr>
          <w:rFonts w:ascii="Times New Roman" w:cs="Times New Roman" w:eastAsia="Times New Roman" w:hAnsi="Times New Roman"/>
          <w:sz w:val="17"/>
          <w:szCs w:val="17"/>
          <w:color w:val="auto"/>
        </w:rPr>
        <w:t>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103"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9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March 15, 2021, simultaneously with the consummation of the IPO, we completed the Private Placement of an aggregate of 390,000 Private Units to the Sponsor and EarlyBirdCapital at a purchase price of $10.00 per Private Unit, generating gross proceeds to the Company of $3,900,000. On March 19, 2021, the underwriters partially exercised the over-allotment option to purchase 1,300,000 Public Units. Simultaneously with the exercise of the over-allotment option, we completed the sale of an aggregate of 26,000 Private Units to the Sponsor and EarlyBirdCapital, at a purchase price of $10.00 per Private Unit, generating gross proceeds to the Company of $260,000. These issuances were made pursuant to the exemption from registration contained in Section 4(a)(2) of the Securities Act.</w:t>
      </w:r>
    </w:p>
    <w:p>
      <w:pPr>
        <w:spacing w:after="0" w:line="10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On April 26, 2022, we consummated the sale of an aggregate of 11,300,000 shares of Class A Common Stock (“PIPE Shares”), for a purchase price of $10.00 per share and an aggregate purchase price of $113,000,000 (the “PIPE Investment”). The PIPE Shares are identical to the shares of Class A Common Stock that were held by the Company’s public stockholders at the time of the closing of our Business Combination, except that the PIPE Shares were not entitled to any redemption rights and were not yet registered with the SEC.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spacing w:after="0" w:line="3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No underwriting discounts or commissions were paid with respect to such sales.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3" w:name="page264"/>
    <w:bookmarkEnd w:id="26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5"/>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55"/>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660" w:type="dxa"/>
            <w:vAlign w:val="bottom"/>
            <w:vMerge w:val="restart"/>
          </w:tcPr>
          <w:p>
            <w:pPr>
              <w:spacing w:after="0"/>
              <w:rPr>
                <w:sz w:val="4"/>
                <w:szCs w:val="4"/>
                <w:color w:val="auto"/>
              </w:rPr>
            </w:pPr>
          </w:p>
        </w:tc>
        <w:tc>
          <w:tcPr>
            <w:tcW w:w="2520" w:type="dxa"/>
            <w:vAlign w:val="bottom"/>
            <w:gridSpan w:val="27"/>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6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520" w:type="dxa"/>
            <w:vAlign w:val="bottom"/>
            <w:gridSpan w:val="27"/>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8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EE"/>
            </w:tcBorders>
            <w:shd w:val="clear" w:color="auto" w:fill="CCEEFF"/>
          </w:tcPr>
          <w:p>
            <w:pPr>
              <w:spacing w:after="0"/>
              <w:rPr>
                <w:sz w:val="14"/>
                <w:szCs w:val="14"/>
                <w:color w:val="auto"/>
              </w:rPr>
            </w:pPr>
          </w:p>
        </w:tc>
        <w:tc>
          <w:tcPr>
            <w:tcW w:w="4180" w:type="dxa"/>
            <w:vAlign w:val="bottom"/>
            <w:tcBorders>
              <w:bottom w:val="single" w:sz="8" w:color="0000EE"/>
            </w:tcBorders>
            <w:gridSpan w:val="28"/>
            <w:shd w:val="clear" w:color="auto" w:fill="CCEEFF"/>
          </w:tcPr>
          <w:p>
            <w:pPr>
              <w:spacing w:after="0" w:line="162" w:lineRule="exact"/>
              <w:rPr>
                <w:rFonts w:ascii="Times New Roman" w:cs="Times New Roman" w:eastAsia="Times New Roman" w:hAnsi="Times New Roman"/>
                <w:sz w:val="17"/>
                <w:szCs w:val="17"/>
                <w:color w:val="0000EE"/>
              </w:rPr>
            </w:pPr>
            <w:hyperlink r:id="rId292">
              <w:r>
                <w:rPr>
                  <w:rFonts w:ascii="Times New Roman" w:cs="Times New Roman" w:eastAsia="Times New Roman" w:hAnsi="Times New Roman"/>
                  <w:sz w:val="17"/>
                  <w:szCs w:val="17"/>
                  <w:color w:val="0000EE"/>
                </w:rPr>
                <w:t>Merger Agreement dated as of November 15, 2021 by and</w:t>
              </w:r>
            </w:hyperlink>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8-K</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w w:val="93"/>
              </w:rPr>
              <w:t>2.1</w:t>
            </w: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November 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0" w:type="dxa"/>
            <w:vAlign w:val="bottom"/>
            <w:tcBorders>
              <w:bottom w:val="single" w:sz="8" w:color="0000EE"/>
            </w:tcBorders>
            <w:gridSpan w:val="29"/>
            <w:shd w:val="clear" w:color="auto" w:fill="CCEEFF"/>
          </w:tcPr>
          <w:p>
            <w:pPr>
              <w:spacing w:after="0" w:line="188" w:lineRule="exact"/>
              <w:rPr>
                <w:rFonts w:ascii="Times New Roman" w:cs="Times New Roman" w:eastAsia="Times New Roman" w:hAnsi="Times New Roman"/>
                <w:sz w:val="17"/>
                <w:szCs w:val="17"/>
                <w:color w:val="0000EE"/>
              </w:rPr>
            </w:pPr>
            <w:hyperlink r:id="rId292">
              <w:r>
                <w:rPr>
                  <w:rFonts w:ascii="Times New Roman" w:cs="Times New Roman" w:eastAsia="Times New Roman" w:hAnsi="Times New Roman"/>
                  <w:sz w:val="17"/>
                  <w:szCs w:val="17"/>
                  <w:color w:val="0000EE"/>
                </w:rPr>
                <w:t>among  Archimedes  Tech  SPAC  Partners  Co.,  ATSPC</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0" w:type="dxa"/>
            <w:vAlign w:val="bottom"/>
            <w:gridSpan w:val="29"/>
            <w:shd w:val="clear" w:color="auto" w:fill="CCEEFF"/>
          </w:tcPr>
          <w:p>
            <w:pPr>
              <w:spacing w:after="0" w:line="188" w:lineRule="exact"/>
              <w:rPr>
                <w:rFonts w:ascii="Times New Roman" w:cs="Times New Roman" w:eastAsia="Times New Roman" w:hAnsi="Times New Roman"/>
                <w:sz w:val="17"/>
                <w:szCs w:val="17"/>
                <w:color w:val="0000EE"/>
              </w:rPr>
            </w:pPr>
            <w:hyperlink r:id="rId292">
              <w:r>
                <w:rPr>
                  <w:rFonts w:ascii="Times New Roman" w:cs="Times New Roman" w:eastAsia="Times New Roman" w:hAnsi="Times New Roman"/>
                  <w:sz w:val="17"/>
                  <w:szCs w:val="17"/>
                  <w:color w:val="0000EE"/>
                </w:rPr>
                <w:t>Merger Sub, Inc. and SoundHound, Inc.</w:t>
              </w:r>
            </w:hyperlink>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293">
              <w:r>
                <w:rPr>
                  <w:rFonts w:ascii="Times New Roman" w:cs="Times New Roman" w:eastAsia="Times New Roman" w:hAnsi="Times New Roman"/>
                  <w:sz w:val="17"/>
                  <w:szCs w:val="17"/>
                  <w:color w:val="0000EE"/>
                </w:rPr>
                <w:t>Second Amended and Restated Certificate of Incorporation</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w w:val="93"/>
              </w:rPr>
              <w:t>3.1</w:t>
            </w:r>
          </w:p>
        </w:tc>
        <w:tc>
          <w:tcPr>
            <w:tcW w:w="1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tcBorders>
              <w:top w:val="single" w:sz="8" w:color="0000EE"/>
            </w:tcBorders>
            <w:gridSpan w:val="28"/>
          </w:tcPr>
          <w:p>
            <w:pPr>
              <w:spacing w:after="0" w:line="188" w:lineRule="exact"/>
              <w:rPr>
                <w:rFonts w:ascii="Times New Roman" w:cs="Times New Roman" w:eastAsia="Times New Roman" w:hAnsi="Times New Roman"/>
                <w:sz w:val="17"/>
                <w:szCs w:val="17"/>
                <w:color w:val="0000EE"/>
              </w:rPr>
            </w:pPr>
            <w:hyperlink r:id="rId293">
              <w:r>
                <w:rPr>
                  <w:rFonts w:ascii="Times New Roman" w:cs="Times New Roman" w:eastAsia="Times New Roman" w:hAnsi="Times New Roman"/>
                  <w:sz w:val="17"/>
                  <w:szCs w:val="17"/>
                  <w:color w:val="0000EE"/>
                </w:rPr>
                <w:t>of SoundHound AI, Inc.</w:t>
              </w:r>
            </w:hyperlink>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14"/>
                <w:szCs w:val="14"/>
                <w:color w:val="auto"/>
              </w:rPr>
            </w:pPr>
          </w:p>
        </w:tc>
        <w:tc>
          <w:tcPr>
            <w:tcW w:w="4200" w:type="dxa"/>
            <w:vAlign w:val="bottom"/>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294">
              <w:r>
                <w:rPr>
                  <w:rFonts w:ascii="Times New Roman" w:cs="Times New Roman" w:eastAsia="Times New Roman" w:hAnsi="Times New Roman"/>
                  <w:sz w:val="17"/>
                  <w:szCs w:val="17"/>
                  <w:color w:val="0000EE"/>
                </w:rPr>
                <w:t>Amended and Restated Bylaws of SoundHound AI, Inc.</w:t>
              </w:r>
            </w:hyperlink>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3"/>
              </w:rPr>
              <w:t>3.2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295">
              <w:r>
                <w:rPr>
                  <w:rFonts w:ascii="Times New Roman" w:cs="Times New Roman" w:eastAsia="Times New Roman" w:hAnsi="Times New Roman"/>
                  <w:sz w:val="17"/>
                  <w:szCs w:val="17"/>
                  <w:color w:val="0000EE"/>
                </w:rPr>
                <w:t>Amended and Restated Warrant Agreement.</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4"/>
                <w:szCs w:val="14"/>
                <w:color w:val="auto"/>
              </w:rPr>
            </w:pPr>
          </w:p>
        </w:tc>
        <w:tc>
          <w:tcPr>
            <w:tcW w:w="4200" w:type="dxa"/>
            <w:vAlign w:val="bottom"/>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296">
              <w:r>
                <w:rPr>
                  <w:rFonts w:ascii="Times New Roman" w:cs="Times New Roman" w:eastAsia="Times New Roman" w:hAnsi="Times New Roman"/>
                  <w:sz w:val="17"/>
                  <w:szCs w:val="17"/>
                  <w:color w:val="0000EE"/>
                </w:rPr>
                <w:t>Form of Specimen Class A Common Stock Certificate</w:t>
              </w:r>
            </w:hyperlink>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S-1</w:t>
            </w:r>
          </w:p>
        </w:tc>
        <w:tc>
          <w:tcPr>
            <w:tcW w:w="720" w:type="dxa"/>
            <w:vAlign w:val="bottom"/>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3"/>
              </w:rPr>
              <w:t>4.2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297">
              <w:r>
                <w:rPr>
                  <w:rFonts w:ascii="Times New Roman" w:cs="Times New Roman" w:eastAsia="Times New Roman" w:hAnsi="Times New Roman"/>
                  <w:sz w:val="17"/>
                  <w:szCs w:val="17"/>
                  <w:color w:val="0000EE"/>
                </w:rPr>
                <w:t>Form of Specimen Warrant Certificate</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S-1</w:t>
            </w:r>
          </w:p>
        </w:tc>
        <w:tc>
          <w:tcPr>
            <w:tcW w:w="7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w w:val="93"/>
              </w:rPr>
              <w:t>4.3</w:t>
            </w:r>
          </w:p>
        </w:tc>
        <w:tc>
          <w:tcPr>
            <w:tcW w:w="1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4"/>
                <w:szCs w:val="14"/>
                <w:color w:val="auto"/>
              </w:rPr>
            </w:pPr>
          </w:p>
        </w:tc>
        <w:tc>
          <w:tcPr>
            <w:tcW w:w="4200" w:type="dxa"/>
            <w:vAlign w:val="bottom"/>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295">
              <w:r>
                <w:rPr>
                  <w:rFonts w:ascii="Times New Roman" w:cs="Times New Roman" w:eastAsia="Times New Roman" w:hAnsi="Times New Roman"/>
                  <w:sz w:val="17"/>
                  <w:szCs w:val="17"/>
                  <w:color w:val="0000EE"/>
                </w:rPr>
                <w:t>Amended and Restated Warrant Agreement</w:t>
              </w:r>
            </w:hyperlink>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298">
              <w:r>
                <w:rPr>
                  <w:rFonts w:ascii="Times New Roman" w:cs="Times New Roman" w:eastAsia="Times New Roman" w:hAnsi="Times New Roman"/>
                  <w:sz w:val="17"/>
                  <w:szCs w:val="17"/>
                  <w:color w:val="0000EE"/>
                </w:rPr>
                <w:t>Opinion of Ellenoff Grossman &amp; Schole LLP</w:t>
              </w:r>
            </w:hyperlink>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10.1</w:t>
            </w:r>
          </w:p>
        </w:tc>
        <w:tc>
          <w:tcPr>
            <w:tcW w:w="80" w:type="dxa"/>
            <w:vAlign w:val="bottom"/>
            <w:shd w:val="clear" w:color="auto" w:fill="CCEEFF"/>
          </w:tcPr>
          <w:p>
            <w:pPr>
              <w:spacing w:after="0"/>
              <w:rPr>
                <w:sz w:val="14"/>
                <w:szCs w:val="14"/>
                <w:color w:val="auto"/>
              </w:rPr>
            </w:pPr>
          </w:p>
        </w:tc>
        <w:tc>
          <w:tcPr>
            <w:tcW w:w="4200" w:type="dxa"/>
            <w:vAlign w:val="bottom"/>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299">
              <w:r>
                <w:rPr>
                  <w:rFonts w:ascii="Times New Roman" w:cs="Times New Roman" w:eastAsia="Times New Roman" w:hAnsi="Times New Roman"/>
                  <w:sz w:val="17"/>
                  <w:szCs w:val="17"/>
                  <w:color w:val="0000EE"/>
                </w:rPr>
                <w:t>Form of PIPE Subscription Agreement.</w:t>
              </w:r>
            </w:hyperlink>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November 16,</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1660" w:type="dxa"/>
            <w:vAlign w:val="bottom"/>
            <w:tcBorders>
              <w:top w:val="single" w:sz="8" w:color="0000EE"/>
              <w:bottom w:val="single" w:sz="8" w:color="CCEEFF"/>
            </w:tcBorders>
            <w:shd w:val="clear" w:color="auto" w:fill="CCEEFF"/>
          </w:tcPr>
          <w:p>
            <w:pPr>
              <w:spacing w:after="0"/>
              <w:rPr>
                <w:sz w:val="21"/>
                <w:szCs w:val="21"/>
                <w:color w:val="auto"/>
              </w:rPr>
            </w:pPr>
          </w:p>
        </w:tc>
        <w:tc>
          <w:tcPr>
            <w:tcW w:w="20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3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Form of Lock-Up Agreement.</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November 16,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10.3</w:t>
            </w:r>
          </w:p>
        </w:tc>
        <w:tc>
          <w:tcPr>
            <w:tcW w:w="80" w:type="dxa"/>
            <w:vAlign w:val="bottom"/>
            <w:tcBorders>
              <w:bottom w:val="single" w:sz="8" w:color="CCEEFF"/>
            </w:tcBorders>
            <w:shd w:val="clear" w:color="auto" w:fill="CCEEFF"/>
          </w:tcPr>
          <w:p>
            <w:pPr>
              <w:spacing w:after="0"/>
              <w:rPr>
                <w:sz w:val="14"/>
                <w:szCs w:val="14"/>
                <w:color w:val="auto"/>
              </w:rPr>
            </w:pPr>
          </w:p>
        </w:tc>
        <w:tc>
          <w:tcPr>
            <w:tcW w:w="4200" w:type="dxa"/>
            <w:vAlign w:val="bottom"/>
            <w:tcBorders>
              <w:bottom w:val="single" w:sz="8" w:color="0000EE"/>
            </w:tcBorders>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Amended and Restated Registration Rights Agreement,</w:t>
              </w:r>
            </w:hyperlink>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S-1</w:t>
            </w:r>
          </w:p>
        </w:tc>
        <w:tc>
          <w:tcPr>
            <w:tcW w:w="720" w:type="dxa"/>
            <w:vAlign w:val="bottom"/>
            <w:tcBorders>
              <w:bottom w:val="single" w:sz="8" w:color="CCEEFF"/>
            </w:tcBorders>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10.3</w:t>
            </w: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0" w:type="dxa"/>
            <w:vAlign w:val="bottom"/>
            <w:tcBorders>
              <w:bottom w:val="single" w:sz="8" w:color="0000EE"/>
            </w:tcBorders>
            <w:gridSpan w:val="29"/>
            <w:shd w:val="clear" w:color="auto" w:fill="CCEEFF"/>
          </w:tcPr>
          <w:p>
            <w:pPr>
              <w:spacing w:after="0" w:line="188" w:lineRule="exact"/>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dated April 26, 2022, by and between SoundHound AI, Inc.</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0000EE"/>
            </w:tcBorders>
            <w:gridSpan w:val="22"/>
            <w:shd w:val="clear" w:color="auto" w:fill="CCEEFF"/>
          </w:tcPr>
          <w:p>
            <w:pPr>
              <w:spacing w:after="0" w:line="188" w:lineRule="exact"/>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and certain stockholders of SoundHound AI, Inc.</w:t>
              </w:r>
            </w:hyperlink>
          </w:p>
        </w:tc>
        <w:tc>
          <w:tcPr>
            <w:tcW w:w="800" w:type="dxa"/>
            <w:vAlign w:val="bottom"/>
            <w:tcBorders>
              <w:bottom w:val="single" w:sz="8" w:color="CCEEFF"/>
            </w:tcBorders>
            <w:gridSpan w:val="7"/>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302">
              <w:r>
                <w:rPr>
                  <w:rFonts w:ascii="Times New Roman" w:cs="Times New Roman" w:eastAsia="Times New Roman" w:hAnsi="Times New Roman"/>
                  <w:sz w:val="17"/>
                  <w:szCs w:val="17"/>
                  <w:color w:val="0000EE"/>
                </w:rPr>
                <w:t>SoundHound AI, Inc. 2022 Incentive Award Plan.</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Proxy</w:t>
            </w:r>
          </w:p>
        </w:tc>
        <w:tc>
          <w:tcPr>
            <w:tcW w:w="2060" w:type="dxa"/>
            <w:vAlign w:val="bottom"/>
            <w:gridSpan w:val="4"/>
          </w:tcPr>
          <w:p>
            <w:pPr>
              <w:jc w:val="right"/>
              <w:ind w:right="74"/>
              <w:spacing w:after="0" w:line="168" w:lineRule="exact"/>
              <w:rPr>
                <w:sz w:val="20"/>
                <w:szCs w:val="20"/>
                <w:color w:val="auto"/>
              </w:rPr>
            </w:pPr>
            <w:r>
              <w:rPr>
                <w:rFonts w:ascii="Times New Roman" w:cs="Times New Roman" w:eastAsia="Times New Roman" w:hAnsi="Times New Roman"/>
                <w:sz w:val="17"/>
                <w:szCs w:val="17"/>
                <w:color w:val="auto"/>
              </w:rPr>
              <w:t>Annex D   April 8, 2022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Statement</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4"/>
                <w:szCs w:val="14"/>
                <w:color w:val="auto"/>
              </w:rPr>
            </w:pPr>
          </w:p>
        </w:tc>
        <w:tc>
          <w:tcPr>
            <w:tcW w:w="4200" w:type="dxa"/>
            <w:vAlign w:val="bottom"/>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303">
              <w:r>
                <w:rPr>
                  <w:rFonts w:ascii="Times New Roman" w:cs="Times New Roman" w:eastAsia="Times New Roman" w:hAnsi="Times New Roman"/>
                  <w:sz w:val="17"/>
                  <w:szCs w:val="17"/>
                  <w:color w:val="0000EE"/>
                </w:rPr>
                <w:t>SoundHound AI, Inc. 2022 Employee Stock Purchase Plan.</w:t>
              </w:r>
            </w:hyperlink>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Proxy</w:t>
            </w:r>
          </w:p>
        </w:tc>
        <w:tc>
          <w:tcPr>
            <w:tcW w:w="8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jc w:val="right"/>
              <w:ind w:right="74"/>
              <w:spacing w:after="0" w:line="168" w:lineRule="exact"/>
              <w:rPr>
                <w:sz w:val="20"/>
                <w:szCs w:val="20"/>
                <w:color w:val="auto"/>
              </w:rPr>
            </w:pPr>
            <w:r>
              <w:rPr>
                <w:rFonts w:ascii="Times New Roman" w:cs="Times New Roman" w:eastAsia="Times New Roman" w:hAnsi="Times New Roman"/>
                <w:sz w:val="17"/>
                <w:szCs w:val="17"/>
                <w:color w:val="auto"/>
              </w:rPr>
              <w:t>Annex E   April 8, 2022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1660" w:type="dxa"/>
            <w:vAlign w:val="bottom"/>
            <w:tcBorders>
              <w:top w:val="single" w:sz="8" w:color="0000EE"/>
              <w:bottom w:val="single" w:sz="8" w:color="CCEEFF"/>
            </w:tcBorders>
            <w:shd w:val="clear" w:color="auto" w:fill="CCEEFF"/>
          </w:tcPr>
          <w:p>
            <w:pPr>
              <w:spacing w:after="0"/>
              <w:rPr>
                <w:sz w:val="21"/>
                <w:szCs w:val="21"/>
                <w:color w:val="auto"/>
              </w:rPr>
            </w:pPr>
          </w:p>
        </w:tc>
        <w:tc>
          <w:tcPr>
            <w:tcW w:w="20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3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12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16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200" w:type="dxa"/>
            <w:vAlign w:val="bottom"/>
            <w:tcBorders>
              <w:top w:val="single" w:sz="8" w:color="0000EE"/>
              <w:bottom w:val="single" w:sz="8" w:color="CCEEFF"/>
            </w:tcBorders>
            <w:shd w:val="clear" w:color="auto" w:fill="CCEEFF"/>
          </w:tcPr>
          <w:p>
            <w:pPr>
              <w:spacing w:after="0"/>
              <w:rPr>
                <w:sz w:val="21"/>
                <w:szCs w:val="21"/>
                <w:color w:val="auto"/>
              </w:rPr>
            </w:pPr>
          </w:p>
        </w:tc>
        <w:tc>
          <w:tcPr>
            <w:tcW w:w="120" w:type="dxa"/>
            <w:vAlign w:val="bottom"/>
            <w:tcBorders>
              <w:top w:val="single" w:sz="8" w:color="0000EE"/>
              <w:bottom w:val="single" w:sz="8" w:color="CCEEFF"/>
            </w:tcBorders>
            <w:shd w:val="clear" w:color="auto" w:fill="CCEEFF"/>
          </w:tcPr>
          <w:p>
            <w:pPr>
              <w:spacing w:after="0"/>
              <w:rPr>
                <w:sz w:val="21"/>
                <w:szCs w:val="21"/>
                <w:color w:val="auto"/>
              </w:rPr>
            </w:pPr>
          </w:p>
        </w:tc>
        <w:tc>
          <w:tcPr>
            <w:tcW w:w="2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Statement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304">
              <w:r>
                <w:rPr>
                  <w:rFonts w:ascii="Times New Roman" w:cs="Times New Roman" w:eastAsia="Times New Roman" w:hAnsi="Times New Roman"/>
                  <w:sz w:val="17"/>
                  <w:szCs w:val="17"/>
                  <w:color w:val="0000EE"/>
                </w:rPr>
                <w:t>Form of Restricted Stock Unit Agreement.</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10.7</w:t>
            </w:r>
          </w:p>
        </w:tc>
        <w:tc>
          <w:tcPr>
            <w:tcW w:w="80" w:type="dxa"/>
            <w:vAlign w:val="bottom"/>
            <w:shd w:val="clear" w:color="auto" w:fill="CCEEFF"/>
          </w:tcPr>
          <w:p>
            <w:pPr>
              <w:spacing w:after="0"/>
              <w:rPr>
                <w:sz w:val="14"/>
                <w:szCs w:val="14"/>
                <w:color w:val="auto"/>
              </w:rPr>
            </w:pPr>
          </w:p>
        </w:tc>
        <w:tc>
          <w:tcPr>
            <w:tcW w:w="4200" w:type="dxa"/>
            <w:vAlign w:val="bottom"/>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305">
              <w:r>
                <w:rPr>
                  <w:rFonts w:ascii="Times New Roman" w:cs="Times New Roman" w:eastAsia="Times New Roman" w:hAnsi="Times New Roman"/>
                  <w:sz w:val="17"/>
                  <w:szCs w:val="17"/>
                  <w:color w:val="0000EE"/>
                </w:rPr>
                <w:t>Form of Stock Option Award Agreement.</w:t>
              </w:r>
            </w:hyperlink>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306">
              <w:r>
                <w:rPr>
                  <w:rFonts w:ascii="Times New Roman" w:cs="Times New Roman" w:eastAsia="Times New Roman" w:hAnsi="Times New Roman"/>
                  <w:sz w:val="17"/>
                  <w:szCs w:val="17"/>
                  <w:color w:val="0000EE"/>
                </w:rPr>
                <w:t>Form of Indemnity Agreement.</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10.9</w:t>
            </w:r>
          </w:p>
        </w:tc>
        <w:tc>
          <w:tcPr>
            <w:tcW w:w="80" w:type="dxa"/>
            <w:vAlign w:val="bottom"/>
            <w:tcBorders>
              <w:bottom w:val="single" w:sz="8" w:color="CCEEFF"/>
            </w:tcBorders>
            <w:shd w:val="clear" w:color="auto" w:fill="CCEEFF"/>
          </w:tcPr>
          <w:p>
            <w:pPr>
              <w:spacing w:after="0"/>
              <w:rPr>
                <w:sz w:val="14"/>
                <w:szCs w:val="14"/>
                <w:color w:val="auto"/>
              </w:rPr>
            </w:pPr>
          </w:p>
        </w:tc>
        <w:tc>
          <w:tcPr>
            <w:tcW w:w="4200" w:type="dxa"/>
            <w:vAlign w:val="bottom"/>
            <w:tcBorders>
              <w:bottom w:val="single" w:sz="8" w:color="0000EE"/>
            </w:tcBorders>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307">
              <w:r>
                <w:rPr>
                  <w:rFonts w:ascii="Times New Roman" w:cs="Times New Roman" w:eastAsia="Times New Roman" w:hAnsi="Times New Roman"/>
                  <w:sz w:val="17"/>
                  <w:szCs w:val="17"/>
                  <w:color w:val="0000EE"/>
                </w:rPr>
                <w:t>Employment  Agreement  with  Keyvan  Mohajer,  Chief</w:t>
              </w:r>
            </w:hyperlink>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tcBorders>
              <w:bottom w:val="single" w:sz="8" w:color="CCEEFF"/>
            </w:tcBorders>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0" w:type="dxa"/>
            <w:vAlign w:val="bottom"/>
            <w:gridSpan w:val="29"/>
            <w:shd w:val="clear" w:color="auto" w:fill="CCEEFF"/>
          </w:tcPr>
          <w:p>
            <w:pPr>
              <w:spacing w:after="0" w:line="188" w:lineRule="exact"/>
              <w:rPr>
                <w:rFonts w:ascii="Times New Roman" w:cs="Times New Roman" w:eastAsia="Times New Roman" w:hAnsi="Times New Roman"/>
                <w:sz w:val="17"/>
                <w:szCs w:val="17"/>
                <w:color w:val="0000EE"/>
              </w:rPr>
            </w:pPr>
            <w:hyperlink r:id="rId307">
              <w:r>
                <w:rPr>
                  <w:rFonts w:ascii="Times New Roman" w:cs="Times New Roman" w:eastAsia="Times New Roman" w:hAnsi="Times New Roman"/>
                  <w:sz w:val="17"/>
                  <w:szCs w:val="17"/>
                  <w:color w:val="0000EE"/>
                </w:rPr>
                <w:t>Executive Officer, dated June 2, 2022</w:t>
              </w:r>
            </w:hyperlink>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10.10</w:t>
            </w:r>
          </w:p>
        </w:tc>
        <w:tc>
          <w:tcPr>
            <w:tcW w:w="80" w:type="dxa"/>
            <w:vAlign w:val="bottom"/>
          </w:tcPr>
          <w:p>
            <w:pPr>
              <w:spacing w:after="0"/>
              <w:rPr>
                <w:sz w:val="14"/>
                <w:szCs w:val="14"/>
                <w:color w:val="auto"/>
              </w:rPr>
            </w:pPr>
          </w:p>
        </w:tc>
        <w:tc>
          <w:tcPr>
            <w:tcW w:w="4200" w:type="dxa"/>
            <w:vAlign w:val="bottom"/>
            <w:tcBorders>
              <w:bottom w:val="single" w:sz="8" w:color="0000EE"/>
            </w:tcBorders>
            <w:gridSpan w:val="29"/>
          </w:tcPr>
          <w:p>
            <w:pPr>
              <w:spacing w:after="0" w:line="168" w:lineRule="exact"/>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Employment  Agreement  with  Nitesh  Sharan,  Chief</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0" w:type="dxa"/>
            <w:vAlign w:val="bottom"/>
            <w:gridSpan w:val="29"/>
          </w:tcPr>
          <w:p>
            <w:pPr>
              <w:spacing w:after="0" w:line="188" w:lineRule="exact"/>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Financial Officer, dated June 2, 2022</w:t>
              </w:r>
            </w:hyperlink>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10.11</w:t>
            </w:r>
          </w:p>
        </w:tc>
        <w:tc>
          <w:tcPr>
            <w:tcW w:w="80" w:type="dxa"/>
            <w:vAlign w:val="bottom"/>
            <w:tcBorders>
              <w:bottom w:val="single" w:sz="8" w:color="CCEEFF"/>
            </w:tcBorders>
            <w:shd w:val="clear" w:color="auto" w:fill="CCEEFF"/>
          </w:tcPr>
          <w:p>
            <w:pPr>
              <w:spacing w:after="0"/>
              <w:rPr>
                <w:sz w:val="14"/>
                <w:szCs w:val="14"/>
                <w:color w:val="auto"/>
              </w:rPr>
            </w:pPr>
          </w:p>
        </w:tc>
        <w:tc>
          <w:tcPr>
            <w:tcW w:w="4200" w:type="dxa"/>
            <w:vAlign w:val="bottom"/>
            <w:tcBorders>
              <w:bottom w:val="single" w:sz="8" w:color="0000EE"/>
            </w:tcBorders>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Employment Agreement with Timothy Stonehocker, Chief</w:t>
              </w:r>
            </w:hyperlink>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tcBorders>
              <w:bottom w:val="single" w:sz="8" w:color="CCEEFF"/>
            </w:tcBorders>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10.3</w:t>
            </w: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0" w:type="dxa"/>
            <w:vAlign w:val="bottom"/>
            <w:gridSpan w:val="29"/>
            <w:shd w:val="clear" w:color="auto" w:fill="CCEEFF"/>
          </w:tcPr>
          <w:p>
            <w:pPr>
              <w:spacing w:after="0" w:line="188" w:lineRule="exact"/>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Technology Officer, dated June 2, 2022</w:t>
              </w:r>
            </w:hyperlink>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10.12</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310">
              <w:r>
                <w:rPr>
                  <w:rFonts w:ascii="Times New Roman" w:cs="Times New Roman" w:eastAsia="Times New Roman" w:hAnsi="Times New Roman"/>
                  <w:sz w:val="17"/>
                  <w:szCs w:val="17"/>
                  <w:color w:val="0000EE"/>
                </w:rPr>
                <w:t>Non-Employee Director Compensation Policy</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10.13</w:t>
            </w:r>
          </w:p>
        </w:tc>
        <w:tc>
          <w:tcPr>
            <w:tcW w:w="80" w:type="dxa"/>
            <w:vAlign w:val="bottom"/>
            <w:tcBorders>
              <w:bottom w:val="single" w:sz="8" w:color="CCEEFF"/>
            </w:tcBorders>
            <w:shd w:val="clear" w:color="auto" w:fill="CCEEFF"/>
          </w:tcPr>
          <w:p>
            <w:pPr>
              <w:spacing w:after="0"/>
              <w:rPr>
                <w:sz w:val="14"/>
                <w:szCs w:val="14"/>
                <w:color w:val="auto"/>
              </w:rPr>
            </w:pPr>
          </w:p>
        </w:tc>
        <w:tc>
          <w:tcPr>
            <w:tcW w:w="4200" w:type="dxa"/>
            <w:vAlign w:val="bottom"/>
            <w:tcBorders>
              <w:bottom w:val="single" w:sz="8" w:color="0000EE"/>
            </w:tcBorders>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Common Stock Purchase Agreement, dated as of August 16,</w:t>
              </w:r>
            </w:hyperlink>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tcBorders>
              <w:bottom w:val="single" w:sz="8" w:color="CCEEFF"/>
            </w:tcBorders>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0" w:type="dxa"/>
            <w:vAlign w:val="bottom"/>
            <w:tcBorders>
              <w:bottom w:val="single" w:sz="8" w:color="0000EE"/>
            </w:tcBorders>
            <w:gridSpan w:val="29"/>
            <w:shd w:val="clear" w:color="auto" w:fill="CCEEFF"/>
          </w:tcPr>
          <w:p>
            <w:pPr>
              <w:spacing w:after="0" w:line="188" w:lineRule="exact"/>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2022,  by  and  between  SoundHound  AI,  Inc.  and  CF</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0000EE"/>
            </w:tcBorders>
            <w:gridSpan w:val="3"/>
            <w:shd w:val="clear" w:color="auto" w:fill="CCEEFF"/>
          </w:tcPr>
          <w:p>
            <w:pPr>
              <w:spacing w:after="0" w:line="188" w:lineRule="exact"/>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Principal Investments LLC</w:t>
              </w:r>
            </w:hyperlink>
          </w:p>
        </w:tc>
        <w:tc>
          <w:tcPr>
            <w:tcW w:w="2320" w:type="dxa"/>
            <w:vAlign w:val="bottom"/>
            <w:tcBorders>
              <w:bottom w:val="single" w:sz="8" w:color="CCEEFF"/>
            </w:tcBorders>
            <w:gridSpan w:val="26"/>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10.14</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312">
              <w:r>
                <w:rPr>
                  <w:rFonts w:ascii="Times New Roman" w:cs="Times New Roman" w:eastAsia="Times New Roman" w:hAnsi="Times New Roman"/>
                  <w:sz w:val="17"/>
                  <w:szCs w:val="17"/>
                  <w:color w:val="0000EE"/>
                </w:rPr>
                <w:t>Registration Rights Agreement, dated as of August 16,</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40" w:type="dxa"/>
            <w:vAlign w:val="bottom"/>
            <w:gridSpan w:val="1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0" w:type="dxa"/>
            <w:vAlign w:val="bottom"/>
            <w:tcBorders>
              <w:bottom w:val="single" w:sz="8" w:color="0000EE"/>
            </w:tcBorders>
            <w:gridSpan w:val="29"/>
          </w:tcPr>
          <w:p>
            <w:pPr>
              <w:spacing w:after="0" w:line="188" w:lineRule="exact"/>
              <w:rPr>
                <w:rFonts w:ascii="Times New Roman" w:cs="Times New Roman" w:eastAsia="Times New Roman" w:hAnsi="Times New Roman"/>
                <w:sz w:val="17"/>
                <w:szCs w:val="17"/>
                <w:color w:val="0000EE"/>
              </w:rPr>
            </w:pPr>
            <w:hyperlink r:id="rId312">
              <w:r>
                <w:rPr>
                  <w:rFonts w:ascii="Times New Roman" w:cs="Times New Roman" w:eastAsia="Times New Roman" w:hAnsi="Times New Roman"/>
                  <w:sz w:val="17"/>
                  <w:szCs w:val="17"/>
                  <w:color w:val="0000EE"/>
                </w:rPr>
                <w:t>2022,  by  and  between  SoundHound  AI,  Inc.  and  CF</w:t>
              </w:r>
            </w:hyperlink>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0" w:type="dxa"/>
            <w:vAlign w:val="bottom"/>
            <w:gridSpan w:val="29"/>
          </w:tcPr>
          <w:p>
            <w:pPr>
              <w:spacing w:after="0" w:line="188" w:lineRule="exact"/>
              <w:rPr>
                <w:rFonts w:ascii="Times New Roman" w:cs="Times New Roman" w:eastAsia="Times New Roman" w:hAnsi="Times New Roman"/>
                <w:sz w:val="17"/>
                <w:szCs w:val="17"/>
                <w:color w:val="0000EE"/>
              </w:rPr>
            </w:pPr>
            <w:hyperlink r:id="rId312">
              <w:r>
                <w:rPr>
                  <w:rFonts w:ascii="Times New Roman" w:cs="Times New Roman" w:eastAsia="Times New Roman" w:hAnsi="Times New Roman"/>
                  <w:sz w:val="17"/>
                  <w:szCs w:val="17"/>
                  <w:color w:val="0000EE"/>
                </w:rPr>
                <w:t>Principal Investments LLC</w:t>
              </w:r>
            </w:hyperlink>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21.1</w:t>
            </w:r>
          </w:p>
        </w:tc>
        <w:tc>
          <w:tcPr>
            <w:tcW w:w="80" w:type="dxa"/>
            <w:vAlign w:val="bottom"/>
            <w:shd w:val="clear" w:color="auto" w:fill="CCEEFF"/>
          </w:tcPr>
          <w:p>
            <w:pPr>
              <w:spacing w:after="0"/>
              <w:rPr>
                <w:sz w:val="14"/>
                <w:szCs w:val="14"/>
                <w:color w:val="auto"/>
              </w:rPr>
            </w:pPr>
          </w:p>
        </w:tc>
        <w:tc>
          <w:tcPr>
            <w:tcW w:w="4200" w:type="dxa"/>
            <w:vAlign w:val="bottom"/>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Subsidiaries of the Company.</w:t>
              </w:r>
            </w:hyperlink>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sz w:val="20"/>
                <w:szCs w:val="20"/>
                <w:color w:val="auto"/>
              </w:rPr>
            </w:pPr>
            <w:r>
              <w:rPr>
                <w:rFonts w:ascii="Times New Roman" w:cs="Times New Roman" w:eastAsia="Times New Roman" w:hAnsi="Times New Roman"/>
                <w:sz w:val="17"/>
                <w:szCs w:val="17"/>
                <w:color w:val="0000EE"/>
              </w:rPr>
              <w:t>Consent of UHY LLP dated October 27, 2022.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23.2*</w:t>
            </w:r>
          </w:p>
        </w:tc>
        <w:tc>
          <w:tcPr>
            <w:tcW w:w="80" w:type="dxa"/>
            <w:vAlign w:val="bottom"/>
            <w:shd w:val="clear" w:color="auto" w:fill="CCEEFF"/>
          </w:tcPr>
          <w:p>
            <w:pPr>
              <w:spacing w:after="0"/>
              <w:rPr>
                <w:sz w:val="14"/>
                <w:szCs w:val="14"/>
                <w:color w:val="auto"/>
              </w:rPr>
            </w:pPr>
          </w:p>
        </w:tc>
        <w:tc>
          <w:tcPr>
            <w:tcW w:w="4200" w:type="dxa"/>
            <w:vAlign w:val="bottom"/>
            <w:gridSpan w:val="29"/>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Consent of Armanino LLP dated October 27, 2022.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99.1</w:t>
            </w:r>
          </w:p>
        </w:tc>
        <w:tc>
          <w:tcPr>
            <w:tcW w:w="80" w:type="dxa"/>
            <w:vAlign w:val="bottom"/>
          </w:tcPr>
          <w:p>
            <w:pPr>
              <w:spacing w:after="0"/>
              <w:rPr>
                <w:sz w:val="14"/>
                <w:szCs w:val="14"/>
                <w:color w:val="auto"/>
              </w:rPr>
            </w:pPr>
          </w:p>
        </w:tc>
        <w:tc>
          <w:tcPr>
            <w:tcW w:w="4200" w:type="dxa"/>
            <w:vAlign w:val="bottom"/>
            <w:gridSpan w:val="29"/>
          </w:tcPr>
          <w:p>
            <w:pPr>
              <w:spacing w:after="0" w:line="168" w:lineRule="exact"/>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Press Release, dated April 27, 2022.</w:t>
              </w:r>
            </w:hyperlink>
          </w:p>
        </w:tc>
        <w:tc>
          <w:tcPr>
            <w:tcW w:w="1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99.2</w:t>
            </w:r>
          </w:p>
        </w:tc>
        <w:tc>
          <w:tcPr>
            <w:tcW w:w="80" w:type="dxa"/>
            <w:vAlign w:val="bottom"/>
            <w:tcBorders>
              <w:bottom w:val="single" w:sz="8" w:color="CCEEFF"/>
            </w:tcBorders>
            <w:shd w:val="clear" w:color="auto" w:fill="CCEEFF"/>
          </w:tcPr>
          <w:p>
            <w:pPr>
              <w:spacing w:after="0"/>
              <w:rPr>
                <w:sz w:val="14"/>
                <w:szCs w:val="14"/>
                <w:color w:val="auto"/>
              </w:rPr>
            </w:pPr>
          </w:p>
        </w:tc>
        <w:tc>
          <w:tcPr>
            <w:tcW w:w="4200" w:type="dxa"/>
            <w:vAlign w:val="bottom"/>
            <w:tcBorders>
              <w:bottom w:val="single" w:sz="8" w:color="0000EE"/>
            </w:tcBorders>
            <w:gridSpan w:val="29"/>
            <w:shd w:val="clear" w:color="auto" w:fill="CCEEFF"/>
          </w:tcPr>
          <w:p>
            <w:pPr>
              <w:spacing w:after="0" w:line="168" w:lineRule="exact"/>
              <w:rPr>
                <w:rFonts w:ascii="Times New Roman" w:cs="Times New Roman" w:eastAsia="Times New Roman" w:hAnsi="Times New Roman"/>
                <w:sz w:val="17"/>
                <w:szCs w:val="17"/>
                <w:color w:val="0000EE"/>
              </w:rPr>
            </w:pPr>
            <w:hyperlink r:id="rId315">
              <w:r>
                <w:rPr>
                  <w:rFonts w:ascii="Times New Roman" w:cs="Times New Roman" w:eastAsia="Times New Roman" w:hAnsi="Times New Roman"/>
                  <w:sz w:val="17"/>
                  <w:szCs w:val="17"/>
                  <w:color w:val="0000EE"/>
                </w:rPr>
                <w:t>Unaudited  Pro  Forma  Condensed  Combined  Financial</w:t>
              </w:r>
            </w:hyperlink>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8-K</w:t>
            </w:r>
          </w:p>
        </w:tc>
        <w:tc>
          <w:tcPr>
            <w:tcW w:w="720" w:type="dxa"/>
            <w:vAlign w:val="bottom"/>
            <w:tcBorders>
              <w:bottom w:val="single" w:sz="8" w:color="CCEEFF"/>
            </w:tcBorders>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99.2</w:t>
            </w: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0" w:type="dxa"/>
            <w:vAlign w:val="bottom"/>
            <w:gridSpan w:val="29"/>
            <w:shd w:val="clear" w:color="auto" w:fill="CCEEFF"/>
          </w:tcPr>
          <w:p>
            <w:pPr>
              <w:spacing w:after="0" w:line="188" w:lineRule="exact"/>
              <w:rPr>
                <w:rFonts w:ascii="Times New Roman" w:cs="Times New Roman" w:eastAsia="Times New Roman" w:hAnsi="Times New Roman"/>
                <w:sz w:val="17"/>
                <w:szCs w:val="17"/>
                <w:color w:val="0000EE"/>
              </w:rPr>
            </w:pPr>
            <w:hyperlink r:id="rId315">
              <w:r>
                <w:rPr>
                  <w:rFonts w:ascii="Times New Roman" w:cs="Times New Roman" w:eastAsia="Times New Roman" w:hAnsi="Times New Roman"/>
                  <w:sz w:val="17"/>
                  <w:szCs w:val="17"/>
                  <w:color w:val="0000EE"/>
                </w:rPr>
                <w:t>Statements of the Company.</w:t>
              </w:r>
            </w:hyperlink>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80" w:type="dxa"/>
            <w:vAlign w:val="bottom"/>
          </w:tcPr>
          <w:p>
            <w:pPr>
              <w:spacing w:after="0"/>
              <w:rPr>
                <w:sz w:val="19"/>
                <w:szCs w:val="19"/>
                <w:color w:val="auto"/>
              </w:rPr>
            </w:pPr>
          </w:p>
        </w:tc>
        <w:tc>
          <w:tcPr>
            <w:tcW w:w="42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101.SCH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-111760</wp:posOffset>
            </wp:positionV>
            <wp:extent cx="4939665" cy="1727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101.CAL Inline XBRL Taxonomy Extension Calculation Linkbase</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Document.</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101.DEF 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-111760</wp:posOffset>
            </wp:positionV>
            <wp:extent cx="4939665" cy="288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4939665" cy="288290"/>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Document.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4" w:name="page265"/>
    <w:bookmarkEnd w:id="26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1" w:lineRule="exact"/>
        <w:rPr>
          <w:sz w:val="20"/>
          <w:szCs w:val="20"/>
          <w:color w:val="auto"/>
        </w:rPr>
      </w:pPr>
    </w:p>
    <w:p>
      <w:pPr>
        <w:ind w:left="620"/>
        <w:spacing w:after="0"/>
        <w:tabs>
          <w:tab w:leader="none" w:pos="306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141" w:lineRule="exact"/>
        <w:rPr>
          <w:sz w:val="20"/>
          <w:szCs w:val="20"/>
          <w:color w:val="auto"/>
        </w:rPr>
      </w:pPr>
    </w:p>
    <w:p>
      <w:pPr>
        <w:ind w:left="1340" w:hanging="725"/>
        <w:spacing w:after="0" w:line="266" w:lineRule="auto"/>
        <w:rPr>
          <w:sz w:val="20"/>
          <w:szCs w:val="20"/>
          <w:color w:val="auto"/>
        </w:rPr>
      </w:pPr>
      <w:r>
        <w:rPr>
          <w:rFonts w:ascii="Times New Roman" w:cs="Times New Roman" w:eastAsia="Times New Roman" w:hAnsi="Times New Roman"/>
          <w:sz w:val="17"/>
          <w:szCs w:val="17"/>
          <w:color w:val="auto"/>
        </w:rPr>
        <w:t>101.LAB Inline</w:t>
      </w:r>
      <w:r>
        <w:rPr>
          <w:sz w:val="20"/>
          <w:szCs w:val="20"/>
          <w:color w:val="auto"/>
        </w:rPr>
        <w:t xml:space="preserve"> </w:t>
      </w:r>
      <w:r>
        <w:rPr>
          <w:rFonts w:ascii="Times New Roman" w:cs="Times New Roman" w:eastAsia="Times New Roman" w:hAnsi="Times New Roman"/>
          <w:sz w:val="17"/>
          <w:szCs w:val="17"/>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-139700</wp:posOffset>
            </wp:positionV>
            <wp:extent cx="4939665" cy="296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4939665" cy="296545"/>
                    </a:xfrm>
                    <a:prstGeom prst="rect">
                      <a:avLst/>
                    </a:prstGeom>
                    <a:noFill/>
                  </pic:spPr>
                </pic:pic>
              </a:graphicData>
            </a:graphic>
          </wp:anchor>
        </w:drawing>
      </w:r>
    </w:p>
    <w:p>
      <w:pPr>
        <w:spacing w:after="0" w:line="208" w:lineRule="exact"/>
        <w:rPr>
          <w:sz w:val="20"/>
          <w:szCs w:val="20"/>
          <w:color w:val="auto"/>
        </w:rPr>
      </w:pPr>
    </w:p>
    <w:p>
      <w:pPr>
        <w:ind w:left="1340" w:hanging="725"/>
        <w:spacing w:after="0" w:line="278" w:lineRule="auto"/>
        <w:rPr>
          <w:sz w:val="20"/>
          <w:szCs w:val="20"/>
          <w:color w:val="auto"/>
        </w:rPr>
      </w:pPr>
      <w:r>
        <w:rPr>
          <w:rFonts w:ascii="Times New Roman" w:cs="Times New Roman" w:eastAsia="Times New Roman" w:hAnsi="Times New Roman"/>
          <w:sz w:val="17"/>
          <w:szCs w:val="17"/>
          <w:color w:val="auto"/>
        </w:rPr>
        <w:t>101.PRE Inline XBRL Taxonomy Extension Presentation Linkbase Document.</w:t>
      </w:r>
    </w:p>
    <w:p>
      <w:pPr>
        <w:spacing w:after="0" w:line="1" w:lineRule="exact"/>
        <w:rPr>
          <w:sz w:val="20"/>
          <w:szCs w:val="20"/>
          <w:color w:val="auto"/>
        </w:rPr>
      </w:pPr>
    </w:p>
    <w:p>
      <w:pPr>
        <w:ind w:left="1340" w:hanging="725"/>
        <w:spacing w:after="0" w:line="278" w:lineRule="auto"/>
        <w:tabs>
          <w:tab w:leader="none" w:pos="134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-274955</wp:posOffset>
            </wp:positionV>
            <wp:extent cx="4939665" cy="288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4939665" cy="288290"/>
                    </a:xfrm>
                    <a:prstGeom prst="rect">
                      <a:avLst/>
                    </a:prstGeom>
                    <a:noFill/>
                  </pic:spPr>
                </pic:pic>
              </a:graphicData>
            </a:graphic>
          </wp:anchor>
        </w:drawing>
      </w:r>
    </w:p>
    <w:p>
      <w:pPr>
        <w:ind w:left="620"/>
        <w:spacing w:after="0"/>
        <w:tabs>
          <w:tab w:leader="none" w:pos="13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107**</w:t>
      </w:r>
      <w:r>
        <w:rPr>
          <w:sz w:val="20"/>
          <w:szCs w:val="20"/>
          <w:color w:val="auto"/>
        </w:rPr>
        <w:tab/>
      </w:r>
      <w:hyperlink r:id="rId321">
        <w:r>
          <w:rPr>
            <w:rFonts w:ascii="Times New Roman" w:cs="Times New Roman" w:eastAsia="Times New Roman" w:hAnsi="Times New Roman"/>
            <w:sz w:val="17"/>
            <w:szCs w:val="17"/>
            <w:u w:val="single" w:color="auto"/>
            <w:color w:val="0000EE"/>
          </w:rPr>
          <w:t>Calculation of Filing Fees Table</w:t>
        </w:r>
      </w:hyperlink>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41275</wp:posOffset>
            </wp:positionV>
            <wp:extent cx="17125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81" w:lineRule="exact"/>
        <w:rPr>
          <w:sz w:val="20"/>
          <w:szCs w:val="20"/>
          <w:color w:val="auto"/>
        </w:rPr>
      </w:pPr>
    </w:p>
    <w:p>
      <w:pPr>
        <w:spacing w:after="0"/>
        <w:tabs>
          <w:tab w:leader="none" w:pos="640" w:val="left"/>
          <w:tab w:leader="none" w:pos="154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1749" w:lineRule="exact"/>
        <w:rPr>
          <w:sz w:val="20"/>
          <w:szCs w:val="20"/>
          <w:color w:val="auto"/>
        </w:rPr>
      </w:pPr>
    </w:p>
    <w:p>
      <w:pPr>
        <w:sectPr>
          <w:pgSz w:w="11900" w:h="16838" w:orient="portrait"/>
          <w:cols w:equalWidth="0" w:num="2">
            <w:col w:w="5600" w:space="240"/>
            <w:col w:w="3179"/>
          </w:cols>
          <w:pgMar w:left="1440" w:top="264" w:right="1440" w:bottom="1440" w:gutter="0" w:footer="0" w:header="0"/>
        </w:sectPr>
      </w:pPr>
    </w:p>
    <w:p>
      <w:pPr>
        <w:ind w:left="620"/>
        <w:spacing w:after="0"/>
        <w:rPr>
          <w:sz w:val="20"/>
          <w:szCs w:val="20"/>
          <w:color w:val="auto"/>
        </w:rPr>
      </w:pPr>
      <w:r>
        <w:rPr>
          <w:rFonts w:ascii="Times New Roman" w:cs="Times New Roman" w:eastAsia="Times New Roman" w:hAnsi="Times New Roman"/>
          <w:sz w:val="16"/>
          <w:szCs w:val="16"/>
          <w:color w:val="auto"/>
        </w:rPr>
        <w:t>____________</w:t>
      </w:r>
    </w:p>
    <w:p>
      <w:pPr>
        <w:spacing w:after="0" w:line="101" w:lineRule="exact"/>
        <w:rPr>
          <w:sz w:val="20"/>
          <w:szCs w:val="20"/>
          <w:color w:val="auto"/>
        </w:rPr>
      </w:pPr>
    </w:p>
    <w:p>
      <w:pPr>
        <w:ind w:left="1000" w:hanging="385"/>
        <w:spacing w:after="0"/>
        <w:tabs>
          <w:tab w:leader="none" w:pos="10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or furnished herewith.</w:t>
      </w:r>
    </w:p>
    <w:p>
      <w:pPr>
        <w:spacing w:after="0" w:line="19" w:lineRule="exact"/>
        <w:rPr>
          <w:sz w:val="20"/>
          <w:szCs w:val="20"/>
          <w:color w:val="auto"/>
        </w:rPr>
      </w:pPr>
    </w:p>
    <w:p>
      <w:pPr>
        <w:ind w:left="1020" w:hanging="405"/>
        <w:spacing w:after="0"/>
        <w:tabs>
          <w:tab w:leader="none" w:pos="10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to furnish supplementally to the SEC a copy of any omitted schedule or exhibit upon the request</w:t>
      </w:r>
    </w:p>
    <w:p>
      <w:pPr>
        <w:spacing w:after="0" w:line="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of the SEC in accordance with Item 601(b)(2) of Regulation S-K.</w:t>
      </w:r>
    </w:p>
    <w:p>
      <w:pPr>
        <w:spacing w:after="0" w:line="10" w:lineRule="exact"/>
        <w:rPr>
          <w:sz w:val="20"/>
          <w:szCs w:val="20"/>
          <w:color w:val="auto"/>
        </w:rPr>
      </w:pPr>
    </w:p>
    <w:p>
      <w:pPr>
        <w:ind w:left="620" w:right="4259" w:hanging="5"/>
        <w:spacing w:after="0" w:line="267" w:lineRule="auto"/>
        <w:tabs>
          <w:tab w:leader="none" w:pos="1009"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 ** Previously filed.</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55" w:lineRule="exact"/>
        <w:rPr>
          <w:sz w:val="20"/>
          <w:szCs w:val="20"/>
          <w:color w:val="auto"/>
        </w:rPr>
      </w:pPr>
    </w:p>
    <w:p>
      <w:pPr>
        <w:ind w:left="1440" w:right="639" w:hanging="411"/>
        <w:spacing w:after="0" w:line="292" w:lineRule="auto"/>
        <w:tabs>
          <w:tab w:leader="none" w:pos="1414"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81"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41" w:lineRule="exact"/>
        <w:rPr>
          <w:rFonts w:ascii="Times New Roman" w:cs="Times New Roman" w:eastAsia="Times New Roman" w:hAnsi="Times New Roman"/>
          <w:sz w:val="17"/>
          <w:szCs w:val="17"/>
          <w:color w:val="auto"/>
        </w:rPr>
      </w:pPr>
    </w:p>
    <w:p>
      <w:pPr>
        <w:jc w:val="both"/>
        <w:ind w:left="1860" w:right="639" w:hanging="416"/>
        <w:spacing w:after="0" w:line="258" w:lineRule="auto"/>
        <w:tabs>
          <w:tab w:leader="none" w:pos="1825"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15" w:lineRule="exact"/>
        <w:rPr>
          <w:rFonts w:ascii="Times New Roman" w:cs="Times New Roman" w:eastAsia="Times New Roman" w:hAnsi="Times New Roman"/>
          <w:sz w:val="17"/>
          <w:szCs w:val="17"/>
          <w:color w:val="auto"/>
        </w:rPr>
      </w:pPr>
    </w:p>
    <w:p>
      <w:pPr>
        <w:jc w:val="both"/>
        <w:ind w:left="1860" w:right="639" w:hanging="416"/>
        <w:spacing w:after="0" w:line="273" w:lineRule="auto"/>
        <w:tabs>
          <w:tab w:leader="none" w:pos="1834"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97" w:lineRule="exact"/>
        <w:rPr>
          <w:rFonts w:ascii="Times New Roman" w:cs="Times New Roman" w:eastAsia="Times New Roman" w:hAnsi="Times New Roman"/>
          <w:sz w:val="17"/>
          <w:szCs w:val="17"/>
          <w:color w:val="auto"/>
        </w:rPr>
      </w:pPr>
    </w:p>
    <w:p>
      <w:pPr>
        <w:jc w:val="both"/>
        <w:ind w:left="1440" w:right="619" w:hanging="411"/>
        <w:spacing w:after="0" w:line="267" w:lineRule="auto"/>
        <w:tabs>
          <w:tab w:leader="none" w:pos="1414"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14"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81" w:lineRule="exact"/>
        <w:rPr>
          <w:rFonts w:ascii="Times New Roman" w:cs="Times New Roman" w:eastAsia="Times New Roman" w:hAnsi="Times New Roman"/>
          <w:sz w:val="17"/>
          <w:szCs w:val="17"/>
          <w:color w:val="auto"/>
        </w:rPr>
      </w:pPr>
    </w:p>
    <w:p>
      <w:pPr>
        <w:ind w:left="1420" w:hanging="391"/>
        <w:spacing w:after="0"/>
        <w:tabs>
          <w:tab w:leader="none" w:pos="142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liability under the Securities Act of 1933 to any purchaser:</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relying on Rule 430B:</w:t>
      </w:r>
    </w:p>
    <w:p>
      <w:pPr>
        <w:spacing w:after="0" w:line="141" w:lineRule="exact"/>
        <w:rPr>
          <w:rFonts w:ascii="Times New Roman" w:cs="Times New Roman" w:eastAsia="Times New Roman" w:hAnsi="Times New Roman"/>
          <w:sz w:val="17"/>
          <w:szCs w:val="17"/>
          <w:color w:val="auto"/>
        </w:rPr>
      </w:pPr>
    </w:p>
    <w:p>
      <w:pPr>
        <w:jc w:val="both"/>
        <w:ind w:left="2280" w:right="639" w:hanging="421"/>
        <w:spacing w:after="0" w:line="273" w:lineRule="auto"/>
        <w:tabs>
          <w:tab w:leader="none" w:pos="2277" w:val="left"/>
        </w:tabs>
        <w:numPr>
          <w:ilvl w:val="2"/>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7" w:lineRule="exact"/>
        <w:rPr>
          <w:rFonts w:ascii="Times New Roman" w:cs="Times New Roman" w:eastAsia="Times New Roman" w:hAnsi="Times New Roman"/>
          <w:sz w:val="17"/>
          <w:szCs w:val="17"/>
          <w:color w:val="auto"/>
        </w:rPr>
      </w:pPr>
    </w:p>
    <w:p>
      <w:pPr>
        <w:jc w:val="both"/>
        <w:ind w:left="2280" w:right="619" w:hanging="421"/>
        <w:spacing w:after="0" w:line="260" w:lineRule="auto"/>
        <w:tabs>
          <w:tab w:leader="none" w:pos="2235" w:val="left"/>
        </w:tabs>
        <w:numPr>
          <w:ilvl w:val="2"/>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265" w:name="page266"/>
    <w:bookmarkEnd w:id="26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2280" w:right="619"/>
        <w:spacing w:after="0" w:line="258" w:lineRule="auto"/>
        <w:rPr>
          <w:sz w:val="20"/>
          <w:szCs w:val="20"/>
          <w:color w:val="auto"/>
        </w:rPr>
      </w:pPr>
      <w:r>
        <w:rPr>
          <w:rFonts w:ascii="Times New Roman" w:cs="Times New Roman" w:eastAsia="Times New Roman" w:hAnsi="Times New Roman"/>
          <w:sz w:val="17"/>
          <w:szCs w:val="17"/>
          <w:color w:val="auto"/>
        </w:rPr>
        <w:t>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13" w:lineRule="exact"/>
        <w:rPr>
          <w:sz w:val="20"/>
          <w:szCs w:val="20"/>
          <w:color w:val="auto"/>
        </w:rPr>
      </w:pPr>
    </w:p>
    <w:p>
      <w:pPr>
        <w:jc w:val="both"/>
        <w:ind w:left="1860" w:right="619" w:hanging="416"/>
        <w:spacing w:after="0" w:line="258" w:lineRule="auto"/>
        <w:tabs>
          <w:tab w:leader="none" w:pos="1825"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22" w:lineRule="exact"/>
        <w:rPr>
          <w:rFonts w:ascii="Times New Roman" w:cs="Times New Roman" w:eastAsia="Times New Roman" w:hAnsi="Times New Roman"/>
          <w:sz w:val="17"/>
          <w:szCs w:val="17"/>
          <w:color w:val="auto"/>
        </w:rPr>
      </w:pPr>
    </w:p>
    <w:p>
      <w:pPr>
        <w:jc w:val="both"/>
        <w:ind w:left="1440" w:right="619" w:hanging="411"/>
        <w:spacing w:after="0" w:line="262" w:lineRule="auto"/>
        <w:tabs>
          <w:tab w:leader="none" w:pos="1414"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determining liability under the Securities Act of 1933 to any purchaser in the initial distributions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29"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81"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25"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81" w:lineRule="exact"/>
        <w:rPr>
          <w:rFonts w:ascii="Times New Roman" w:cs="Times New Roman" w:eastAsia="Times New Roman" w:hAnsi="Times New Roman"/>
          <w:sz w:val="17"/>
          <w:szCs w:val="17"/>
          <w:color w:val="auto"/>
        </w:rPr>
      </w:pPr>
    </w:p>
    <w:p>
      <w:pPr>
        <w:jc w:val="both"/>
        <w:ind w:left="1860" w:right="619" w:hanging="416"/>
        <w:spacing w:after="0" w:line="273" w:lineRule="auto"/>
        <w:tabs>
          <w:tab w:leader="none" w:pos="1834"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84"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24"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81"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14"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97" w:lineRule="exact"/>
        <w:rPr>
          <w:rFonts w:ascii="Times New Roman" w:cs="Times New Roman" w:eastAsia="Times New Roman" w:hAnsi="Times New Roman"/>
          <w:sz w:val="17"/>
          <w:szCs w:val="17"/>
          <w:color w:val="auto"/>
        </w:rPr>
      </w:pPr>
    </w:p>
    <w:p>
      <w:pPr>
        <w:ind w:left="1420" w:hanging="391"/>
        <w:spacing w:after="0"/>
        <w:tabs>
          <w:tab w:leader="none" w:pos="14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w:t>
      </w:r>
    </w:p>
    <w:p>
      <w:pPr>
        <w:spacing w:after="0" w:line="141" w:lineRule="exact"/>
        <w:rPr>
          <w:rFonts w:ascii="Times New Roman" w:cs="Times New Roman" w:eastAsia="Times New Roman" w:hAnsi="Times New Roman"/>
          <w:sz w:val="17"/>
          <w:szCs w:val="17"/>
          <w:color w:val="auto"/>
        </w:rPr>
      </w:pPr>
    </w:p>
    <w:p>
      <w:pPr>
        <w:jc w:val="both"/>
        <w:ind w:left="1860" w:right="619" w:hanging="416"/>
        <w:spacing w:after="0" w:line="264" w:lineRule="auto"/>
        <w:tabs>
          <w:tab w:leader="none" w:pos="1829"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4" w:lineRule="exact"/>
        <w:rPr>
          <w:rFonts w:ascii="Times New Roman" w:cs="Times New Roman" w:eastAsia="Times New Roman" w:hAnsi="Times New Roman"/>
          <w:sz w:val="17"/>
          <w:szCs w:val="17"/>
          <w:color w:val="auto"/>
        </w:rPr>
      </w:pPr>
    </w:p>
    <w:p>
      <w:pPr>
        <w:jc w:val="both"/>
        <w:ind w:left="1860" w:right="619" w:hanging="416"/>
        <w:spacing w:after="0" w:line="267" w:lineRule="auto"/>
        <w:tabs>
          <w:tab w:leader="none" w:pos="1825"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6" w:name="page267"/>
    <w:bookmarkEnd w:id="26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our counsel the matter has been settled by controlling precedent, submit to a court of appropriate jurisdiction the question of whether such indemnification is against public policy as expressed in the Securities Act, and we will be governed by the final adjudication of such issue.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7" w:name="page268"/>
    <w:bookmarkEnd w:id="26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jc w:val="both"/>
        <w:ind w:left="620" w:right="619" w:firstLine="415"/>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the City of Santa Clara, State of California, on the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of October, 2022.</w:t>
      </w:r>
    </w:p>
    <w:p>
      <w:pPr>
        <w:spacing w:after="0" w:line="8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7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/s/ Dr. Keyvan Mohajer</w:t>
      </w:r>
    </w:p>
    <w:p>
      <w:pPr>
        <w:spacing w:after="0" w:line="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Name: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-120015</wp:posOffset>
            </wp:positionV>
            <wp:extent cx="22637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2263775" cy="8255"/>
                    </a:xfrm>
                    <a:prstGeom prst="rect">
                      <a:avLst/>
                    </a:prstGeom>
                    <a:noFill/>
                  </pic:spPr>
                </pic:pic>
              </a:graphicData>
            </a:graphic>
          </wp:anchor>
        </w:drawing>
      </w:r>
    </w:p>
    <w:p>
      <w:pPr>
        <w:spacing w:after="0" w:line="57" w:lineRule="exact"/>
        <w:rPr>
          <w:sz w:val="20"/>
          <w:szCs w:val="20"/>
          <w:color w:val="auto"/>
        </w:rPr>
      </w:pPr>
    </w:p>
    <w:p>
      <w:pPr>
        <w:ind w:left="4820"/>
        <w:spacing w:after="0"/>
        <w:tabs>
          <w:tab w:leader="none" w:pos="536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45"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40" w:type="dxa"/>
            <w:vAlign w:val="bottom"/>
            <w:gridSpan w:val="2"/>
          </w:tcPr>
          <w:p>
            <w:pPr>
              <w:ind w:left="9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5"/>
        </w:trPr>
        <w:tc>
          <w:tcPr>
            <w:tcW w:w="5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3"/>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Dr. Keyvan Mohajer</w:t>
            </w:r>
          </w:p>
        </w:tc>
        <w:tc>
          <w:tcPr>
            <w:tcW w:w="35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27, 2022</w:t>
            </w:r>
          </w:p>
        </w:tc>
        <w:tc>
          <w:tcPr>
            <w:tcW w:w="0" w:type="dxa"/>
            <w:vAlign w:val="bottom"/>
          </w:tcPr>
          <w:p>
            <w:pPr>
              <w:spacing w:after="0"/>
              <w:rPr>
                <w:sz w:val="1"/>
                <w:szCs w:val="1"/>
                <w:color w:val="auto"/>
              </w:rPr>
            </w:pPr>
          </w:p>
        </w:tc>
      </w:tr>
      <w:tr>
        <w:trPr>
          <w:trHeight w:val="39"/>
        </w:trPr>
        <w:tc>
          <w:tcPr>
            <w:tcW w:w="5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5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3500" w:type="dxa"/>
            <w:vAlign w:val="bottom"/>
            <w:gridSpan w:val="4"/>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Nitesh Sharan</w:t>
            </w:r>
          </w:p>
        </w:tc>
        <w:tc>
          <w:tcPr>
            <w:tcW w:w="35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27, 2022</w:t>
            </w:r>
          </w:p>
        </w:tc>
        <w:tc>
          <w:tcPr>
            <w:tcW w:w="0" w:type="dxa"/>
            <w:vAlign w:val="bottom"/>
          </w:tcPr>
          <w:p>
            <w:pPr>
              <w:spacing w:after="0"/>
              <w:rPr>
                <w:sz w:val="1"/>
                <w:szCs w:val="1"/>
                <w:color w:val="auto"/>
              </w:rPr>
            </w:pPr>
          </w:p>
        </w:tc>
      </w:tr>
      <w:tr>
        <w:trPr>
          <w:trHeight w:val="39"/>
        </w:trPr>
        <w:tc>
          <w:tcPr>
            <w:tcW w:w="5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5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3500" w:type="dxa"/>
            <w:vAlign w:val="bottom"/>
            <w:gridSpan w:val="4"/>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spacing w:after="0"/>
              <w:rPr>
                <w:sz w:val="24"/>
                <w:szCs w:val="24"/>
                <w:color w:val="auto"/>
              </w:rPr>
            </w:pPr>
          </w:p>
        </w:tc>
        <w:tc>
          <w:tcPr>
            <w:tcW w:w="35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27, 2022</w:t>
            </w:r>
          </w:p>
        </w:tc>
        <w:tc>
          <w:tcPr>
            <w:tcW w:w="0" w:type="dxa"/>
            <w:vAlign w:val="bottom"/>
          </w:tcPr>
          <w:p>
            <w:pPr>
              <w:spacing w:after="0"/>
              <w:rPr>
                <w:sz w:val="1"/>
                <w:szCs w:val="1"/>
                <w:color w:val="auto"/>
              </w:rPr>
            </w:pPr>
          </w:p>
        </w:tc>
      </w:tr>
      <w:tr>
        <w:trPr>
          <w:trHeight w:val="39"/>
        </w:trPr>
        <w:tc>
          <w:tcPr>
            <w:tcW w:w="5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Hom</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spacing w:after="0"/>
              <w:rPr>
                <w:sz w:val="24"/>
                <w:szCs w:val="24"/>
                <w:color w:val="auto"/>
              </w:rPr>
            </w:pPr>
          </w:p>
        </w:tc>
        <w:tc>
          <w:tcPr>
            <w:tcW w:w="35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27, 2022</w:t>
            </w:r>
          </w:p>
        </w:tc>
        <w:tc>
          <w:tcPr>
            <w:tcW w:w="0" w:type="dxa"/>
            <w:vAlign w:val="bottom"/>
          </w:tcPr>
          <w:p>
            <w:pPr>
              <w:spacing w:after="0"/>
              <w:rPr>
                <w:sz w:val="1"/>
                <w:szCs w:val="1"/>
                <w:color w:val="auto"/>
              </w:rPr>
            </w:pPr>
          </w:p>
        </w:tc>
      </w:tr>
      <w:tr>
        <w:trPr>
          <w:trHeight w:val="39"/>
        </w:trPr>
        <w:tc>
          <w:tcPr>
            <w:tcW w:w="5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spacing w:after="0"/>
              <w:rPr>
                <w:sz w:val="24"/>
                <w:szCs w:val="24"/>
                <w:color w:val="auto"/>
              </w:rPr>
            </w:pPr>
          </w:p>
        </w:tc>
        <w:tc>
          <w:tcPr>
            <w:tcW w:w="35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27, 2022</w:t>
            </w:r>
          </w:p>
        </w:tc>
        <w:tc>
          <w:tcPr>
            <w:tcW w:w="0" w:type="dxa"/>
            <w:vAlign w:val="bottom"/>
          </w:tcPr>
          <w:p>
            <w:pPr>
              <w:spacing w:after="0"/>
              <w:rPr>
                <w:sz w:val="1"/>
                <w:szCs w:val="1"/>
                <w:color w:val="auto"/>
              </w:rPr>
            </w:pPr>
          </w:p>
        </w:tc>
      </w:tr>
      <w:tr>
        <w:trPr>
          <w:trHeight w:val="39"/>
        </w:trPr>
        <w:tc>
          <w:tcPr>
            <w:tcW w:w="5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spacing w:after="0"/>
              <w:rPr>
                <w:sz w:val="24"/>
                <w:szCs w:val="24"/>
                <w:color w:val="auto"/>
              </w:rPr>
            </w:pPr>
          </w:p>
        </w:tc>
        <w:tc>
          <w:tcPr>
            <w:tcW w:w="35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27, 2022</w:t>
            </w:r>
          </w:p>
        </w:tc>
        <w:tc>
          <w:tcPr>
            <w:tcW w:w="0" w:type="dxa"/>
            <w:vAlign w:val="bottom"/>
          </w:tcPr>
          <w:p>
            <w:pPr>
              <w:spacing w:after="0"/>
              <w:rPr>
                <w:sz w:val="1"/>
                <w:szCs w:val="1"/>
                <w:color w:val="auto"/>
              </w:rPr>
            </w:pPr>
          </w:p>
        </w:tc>
      </w:tr>
      <w:tr>
        <w:trPr>
          <w:trHeight w:val="39"/>
        </w:trPr>
        <w:tc>
          <w:tcPr>
            <w:tcW w:w="5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By:  /s/ Dr. Keyvan Mohajer</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1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40" w:type="dxa"/>
            <w:vAlign w:val="bottom"/>
            <w:vMerge w:val="continue"/>
          </w:tcPr>
          <w:p>
            <w:pPr>
              <w:spacing w:after="0"/>
              <w:rPr>
                <w:sz w:val="15"/>
                <w:szCs w:val="15"/>
                <w:color w:val="auto"/>
              </w:rPr>
            </w:pPr>
          </w:p>
        </w:tc>
        <w:tc>
          <w:tcPr>
            <w:tcW w:w="19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Dr. Keyvan Mohajer</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4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Attorney-in-fact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5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7"/>
                <w:szCs w:val="17"/>
                <w:color w:val="auto"/>
              </w:rPr>
              <w:t>II-7</w:t>
            </w: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hereby consent to the inclusion in this Registration Statement of SoundHound AI, Inc. (formerly known as Archimedes Tech SPAC Partners Co.) on Form S-1/A of our report dated March 9, 2022, with respect to our audit of the Archimedes Tech SPAC Partners Co. (the “Company”) financial statements as of December 31, 2021 and 2020, and for the year ended December 31, 2021 and the period September 15, 2020 (inception) through December 31, 2020, which appears in this Registration Statement. Our report contained an explanatory paragraph regarding substantial doubt about the Company’s ability to continue as a going concern.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our Firm under the caption “Experts” in such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UHY LLP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27, 2022</w:t>
      </w:r>
    </w:p>
    <w:p>
      <w:pPr>
        <w:sectPr>
          <w:pgSz w:w="11900" w:h="16838" w:orient="portrait"/>
          <w:cols w:equalWidth="0" w:num="1">
            <w:col w:w="11240"/>
          </w:cols>
          <w:pgMar w:left="320" w:top="119"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152400</wp:posOffset>
            </wp:positionV>
            <wp:extent cx="1185545" cy="3460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1185545" cy="34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consent to the use in this Registration Statement on Amendment No. 2 to Form S-1 of our audit report dated March 9, 2022 relating to the consolidated financial statements of SoundHound, Inc. for the years ended December 31, 2021 and 2020, which report appears in the Registration Statement. We also consent to the reference to us under the heading “Experts” in such Registration Statement.</w:t>
      </w:r>
    </w:p>
    <w:p>
      <w:pPr>
        <w:spacing w:after="0" w:line="1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Armanino LLP</w:t>
      </w:r>
    </w:p>
    <w:p>
      <w:pPr>
        <w:spacing w:after="0" w:line="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90575" cy="4692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790575" cy="46926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lowerRoman"/>
      <w:start w:val="3"/>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1)"/>
      <w:numFmt w:val="lowerRoman"/>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1)"/>
      <w:numFmt w:val="lowerRoman"/>
      <w:start w:val="2"/>
    </w:lvl>
  </w:abstractNum>
  <w:abstractNum w:abstractNumId="9">
    <w:nsid w:val="4A2AC315"/>
    <w:multiLevelType w:val="hybridMultilevel"/>
    <w:lvl w:ilvl="0">
      <w:lvlJc w:val="left"/>
      <w:lvlText w:val="(%1)"/>
      <w:numFmt w:val="decimal"/>
      <w:start w:val="1"/>
    </w:lvl>
  </w:abstractNum>
  <w:abstractNum w:abstractNumId="10">
    <w:nsid w:val="39EE015C"/>
    <w:multiLevelType w:val="hybridMultilevel"/>
    <w:lvl w:ilvl="0">
      <w:lvlJc w:val="left"/>
      <w:lvlText w:val="(%1)"/>
      <w:numFmt w:val="lowerRoman"/>
      <w:start w:val="1"/>
    </w:lvl>
  </w:abstractNum>
  <w:abstractNum w:abstractNumId="11">
    <w:nsid w:val="57FC4FBB"/>
    <w:multiLevelType w:val="hybridMultilevel"/>
    <w:lvl w:ilvl="0">
      <w:lvlJc w:val="left"/>
      <w:lvlText w:val="(%1)"/>
      <w:numFmt w:val="lowerRoman"/>
      <w:start w:val="3"/>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1)"/>
      <w:numFmt w:val="decimal"/>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1)"/>
      <w:numFmt w:val="lowerRoman"/>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1)"/>
      <w:numFmt w:val="decimal"/>
      <w:start w:val="3"/>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1)"/>
      <w:numFmt w:val="decimal"/>
      <w:start w:val="2"/>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1)"/>
      <w:numFmt w:val="lowerRoman"/>
      <w:start w:val="1"/>
    </w:lvl>
  </w:abstractNum>
  <w:abstractNum w:abstractNumId="40">
    <w:nsid w:val="1D545C4D"/>
    <w:multiLevelType w:val="hybridMultilevel"/>
    <w:lvl w:ilvl="0">
      <w:lvlJc w:val="left"/>
      <w:lvlText w:val="%1)"/>
      <w:numFmt w:val="decimal"/>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1)"/>
      <w:numFmt w:val="decimal"/>
      <w:start w:val="1"/>
    </w:lvl>
  </w:abstractNum>
  <w:abstractNum w:abstractNumId="43">
    <w:nsid w:val="2A155DBC"/>
    <w:multiLevelType w:val="hybridMultilevel"/>
    <w:lvl w:ilvl="0">
      <w:lvlJc w:val="left"/>
      <w:lvlText w:val="(%1)"/>
      <w:numFmt w:val="lowerRoman"/>
      <w:start w:val="2"/>
    </w:lvl>
  </w:abstractNum>
  <w:abstractNum w:abstractNumId="44">
    <w:nsid w:val="1D9F6E5F"/>
    <w:multiLevelType w:val="hybridMultilevel"/>
    <w:lvl w:ilvl="0">
      <w:lvlJc w:val="left"/>
      <w:lvlText w:val="\emdash "/>
      <w:numFmt w:val="bullet"/>
      <w:start w:val="1"/>
    </w:lvl>
  </w:abstractNum>
  <w:abstractNum w:abstractNumId="45">
    <w:nsid w:val="97E1B4E"/>
    <w:multiLevelType w:val="hybridMultilevel"/>
    <w:lvl w:ilvl="0">
      <w:lvlJc w:val="left"/>
      <w:lvlText w:val="(%1)"/>
      <w:numFmt w:val="lowerRoman"/>
      <w:start w:val="1"/>
    </w:lvl>
  </w:abstractNum>
  <w:abstractNum w:abstractNumId="46">
    <w:nsid w:val="51088277"/>
    <w:multiLevelType w:val="hybridMultilevel"/>
    <w:lvl w:ilvl="0">
      <w:lvlJc w:val="left"/>
      <w:lvlText w:val="(%1)"/>
      <w:numFmt w:val="lowerRoman"/>
      <w:start w:val="4"/>
    </w:lvl>
  </w:abstractNum>
  <w:abstractNum w:abstractNumId="47">
    <w:nsid w:val="1CA0C5FA"/>
    <w:multiLevelType w:val="hybridMultilevel"/>
    <w:lvl w:ilvl="0">
      <w:lvlJc w:val="left"/>
      <w:lvlText w:val="(%1)"/>
      <w:numFmt w:val="decimal"/>
      <w:start w:val="1"/>
    </w:lvl>
  </w:abstractNum>
  <w:abstractNum w:abstractNumId="48">
    <w:nsid w:val="53584BCB"/>
    <w:multiLevelType w:val="hybridMultilevel"/>
    <w:lvl w:ilvl="0">
      <w:lvlJc w:val="left"/>
      <w:lvlText w:val="(%1)"/>
      <w:numFmt w:val="lowerRoman"/>
      <w:start w:val="2"/>
    </w:lvl>
  </w:abstractNum>
  <w:abstractNum w:abstractNumId="49">
    <w:nsid w:val="415E286C"/>
    <w:multiLevelType w:val="hybridMultilevel"/>
    <w:lvl w:ilvl="0">
      <w:lvlJc w:val="left"/>
      <w:lvlText w:val="%1)"/>
      <w:numFmt w:val="lowerLetter"/>
      <w:start w:val="1"/>
    </w:lvl>
  </w:abstractNum>
  <w:abstractNum w:abstractNumId="50">
    <w:nsid w:val="7C58FD05"/>
    <w:multiLevelType w:val="hybridMultilevel"/>
    <w:lvl w:ilvl="0">
      <w:lvlJc w:val="left"/>
      <w:lvlText w:val="%1)"/>
      <w:numFmt w:val="lowerLetter"/>
      <w:start w:val="2"/>
    </w:lvl>
  </w:abstractNum>
  <w:abstractNum w:abstractNumId="51">
    <w:nsid w:val="23D86AAC"/>
    <w:multiLevelType w:val="hybridMultilevel"/>
    <w:lvl w:ilvl="0">
      <w:lvlJc w:val="left"/>
      <w:lvlText w:val="%1)"/>
      <w:numFmt w:val="lowerLetter"/>
      <w:start w:val="3"/>
    </w:lvl>
  </w:abstractNum>
  <w:abstractNum w:abstractNumId="52">
    <w:nsid w:val="45E6D486"/>
    <w:multiLevelType w:val="hybridMultilevel"/>
    <w:lvl w:ilvl="0">
      <w:lvlJc w:val="left"/>
      <w:lvlText w:val="(%1)"/>
      <w:numFmt w:val="lowerLetter"/>
      <w:start w:val="2"/>
    </w:lvl>
  </w:abstractNum>
  <w:abstractNum w:abstractNumId="53">
    <w:nsid w:val="5C10FE21"/>
    <w:multiLevelType w:val="hybridMultilevel"/>
    <w:lvl w:ilvl="0">
      <w:lvlJc w:val="left"/>
      <w:lvlText w:val="(%1)"/>
      <w:numFmt w:val="lowerLetter"/>
      <w:start w:val="1"/>
    </w:lvl>
  </w:abstractNum>
  <w:abstractNum w:abstractNumId="54">
    <w:nsid w:val="E7FFA2B"/>
    <w:multiLevelType w:val="hybridMultilevel"/>
    <w:lvl w:ilvl="0">
      <w:lvlJc w:val="left"/>
      <w:lvlText w:val="(%1)"/>
      <w:numFmt w:val="lowerLetter"/>
      <w:start w:val="3"/>
    </w:lvl>
  </w:abstractNum>
  <w:abstractNum w:abstractNumId="55">
    <w:nsid w:val="3C5991AA"/>
    <w:multiLevelType w:val="hybridMultilevel"/>
    <w:lvl w:ilvl="0">
      <w:lvlJc w:val="left"/>
      <w:lvlText w:val="(%1)"/>
      <w:numFmt w:val="lowerLetter"/>
      <w:start w:val="2"/>
    </w:lvl>
  </w:abstractNum>
  <w:abstractNum w:abstractNumId="56">
    <w:nsid w:val="4BD8591A"/>
    <w:multiLevelType w:val="hybridMultilevel"/>
    <w:lvl w:ilvl="0">
      <w:lvlJc w:val="left"/>
      <w:lvlText w:val="(%1)"/>
      <w:numFmt w:val="lowerLetter"/>
      <w:start w:val="6"/>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1)"/>
      <w:numFmt w:val="lowerLetter"/>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1)"/>
      <w:numFmt w:val="decimal"/>
      <w:start w:val="1"/>
    </w:lvl>
  </w:abstractNum>
  <w:abstractNum w:abstractNumId="67">
    <w:nsid w:val="5675FF36"/>
    <w:multiLevelType w:val="hybridMultilevel"/>
    <w:lvl w:ilvl="0">
      <w:lvlJc w:val="left"/>
      <w:lvlText w:val="(%1)"/>
      <w:numFmt w:val="decimal"/>
      <w:start w:val="2"/>
    </w:lvl>
  </w:abstractNum>
  <w:abstractNum w:abstractNumId="68">
    <w:nsid w:val="3DD15094"/>
    <w:multiLevelType w:val="hybridMultilevel"/>
    <w:lvl w:ilvl="0">
      <w:lvlJc w:val="left"/>
      <w:lvlText w:val="(%1)"/>
      <w:numFmt w:val="decimal"/>
      <w:start w:val="1"/>
    </w:lvl>
  </w:abstractNum>
  <w:abstractNum w:abstractNumId="69">
    <w:nsid w:val="3DB012B3"/>
    <w:multiLevelType w:val="hybridMultilevel"/>
    <w:lvl w:ilvl="0">
      <w:lvlJc w:val="left"/>
      <w:lvlText w:val="(%1)"/>
      <w:numFmt w:val="decimal"/>
      <w:start w:val="2"/>
    </w:lvl>
  </w:abstractNum>
  <w:abstractNum w:abstractNumId="70">
    <w:nsid w:val="2708C9AF"/>
    <w:multiLevelType w:val="hybridMultilevel"/>
    <w:lvl w:ilvl="0">
      <w:lvlJc w:val="left"/>
      <w:lvlText w:val="(%1)"/>
      <w:numFmt w:val="decimal"/>
      <w:start w:val="12"/>
    </w:lvl>
  </w:abstractNum>
  <w:abstractNum w:abstractNumId="71">
    <w:nsid w:val="5B25ACE2"/>
    <w:multiLevelType w:val="hybridMultilevel"/>
    <w:lvl w:ilvl="0">
      <w:lvlJc w:val="left"/>
      <w:lvlText w:val="(%1)"/>
      <w:numFmt w:val="decimal"/>
      <w:start w:val="1"/>
    </w:lvl>
  </w:abstractNum>
  <w:abstractNum w:abstractNumId="72">
    <w:nsid w:val="175DFCF0"/>
    <w:multiLevelType w:val="hybridMultilevel"/>
    <w:lvl w:ilvl="0">
      <w:lvlJc w:val="left"/>
      <w:lvlText w:val="(%1)"/>
      <w:numFmt w:val="lowerRoman"/>
      <w:start w:val="1"/>
    </w:lvl>
  </w:abstractNum>
  <w:abstractNum w:abstractNumId="73">
    <w:nsid w:val="4F97E3E4"/>
    <w:multiLevelType w:val="hybridMultilevel"/>
    <w:lvl w:ilvl="0">
      <w:lvlJc w:val="left"/>
      <w:lvlText w:val="(%1)"/>
      <w:numFmt w:val="lowerRoman"/>
      <w:start w:val="1"/>
    </w:lvl>
  </w:abstractNum>
  <w:abstractNum w:abstractNumId="74">
    <w:nsid w:val="53B0A9E"/>
    <w:multiLevelType w:val="hybridMultilevel"/>
    <w:lvl w:ilvl="0">
      <w:lvlJc w:val="left"/>
      <w:lvlText w:val="(%1)"/>
      <w:numFmt w:val="lowerRoman"/>
      <w:start w:val="4"/>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1)"/>
      <w:numFmt w:val="decimal"/>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
      <w:numFmt w:val="bullet"/>
      <w:start w:val="1"/>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1)"/>
      <w:numFmt w:val="decimal"/>
      <w:start w:val="636"/>
    </w:lvl>
  </w:abstractNum>
  <w:abstractNum w:abstractNumId="86">
    <w:nsid w:val="19E21BB2"/>
    <w:multiLevelType w:val="hybridMultilevel"/>
    <w:lvl w:ilvl="0">
      <w:lvlJc w:val="left"/>
      <w:lvlText w:val="%1."/>
      <w:numFmt w:val="decimal"/>
      <w:start w:val="1"/>
    </w:lvl>
  </w:abstractNum>
  <w:abstractNum w:abstractNumId="87">
    <w:nsid w:val="75E0858A"/>
    <w:multiLevelType w:val="hybridMultilevel"/>
    <w:lvl w:ilvl="0">
      <w:lvlJc w:val="left"/>
      <w:lvlText w:val="%1."/>
      <w:numFmt w:val="decimal"/>
      <w:start w:val="1"/>
    </w:lvl>
  </w:abstractNum>
  <w:abstractNum w:abstractNumId="88">
    <w:nsid w:val="57A61A29"/>
    <w:multiLevelType w:val="hybridMultilevel"/>
    <w:lvl w:ilvl="0">
      <w:lvlJc w:val="left"/>
      <w:lvlText w:val="%1."/>
      <w:numFmt w:val="decimal"/>
      <w:start w:val="2"/>
    </w:lvl>
  </w:abstractNum>
  <w:abstractNum w:abstractNumId="89">
    <w:nsid w:val="5399C654"/>
    <w:multiLevelType w:val="hybridMultilevel"/>
    <w:lvl w:ilvl="0">
      <w:lvlJc w:val="left"/>
      <w:lvlText w:val="%1."/>
      <w:numFmt w:val="decimal"/>
      <w:start w:val="2"/>
    </w:lvl>
  </w:abstractNum>
  <w:abstractNum w:abstractNumId="90">
    <w:nsid w:val="20EE1348"/>
    <w:multiLevelType w:val="hybridMultilevel"/>
    <w:lvl w:ilvl="0">
      <w:lvlJc w:val="left"/>
      <w:lvlText w:val="%1."/>
      <w:numFmt w:val="decimal"/>
      <w:start w:val="2"/>
    </w:lvl>
  </w:abstractNum>
  <w:abstractNum w:abstractNumId="91">
    <w:nsid w:val="4427069A"/>
    <w:multiLevelType w:val="hybridMultilevel"/>
    <w:lvl w:ilvl="0">
      <w:lvlJc w:val="left"/>
      <w:lvlText w:val="%1."/>
      <w:numFmt w:val="decimal"/>
      <w:start w:val="2"/>
    </w:lvl>
  </w:abstractNum>
  <w:abstractNum w:abstractNumId="92">
    <w:nsid w:val="B37E80A"/>
    <w:multiLevelType w:val="hybridMultilevel"/>
    <w:lvl w:ilvl="0">
      <w:lvlJc w:val="left"/>
      <w:lvlText w:val="(%1)"/>
      <w:numFmt w:val="lowerRoman"/>
      <w:start w:val="1"/>
    </w:lvl>
  </w:abstractNum>
  <w:abstractNum w:abstractNumId="93">
    <w:nsid w:val="2157F6BC"/>
    <w:multiLevelType w:val="hybridMultilevel"/>
    <w:lvl w:ilvl="0">
      <w:lvlJc w:val="left"/>
      <w:lvlText w:val="%1."/>
      <w:numFmt w:val="decimal"/>
      <w:start w:val="2"/>
    </w:lvl>
  </w:abstractNum>
  <w:abstractNum w:abstractNumId="94">
    <w:nsid w:val="704E1DD5"/>
    <w:multiLevelType w:val="hybridMultilevel"/>
    <w:lvl w:ilvl="0">
      <w:lvlJc w:val="left"/>
      <w:lvlText w:val="%1."/>
      <w:numFmt w:val="decimal"/>
      <w:start w:val="2"/>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1."/>
      <w:numFmt w:val="decimal"/>
      <w:start w:val="2"/>
    </w:lvl>
  </w:abstractNum>
  <w:abstractNum w:abstractNumId="97">
    <w:nsid w:val="E3E47A8"/>
    <w:multiLevelType w:val="hybridMultilevel"/>
    <w:lvl w:ilvl="0">
      <w:lvlJc w:val="left"/>
      <w:lvlText w:val="(%1)"/>
      <w:numFmt w:val="lowerRoman"/>
      <w:start w:val="3"/>
    </w:lvl>
  </w:abstractNum>
  <w:abstractNum w:abstractNumId="98">
    <w:nsid w:val="2E48F044"/>
    <w:multiLevelType w:val="hybridMultilevel"/>
    <w:lvl w:ilvl="0">
      <w:lvlJc w:val="left"/>
      <w:lvlText w:val="%1."/>
      <w:numFmt w:val="decimal"/>
      <w:start w:val="2"/>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1."/>
      <w:numFmt w:val="decimal"/>
      <w:start w:val="2"/>
    </w:lvl>
  </w:abstractNum>
  <w:abstractNum w:abstractNumId="101">
    <w:nsid w:val="5551B9F3"/>
    <w:multiLevelType w:val="hybridMultilevel"/>
    <w:lvl w:ilvl="0">
      <w:lvlJc w:val="left"/>
      <w:lvlText w:val="%1."/>
      <w:numFmt w:val="decimal"/>
      <w:start w:val="3"/>
    </w:lvl>
  </w:abstractNum>
  <w:abstractNum w:abstractNumId="102">
    <w:nsid w:val="24F6AB8E"/>
    <w:multiLevelType w:val="hybridMultilevel"/>
    <w:lvl w:ilvl="0">
      <w:lvlJc w:val="left"/>
      <w:lvlText w:val="%1."/>
      <w:numFmt w:val="decimal"/>
      <w:start w:val="3"/>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1."/>
      <w:numFmt w:val="decimal"/>
      <w:start w:val="3"/>
    </w:lvl>
    <w:lvl w:ilvl="1">
      <w:lvlJc w:val="left"/>
      <w:lvlText w:val="•"/>
      <w:numFmt w:val="bullet"/>
      <w:start w:val="1"/>
    </w:lvl>
  </w:abstractNum>
  <w:abstractNum w:abstractNumId="105">
    <w:nsid w:val="2A31B62D"/>
    <w:multiLevelType w:val="hybridMultilevel"/>
    <w:lvl w:ilvl="0">
      <w:lvlJc w:val="left"/>
      <w:lvlText w:val="%1."/>
      <w:numFmt w:val="decimal"/>
      <w:start w:val="3"/>
    </w:lvl>
  </w:abstractNum>
  <w:abstractNum w:abstractNumId="106">
    <w:nsid w:val="1849C29B"/>
    <w:multiLevelType w:val="hybridMultilevel"/>
    <w:lvl w:ilvl="0">
      <w:lvlJc w:val="left"/>
      <w:lvlText w:val="%1."/>
      <w:numFmt w:val="decimal"/>
      <w:start w:val="5"/>
    </w:lvl>
  </w:abstractNum>
  <w:abstractNum w:abstractNumId="107">
    <w:nsid w:val="7DFF9D09"/>
    <w:multiLevelType w:val="hybridMultilevel"/>
    <w:lvl w:ilvl="0">
      <w:lvlJc w:val="left"/>
      <w:lvlText w:val="%1."/>
      <w:numFmt w:val="decimal"/>
      <w:start w:val="6"/>
    </w:lvl>
  </w:abstractNum>
  <w:abstractNum w:abstractNumId="108">
    <w:nsid w:val="754342"/>
    <w:multiLevelType w:val="hybridMultilevel"/>
    <w:lvl w:ilvl="0">
      <w:lvlJc w:val="left"/>
      <w:lvlText w:val="%1."/>
      <w:numFmt w:val="decimal"/>
      <w:start w:val="6"/>
    </w:lvl>
  </w:abstractNum>
  <w:abstractNum w:abstractNumId="109">
    <w:nsid w:val="69E7F3E5"/>
    <w:multiLevelType w:val="hybridMultilevel"/>
    <w:lvl w:ilvl="0">
      <w:lvlJc w:val="left"/>
      <w:lvlText w:val="%1."/>
      <w:numFmt w:val="decimal"/>
      <w:start w:val="7"/>
    </w:lvl>
  </w:abstractNum>
  <w:abstractNum w:abstractNumId="110">
    <w:nsid w:val="2A6DE806"/>
    <w:multiLevelType w:val="hybridMultilevel"/>
    <w:lvl w:ilvl="0">
      <w:lvlJc w:val="left"/>
      <w:lvlText w:val="%1."/>
      <w:numFmt w:val="decimal"/>
      <w:start w:val="7"/>
    </w:lvl>
  </w:abstractNum>
  <w:abstractNum w:abstractNumId="111">
    <w:nsid w:val="1816F8C4"/>
    <w:multiLevelType w:val="hybridMultilevel"/>
    <w:lvl w:ilvl="0">
      <w:lvlJc w:val="left"/>
      <w:lvlText w:val="%1."/>
      <w:numFmt w:val="decimal"/>
      <w:start w:val="8"/>
    </w:lvl>
  </w:abstractNum>
  <w:abstractNum w:abstractNumId="112">
    <w:nsid w:val="37DF2233"/>
    <w:multiLevelType w:val="hybridMultilevel"/>
    <w:lvl w:ilvl="0">
      <w:lvlJc w:val="left"/>
      <w:lvlText w:val="\emdash "/>
      <w:numFmt w:val="bullet"/>
      <w:start w:val="1"/>
    </w:lvl>
  </w:abstractNum>
  <w:abstractNum w:abstractNumId="113">
    <w:nsid w:val="7AB49DAF"/>
    <w:multiLevelType w:val="hybridMultilevel"/>
    <w:lvl w:ilvl="0">
      <w:lvlJc w:val="left"/>
      <w:lvlText w:val="%1."/>
      <w:numFmt w:val="decimal"/>
      <w:start w:val="8"/>
    </w:lvl>
  </w:abstractNum>
  <w:abstractNum w:abstractNumId="114">
    <w:nsid w:val="759F82CD"/>
    <w:multiLevelType w:val="hybridMultilevel"/>
    <w:lvl w:ilvl="0">
      <w:lvlJc w:val="left"/>
      <w:lvlText w:val="%1."/>
      <w:numFmt w:val="decimal"/>
      <w:start w:val="8"/>
    </w:lvl>
  </w:abstractNum>
  <w:abstractNum w:abstractNumId="115">
    <w:nsid w:val="61E74EA3"/>
    <w:multiLevelType w:val="hybridMultilevel"/>
    <w:lvl w:ilvl="0">
      <w:lvlJc w:val="left"/>
      <w:lvlText w:val="%1."/>
      <w:numFmt w:val="decimal"/>
      <w:start w:val="8"/>
    </w:lvl>
  </w:abstractNum>
  <w:abstractNum w:abstractNumId="116">
    <w:nsid w:val="597B4D84"/>
    <w:multiLevelType w:val="hybridMultilevel"/>
    <w:lvl w:ilvl="0">
      <w:lvlJc w:val="left"/>
      <w:lvlText w:val="%1."/>
      <w:numFmt w:val="decimal"/>
      <w:start w:val="9"/>
    </w:lvl>
  </w:abstractNum>
  <w:abstractNum w:abstractNumId="117">
    <w:nsid w:val="F819E7F"/>
    <w:multiLevelType w:val="hybridMultilevel"/>
    <w:lvl w:ilvl="0">
      <w:lvlJc w:val="left"/>
      <w:lvlText w:val="%1."/>
      <w:numFmt w:val="decimal"/>
      <w:start w:val="9"/>
    </w:lvl>
  </w:abstractNum>
  <w:abstractNum w:abstractNumId="118">
    <w:nsid w:val="57C7D42D"/>
    <w:multiLevelType w:val="hybridMultilevel"/>
    <w:lvl w:ilvl="0">
      <w:lvlJc w:val="left"/>
      <w:lvlText w:val="%1."/>
      <w:numFmt w:val="decimal"/>
      <w:start w:val="9"/>
    </w:lvl>
  </w:abstractNum>
  <w:abstractNum w:abstractNumId="119">
    <w:nsid w:val="312167AD"/>
    <w:multiLevelType w:val="hybridMultilevel"/>
    <w:lvl w:ilvl="0">
      <w:lvlJc w:val="left"/>
      <w:lvlText w:val="%1."/>
      <w:numFmt w:val="decimal"/>
      <w:start w:val="9"/>
    </w:lvl>
  </w:abstractNum>
  <w:abstractNum w:abstractNumId="120">
    <w:nsid w:val="631B64D4"/>
    <w:multiLevelType w:val="hybridMultilevel"/>
    <w:lvl w:ilvl="0">
      <w:lvlJc w:val="left"/>
      <w:lvlText w:val="(%1)"/>
      <w:numFmt w:val="lowerRoman"/>
      <w:start w:val="2"/>
    </w:lvl>
  </w:abstractNum>
  <w:abstractNum w:abstractNumId="121">
    <w:nsid w:val="78B5E776"/>
    <w:multiLevelType w:val="hybridMultilevel"/>
    <w:lvl w:ilvl="0">
      <w:lvlJc w:val="left"/>
      <w:lvlText w:val="(%1)"/>
      <w:numFmt w:val="lowerRoman"/>
      <w:start w:val="1"/>
    </w:lvl>
  </w:abstractNum>
  <w:abstractNum w:abstractNumId="122">
    <w:nsid w:val="75486E47"/>
    <w:multiLevelType w:val="hybridMultilevel"/>
    <w:lvl w:ilvl="0">
      <w:lvlJc w:val="left"/>
      <w:lvlText w:val="(%1)"/>
      <w:numFmt w:val="lowerRoman"/>
      <w:start w:val="2"/>
    </w:lvl>
  </w:abstractNum>
  <w:abstractNum w:abstractNumId="123">
    <w:nsid w:val="6E534CDE"/>
    <w:multiLevelType w:val="hybridMultilevel"/>
    <w:lvl w:ilvl="0">
      <w:lvlJc w:val="left"/>
      <w:lvlText w:val="(%1)"/>
      <w:numFmt w:val="lowerRoman"/>
      <w:start w:val="2"/>
    </w:lvl>
  </w:abstractNum>
  <w:abstractNum w:abstractNumId="124">
    <w:nsid w:val="1A0DDE32"/>
    <w:multiLevelType w:val="hybridMultilevel"/>
    <w:lvl w:ilvl="0">
      <w:lvlJc w:val="left"/>
      <w:lvlText w:val="•"/>
      <w:numFmt w:val="bullet"/>
      <w:start w:val="1"/>
    </w:lvl>
  </w:abstractNum>
  <w:abstractNum w:abstractNumId="125">
    <w:nsid w:val="65968C1C"/>
    <w:multiLevelType w:val="hybridMultilevel"/>
    <w:lvl w:ilvl="0">
      <w:lvlJc w:val="left"/>
      <w:lvlText w:val="•"/>
      <w:numFmt w:val="bullet"/>
      <w:start w:val="1"/>
    </w:lvl>
  </w:abstractNum>
  <w:abstractNum w:abstractNumId="126">
    <w:nsid w:val="46263DEC"/>
    <w:multiLevelType w:val="hybridMultilevel"/>
    <w:lvl w:ilvl="0">
      <w:lvlJc w:val="left"/>
      <w:lvlText w:val="%1."/>
      <w:numFmt w:val="decimal"/>
      <w:start w:val="1"/>
    </w:lvl>
  </w:abstractNum>
  <w:abstractNum w:abstractNumId="127">
    <w:nsid w:val="260D8C4A"/>
    <w:multiLevelType w:val="hybridMultilevel"/>
    <w:lvl w:ilvl="0">
      <w:lvlJc w:val="left"/>
      <w:lvlText w:val="•"/>
      <w:numFmt w:val="bullet"/>
      <w:start w:val="1"/>
    </w:lvl>
  </w:abstractNum>
  <w:abstractNum w:abstractNumId="128">
    <w:nsid w:val="73D4D3C4"/>
    <w:multiLevelType w:val="hybridMultilevel"/>
    <w:lvl w:ilvl="0">
      <w:lvlJc w:val="left"/>
      <w:lvlText w:val="%1."/>
      <w:numFmt w:val="decimal"/>
      <w:start w:val="1"/>
    </w:lvl>
  </w:abstractNum>
  <w:abstractNum w:abstractNumId="129">
    <w:nsid w:val="746F2E30"/>
    <w:multiLevelType w:val="hybridMultilevel"/>
    <w:lvl w:ilvl="0">
      <w:lvlJc w:val="left"/>
      <w:lvlText w:val="%1."/>
      <w:numFmt w:val="decimal"/>
      <w:start w:val="1"/>
    </w:lvl>
  </w:abstractNum>
  <w:abstractNum w:abstractNumId="130">
    <w:nsid w:val="6FDE8AF6"/>
    <w:multiLevelType w:val="hybridMultilevel"/>
    <w:lvl w:ilvl="0">
      <w:lvlJc w:val="left"/>
      <w:lvlText w:val="%1."/>
      <w:numFmt w:val="decimal"/>
      <w:start w:val="2"/>
    </w:lvl>
  </w:abstractNum>
  <w:abstractNum w:abstractNumId="131">
    <w:nsid w:val="3FC32E20"/>
    <w:multiLevelType w:val="hybridMultilevel"/>
    <w:lvl w:ilvl="0">
      <w:lvlJc w:val="left"/>
      <w:lvlText w:val="%1."/>
      <w:numFmt w:val="decimal"/>
      <w:start w:val="2"/>
    </w:lvl>
  </w:abstractNum>
  <w:abstractNum w:abstractNumId="132">
    <w:nsid w:val="49C0E823"/>
    <w:multiLevelType w:val="hybridMultilevel"/>
    <w:lvl w:ilvl="0">
      <w:lvlJc w:val="left"/>
      <w:lvlText w:val="%1."/>
      <w:numFmt w:val="decimal"/>
      <w:start w:val="2"/>
    </w:lvl>
  </w:abstractNum>
  <w:abstractNum w:abstractNumId="133">
    <w:nsid w:val="14D53685"/>
    <w:multiLevelType w:val="hybridMultilevel"/>
    <w:lvl w:ilvl="0">
      <w:lvlJc w:val="left"/>
      <w:lvlText w:val="(%1)"/>
      <w:numFmt w:val="lowerRoman"/>
      <w:start w:val="1"/>
    </w:lvl>
  </w:abstractNum>
  <w:abstractNum w:abstractNumId="134">
    <w:nsid w:val="230F856C"/>
    <w:multiLevelType w:val="hybridMultilevel"/>
    <w:lvl w:ilvl="0">
      <w:lvlJc w:val="left"/>
      <w:lvlText w:val="%1."/>
      <w:numFmt w:val="decimal"/>
      <w:start w:val="2"/>
    </w:lvl>
  </w:abstractNum>
  <w:abstractNum w:abstractNumId="135">
    <w:nsid w:val="6EAA85FB"/>
    <w:multiLevelType w:val="hybridMultilevel"/>
    <w:lvl w:ilvl="0">
      <w:lvlJc w:val="left"/>
      <w:lvlText w:val="%1."/>
      <w:numFmt w:val="decimal"/>
      <w:start w:val="2"/>
    </w:lvl>
  </w:abstractNum>
  <w:abstractNum w:abstractNumId="136">
    <w:nsid w:val="3F06ECB2"/>
    <w:multiLevelType w:val="hybridMultilevel"/>
    <w:lvl w:ilvl="0">
      <w:lvlJc w:val="left"/>
      <w:lvlText w:val="•"/>
      <w:numFmt w:val="bullet"/>
      <w:start w:val="1"/>
    </w:lvl>
  </w:abstractNum>
  <w:abstractNum w:abstractNumId="137">
    <w:nsid w:val="3B594807"/>
    <w:multiLevelType w:val="hybridMultilevel"/>
    <w:lvl w:ilvl="0">
      <w:lvlJc w:val="left"/>
      <w:lvlText w:val="%1."/>
      <w:numFmt w:val="decimal"/>
      <w:start w:val="2"/>
    </w:lvl>
  </w:abstractNum>
  <w:abstractNum w:abstractNumId="138">
    <w:nsid w:val="6CAA2304"/>
    <w:multiLevelType w:val="hybridMultilevel"/>
    <w:lvl w:ilvl="0">
      <w:lvlJc w:val="left"/>
      <w:lvlText w:val="%1."/>
      <w:numFmt w:val="decimal"/>
      <w:start w:val="2"/>
    </w:lvl>
  </w:abstractNum>
  <w:abstractNum w:abstractNumId="139">
    <w:nsid w:val="3F7C2FF4"/>
    <w:multiLevelType w:val="hybridMultilevel"/>
    <w:lvl w:ilvl="0">
      <w:lvlJc w:val="left"/>
      <w:lvlText w:val="(%1)"/>
      <w:numFmt w:val="lowerRoman"/>
      <w:start w:val="3"/>
    </w:lvl>
  </w:abstractNum>
  <w:abstractNum w:abstractNumId="140">
    <w:nsid w:val="25413BEC"/>
    <w:multiLevelType w:val="hybridMultilevel"/>
    <w:lvl w:ilvl="0">
      <w:lvlJc w:val="left"/>
      <w:lvlText w:val="•"/>
      <w:numFmt w:val="bullet"/>
      <w:start w:val="1"/>
    </w:lvl>
  </w:abstractNum>
  <w:abstractNum w:abstractNumId="141">
    <w:nsid w:val="17180B0B"/>
    <w:multiLevelType w:val="hybridMultilevel"/>
    <w:lvl w:ilvl="0">
      <w:lvlJc w:val="left"/>
      <w:lvlText w:val="%1."/>
      <w:numFmt w:val="decimal"/>
      <w:start w:val="2"/>
    </w:lvl>
  </w:abstractNum>
  <w:abstractNum w:abstractNumId="142">
    <w:nsid w:val="579328B9"/>
    <w:multiLevelType w:val="hybridMultilevel"/>
    <w:lvl w:ilvl="0">
      <w:lvlJc w:val="left"/>
      <w:lvlText w:val="%1."/>
      <w:numFmt w:val="decimal"/>
      <w:start w:val="3"/>
    </w:lvl>
  </w:abstractNum>
  <w:abstractNum w:abstractNumId="143">
    <w:nsid w:val="5D205E20"/>
    <w:multiLevelType w:val="hybridMultilevel"/>
    <w:lvl w:ilvl="0">
      <w:lvlJc w:val="left"/>
      <w:lvlText w:val="%1."/>
      <w:numFmt w:val="decimal"/>
      <w:start w:val="3"/>
    </w:lvl>
  </w:abstractNum>
  <w:abstractNum w:abstractNumId="144">
    <w:nsid w:val="11CCA8BA"/>
    <w:multiLevelType w:val="hybridMultilevel"/>
    <w:lvl w:ilvl="0">
      <w:lvlJc w:val="left"/>
      <w:lvlText w:val="%1."/>
      <w:numFmt w:val="decimal"/>
      <w:start w:val="4"/>
    </w:lvl>
  </w:abstractNum>
  <w:abstractNum w:abstractNumId="145">
    <w:nsid w:val="4D32AB86"/>
    <w:multiLevelType w:val="hybridMultilevel"/>
    <w:lvl w:ilvl="0">
      <w:lvlJc w:val="left"/>
      <w:lvlText w:val="%1."/>
      <w:numFmt w:val="decimal"/>
      <w:start w:val="4"/>
    </w:lvl>
  </w:abstractNum>
  <w:abstractNum w:abstractNumId="146">
    <w:nsid w:val="3F07ACC3"/>
    <w:multiLevelType w:val="hybridMultilevel"/>
    <w:lvl w:ilvl="0">
      <w:lvlJc w:val="left"/>
      <w:lvlText w:val="%1."/>
      <w:numFmt w:val="decimal"/>
      <w:start w:val="4"/>
    </w:lvl>
  </w:abstractNum>
  <w:abstractNum w:abstractNumId="147">
    <w:nsid w:val="6B47F63E"/>
    <w:multiLevelType w:val="hybridMultilevel"/>
    <w:lvl w:ilvl="0">
      <w:lvlJc w:val="left"/>
      <w:lvlText w:val="•"/>
      <w:numFmt w:val="bullet"/>
      <w:start w:val="1"/>
    </w:lvl>
  </w:abstractNum>
  <w:abstractNum w:abstractNumId="148">
    <w:nsid w:val="5CB44A05"/>
    <w:multiLevelType w:val="hybridMultilevel"/>
    <w:lvl w:ilvl="0">
      <w:lvlJc w:val="left"/>
      <w:lvlText w:val="%1."/>
      <w:numFmt w:val="decimal"/>
      <w:start w:val="4"/>
    </w:lvl>
  </w:abstractNum>
  <w:abstractNum w:abstractNumId="149">
    <w:nsid w:val="16CF80F1"/>
    <w:multiLevelType w:val="hybridMultilevel"/>
    <w:lvl w:ilvl="0">
      <w:lvlJc w:val="left"/>
      <w:lvlText w:val="%1."/>
      <w:numFmt w:val="decimal"/>
      <w:start w:val="4"/>
    </w:lvl>
  </w:abstractNum>
  <w:abstractNum w:abstractNumId="150">
    <w:nsid w:val="1C695DEC"/>
    <w:multiLevelType w:val="hybridMultilevel"/>
    <w:lvl w:ilvl="0">
      <w:lvlJc w:val="left"/>
      <w:lvlText w:val="%1."/>
      <w:numFmt w:val="decimal"/>
      <w:start w:val="6"/>
    </w:lvl>
  </w:abstractNum>
  <w:abstractNum w:abstractNumId="151">
    <w:nsid w:val="3FCFAED9"/>
    <w:multiLevelType w:val="hybridMultilevel"/>
    <w:lvl w:ilvl="0">
      <w:lvlJc w:val="left"/>
      <w:lvlText w:val="%1."/>
      <w:numFmt w:val="decimal"/>
      <w:start w:val="7"/>
    </w:lvl>
  </w:abstractNum>
  <w:abstractNum w:abstractNumId="152">
    <w:nsid w:val="F856867"/>
    <w:multiLevelType w:val="hybridMultilevel"/>
    <w:lvl w:ilvl="0">
      <w:lvlJc w:val="left"/>
      <w:lvlText w:val="%1."/>
      <w:numFmt w:val="decimal"/>
      <w:start w:val="7"/>
    </w:lvl>
  </w:abstractNum>
  <w:abstractNum w:abstractNumId="153">
    <w:nsid w:val="11B1CC33"/>
    <w:multiLevelType w:val="hybridMultilevel"/>
    <w:lvl w:ilvl="0">
      <w:lvlJc w:val="left"/>
      <w:lvlText w:val="%1."/>
      <w:numFmt w:val="decimal"/>
      <w:start w:val="8"/>
    </w:lvl>
  </w:abstractNum>
  <w:abstractNum w:abstractNumId="154">
    <w:nsid w:val="2E22FBB7"/>
    <w:multiLevelType w:val="hybridMultilevel"/>
    <w:lvl w:ilvl="0">
      <w:lvlJc w:val="left"/>
      <w:lvlText w:val="%1."/>
      <w:numFmt w:val="decimal"/>
      <w:start w:val="8"/>
    </w:lvl>
  </w:abstractNum>
  <w:abstractNum w:abstractNumId="155">
    <w:nsid w:val="29934699"/>
    <w:multiLevelType w:val="hybridMultilevel"/>
    <w:lvl w:ilvl="0">
      <w:lvlJc w:val="left"/>
      <w:lvlText w:val="%1."/>
      <w:numFmt w:val="decimal"/>
      <w:start w:val="9"/>
    </w:lvl>
  </w:abstractNum>
  <w:abstractNum w:abstractNumId="156">
    <w:nsid w:val="77485850"/>
    <w:multiLevelType w:val="hybridMultilevel"/>
    <w:lvl w:ilvl="0">
      <w:lvlJc w:val="left"/>
      <w:lvlText w:val="%1."/>
      <w:numFmt w:val="decimal"/>
      <w:start w:val="9"/>
    </w:lvl>
  </w:abstractNum>
  <w:abstractNum w:abstractNumId="157">
    <w:nsid w:val="744939A3"/>
    <w:multiLevelType w:val="hybridMultilevel"/>
    <w:lvl w:ilvl="0">
      <w:lvlJc w:val="left"/>
      <w:lvlText w:val="•"/>
      <w:numFmt w:val="bullet"/>
      <w:start w:val="1"/>
    </w:lvl>
  </w:abstractNum>
  <w:abstractNum w:abstractNumId="158">
    <w:nsid w:val="4FA0D2E3"/>
    <w:multiLevelType w:val="hybridMultilevel"/>
    <w:lvl w:ilvl="0">
      <w:lvlJc w:val="left"/>
      <w:lvlText w:val="%1."/>
      <w:numFmt w:val="decimal"/>
      <w:start w:val="9"/>
    </w:lvl>
  </w:abstractNum>
  <w:abstractNum w:abstractNumId="159">
    <w:nsid w:val="6B1D2C14"/>
    <w:multiLevelType w:val="hybridMultilevel"/>
    <w:lvl w:ilvl="0">
      <w:lvlJc w:val="left"/>
      <w:lvlText w:val="%1."/>
      <w:numFmt w:val="decimal"/>
      <w:start w:val="9"/>
    </w:lvl>
  </w:abstractNum>
  <w:abstractNum w:abstractNumId="160">
    <w:nsid w:val="68B867D3"/>
    <w:multiLevelType w:val="hybridMultilevel"/>
    <w:lvl w:ilvl="0">
      <w:lvlJc w:val="left"/>
      <w:lvlText w:val="%1."/>
      <w:numFmt w:val="decimal"/>
      <w:start w:val="9"/>
    </w:lvl>
  </w:abstractNum>
  <w:abstractNum w:abstractNumId="161">
    <w:nsid w:val="3F7F5DD9"/>
    <w:multiLevelType w:val="hybridMultilevel"/>
    <w:lvl w:ilvl="0">
      <w:lvlJc w:val="left"/>
      <w:lvlText w:val="(%1)"/>
      <w:numFmt w:val="lowerLetter"/>
      <w:start w:val="2"/>
    </w:lvl>
  </w:abstractNum>
  <w:abstractNum w:abstractNumId="162">
    <w:nsid w:val="2AE05A34"/>
    <w:multiLevelType w:val="hybridMultilevel"/>
    <w:lvl w:ilvl="0">
      <w:lvlJc w:val="left"/>
      <w:lvlText w:val="%1."/>
      <w:numFmt w:val="decimal"/>
      <w:start w:val="14"/>
    </w:lvl>
  </w:abstractNum>
  <w:abstractNum w:abstractNumId="163">
    <w:nsid w:val="32794FF7"/>
    <w:multiLevelType w:val="hybridMultilevel"/>
    <w:lvl w:ilvl="0">
      <w:lvlJc w:val="left"/>
      <w:lvlText w:val="*"/>
      <w:numFmt w:val="bullet"/>
      <w:start w:val="1"/>
    </w:lvl>
  </w:abstractNum>
  <w:abstractNum w:abstractNumId="164">
    <w:nsid w:val="5454945E"/>
    <w:multiLevelType w:val="hybridMultilevel"/>
    <w:lvl w:ilvl="0">
      <w:lvlJc w:val="left"/>
      <w:lvlText w:val="•"/>
      <w:numFmt w:val="bullet"/>
      <w:start w:val="1"/>
    </w:lvl>
  </w:abstractNum>
  <w:abstractNum w:abstractNumId="165">
    <w:nsid w:val="4DEFDFA0"/>
    <w:multiLevelType w:val="hybridMultilevel"/>
    <w:lvl w:ilvl="0">
      <w:lvlJc w:val="left"/>
      <w:lvlText w:val="•"/>
      <w:numFmt w:val="bullet"/>
      <w:start w:val="1"/>
    </w:lvl>
  </w:abstractNum>
  <w:abstractNum w:abstractNumId="166">
    <w:nsid w:val="2123D5F2"/>
    <w:multiLevelType w:val="hybridMultilevel"/>
    <w:lvl w:ilvl="0">
      <w:lvlJc w:val="left"/>
      <w:lvlText w:val="%1"/>
      <w:numFmt w:val="decimal"/>
      <w:start w:val="104"/>
    </w:lvl>
  </w:abstractNum>
  <w:abstractNum w:abstractNumId="167">
    <w:nsid w:val="135B8110"/>
    <w:multiLevelType w:val="hybridMultilevel"/>
    <w:lvl w:ilvl="0">
      <w:lvlJc w:val="left"/>
      <w:lvlText w:val="*"/>
      <w:numFmt w:val="bullet"/>
      <w:start w:val="1"/>
    </w:lvl>
  </w:abstractNum>
  <w:abstractNum w:abstractNumId="168">
    <w:nsid w:val="94927A8"/>
    <w:multiLevelType w:val="hybridMultilevel"/>
    <w:lvl w:ilvl="0">
      <w:lvlJc w:val="left"/>
      <w:lvlText w:val="+"/>
      <w:numFmt w:val="bullet"/>
      <w:start w:val="1"/>
    </w:lvl>
  </w:abstractNum>
  <w:abstractNum w:abstractNumId="169">
    <w:nsid w:val="DCDF8F6"/>
    <w:multiLevelType w:val="hybridMultilevel"/>
    <w:lvl w:ilvl="0">
      <w:lvlJc w:val="left"/>
      <w:lvlText w:val="#"/>
      <w:numFmt w:val="bullet"/>
      <w:start w:val="1"/>
    </w:lvl>
  </w:abstractNum>
  <w:abstractNum w:abstractNumId="170">
    <w:nsid w:val="52D7B10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71">
    <w:nsid w:val="2E8A6394"/>
    <w:multiLevelType w:val="hybridMultilevel"/>
    <w:lvl w:ilvl="0">
      <w:lvlJc w:val="left"/>
      <w:lvlText w:val="%1"/>
      <w:numFmt w:val="decimal"/>
      <w:start w:val="1"/>
    </w:lvl>
    <w:lvl w:ilvl="1">
      <w:lvlJc w:val="left"/>
      <w:lvlText w:val="(%2)"/>
      <w:numFmt w:val="lowerRoman"/>
      <w:start w:val="2"/>
    </w:lvl>
  </w:abstractNum>
  <w:abstractNum w:abstractNumId="172">
    <w:nsid w:val="24E60401"/>
    <w:multiLevelType w:val="hybridMultilevel"/>
    <w:lvl w:ilvl="0">
      <w:lvlJc w:val="left"/>
      <w:lvlText w:val="%1."/>
      <w:numFmt w:val="decimal"/>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jpeg"/><Relationship Id="rId328" Type="http://schemas.openxmlformats.org/officeDocument/2006/relationships/image" Target="media/image296.jpeg"/><Relationship Id="rId292" Type="http://schemas.openxmlformats.org/officeDocument/2006/relationships/hyperlink" Target="http://www.sec.gov/Archives/edgar/data/1840856/000121390021059752/ea150505ex2-1_archimedes.htm" TargetMode="External"/><Relationship Id="rId293" Type="http://schemas.openxmlformats.org/officeDocument/2006/relationships/hyperlink" Target="http://www.sec.gov/Archives/edgar/data/1840856/000121390022023274/ea159193ex3-1_soundhound.htm" TargetMode="External"/><Relationship Id="rId294" Type="http://schemas.openxmlformats.org/officeDocument/2006/relationships/hyperlink" Target="http://www.sec.gov/Archives/edgar/data/1840856/000121390022023274/ea159193ex3-2_soundhound.htm" TargetMode="External"/><Relationship Id="rId295" Type="http://schemas.openxmlformats.org/officeDocument/2006/relationships/hyperlink" Target="http://www.sec.gov/Archives/edgar/data/1840856/000121390022023274/ea159193ex4-1_soundhound.htm" TargetMode="External"/><Relationship Id="rId296" Type="http://schemas.openxmlformats.org/officeDocument/2006/relationships/hyperlink" Target="http://www.sec.gov/Archives/edgar/data/1840856/000121390022026797/fs12022ex4-2_soundhound.htm" TargetMode="External"/><Relationship Id="rId297" Type="http://schemas.openxmlformats.org/officeDocument/2006/relationships/hyperlink" Target="http://www.sec.gov/Archives/edgar/data/1840856/000121390022026797/fs12022ex4-3_soundhound.htm" TargetMode="External"/><Relationship Id="rId298" Type="http://schemas.openxmlformats.org/officeDocument/2006/relationships/hyperlink" Target="http://www.sec.gov/Archives/edgar/data/1840856/000121390022057012/fs12022ex5-1_soundhound.htm" TargetMode="External"/><Relationship Id="rId299" Type="http://schemas.openxmlformats.org/officeDocument/2006/relationships/hyperlink" Target="http://www.sec.gov/Archives/edgar/data/1840856/000121390021059752/ea150505ex10-3_archimedes.htm" TargetMode="External"/><Relationship Id="rId300" Type="http://schemas.openxmlformats.org/officeDocument/2006/relationships/hyperlink" Target="http://www.sec.gov/Archives/edgar/data/1840856/000121390021059752/ea150505ex10-4_archimedes.htm" TargetMode="External"/><Relationship Id="rId301" Type="http://schemas.openxmlformats.org/officeDocument/2006/relationships/hyperlink" Target="http://www.sec.gov/Archives/edgar/data/1840856/000121390022026797/fs12022ex10-3_soundhound.htm" TargetMode="External"/><Relationship Id="rId302" Type="http://schemas.openxmlformats.org/officeDocument/2006/relationships/hyperlink" Target="http://www.sec.gov/Archives/edgar/data/1840856/000121390022018967/f424b30422_archimedes.htm#T601" TargetMode="External"/><Relationship Id="rId303" Type="http://schemas.openxmlformats.org/officeDocument/2006/relationships/hyperlink" Target="http://www.sec.gov/Archives/edgar/data/1840856/000121390022018967/f424b30422_archimedes.htm#T602" TargetMode="External"/><Relationship Id="rId304" Type="http://schemas.openxmlformats.org/officeDocument/2006/relationships/hyperlink" Target="http://www.sec.gov/Archives/edgar/data/1840856/000121390022023274/ea159193ex10-8_soundhound.htm" TargetMode="External"/><Relationship Id="rId305" Type="http://schemas.openxmlformats.org/officeDocument/2006/relationships/hyperlink" Target="http://www.sec.gov/Archives/edgar/data/1840856/000121390022023274/ea159193ex10-9_soundhound.htm" TargetMode="External"/><Relationship Id="rId306" Type="http://schemas.openxmlformats.org/officeDocument/2006/relationships/hyperlink" Target="http://www.sec.gov/Archives/edgar/data/1840856/000121390022023274/ea159193ex10-10_soundhound.htm" TargetMode="External"/><Relationship Id="rId307" Type="http://schemas.openxmlformats.org/officeDocument/2006/relationships/hyperlink" Target="http://www.sec.gov/Archives/edgar/data/1840856/000121390022031794/ea161309ex10-1_soundhound.htm" TargetMode="External"/><Relationship Id="rId308" Type="http://schemas.openxmlformats.org/officeDocument/2006/relationships/hyperlink" Target="http://www.sec.gov/Archives/edgar/data/1840856/000121390022031794/ea161309ex10-2_soundhound.htm" TargetMode="External"/><Relationship Id="rId309" Type="http://schemas.openxmlformats.org/officeDocument/2006/relationships/hyperlink" Target="http://www.sec.gov/Archives/edgar/data/1840856/000121390022031794/ea161309ex10-3_soundhound.htm" TargetMode="External"/><Relationship Id="rId310" Type="http://schemas.openxmlformats.org/officeDocument/2006/relationships/hyperlink" Target="http://www.sec.gov/Archives/edgar/data/1840856/000121390022031794/ea161309ex10-4_soundhound.htm" TargetMode="External"/><Relationship Id="rId311" Type="http://schemas.openxmlformats.org/officeDocument/2006/relationships/hyperlink" Target="http://www.sec.gov/Archives/edgar/data/1840856/000121390022049015/ea164559ex10-1_sound.htm" TargetMode="External"/><Relationship Id="rId312" Type="http://schemas.openxmlformats.org/officeDocument/2006/relationships/hyperlink" Target="http://www.sec.gov/Archives/edgar/data/1840856/000121390022049015/ea164559ex10-2_sound.htm" TargetMode="External"/><Relationship Id="rId313" Type="http://schemas.openxmlformats.org/officeDocument/2006/relationships/hyperlink" Target="http://www.sec.gov/Archives/edgar/data/1840856/000121390022023274/ea159193ex21-1_soundhound.htm" TargetMode="External"/><Relationship Id="rId314" Type="http://schemas.openxmlformats.org/officeDocument/2006/relationships/hyperlink" Target="http://www.sec.gov/Archives/edgar/data/1840856/000121390022023274/ea159193ex99-1_soundhound.htm" TargetMode="External"/><Relationship Id="rId315" Type="http://schemas.openxmlformats.org/officeDocument/2006/relationships/hyperlink" Target="http://www.sec.gov/Archives/edgar/data/1840856/000121390022023274/ea159193ex99-2_soundhound.htm" TargetMode="External"/><Relationship Id="rId321" Type="http://schemas.openxmlformats.org/officeDocument/2006/relationships/hyperlink" Target="http://www.sec.gov/Archives/edgar/data/1840856/000121390022026797/fs12022ex-fee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2022-11-11T14:31:48Z</dcterms:created>
  <dcterms:modified xsi:type="dcterms:W3CDTF">2022-11-11T14:31:48Z</dcterms:modified>
</cp:coreProperties>
</file>