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212529"/>
          <w:sz w:val="22"/>
        </w:rPr>
      </w:pPr>
      <w:r>
        <w:rPr>
          <w:rFonts w:ascii="Times New Roman;serif" w:hAnsi="Times New Roman;serif"/>
          <w:b/>
          <w:color w:val="212529"/>
          <w:sz w:val="22"/>
        </w:rPr>
        <w:t>UNITED STATES</w:t>
      </w:r>
    </w:p>
    <w:p>
      <w:pPr>
        <w:pStyle w:val="TextBody"/>
        <w:bidi w:val="0"/>
        <w:spacing w:lineRule="auto" w:line="288" w:before="0" w:after="0"/>
        <w:jc w:val="center"/>
        <w:rPr>
          <w:rFonts w:ascii="Times New Roman;serif" w:hAnsi="Times New Roman;serif"/>
          <w:b/>
          <w:color w:val="212529"/>
          <w:sz w:val="22"/>
        </w:rPr>
      </w:pPr>
      <w:r>
        <w:rPr>
          <w:rFonts w:ascii="Times New Roman;serif" w:hAnsi="Times New Roman;serif"/>
          <w:b/>
          <w:color w:val="212529"/>
          <w:sz w:val="22"/>
        </w:rPr>
        <w:t>SECURITIES AND EXCHANGE COMMISSION</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200" w:after="283"/>
        <w:jc w:val="center"/>
        <w:rPr>
          <w:rFonts w:ascii="Times New Roman;serif" w:hAnsi="Times New Roman;serif"/>
          <w:b/>
          <w:color w:val="212529"/>
          <w:sz w:val="24"/>
        </w:rPr>
      </w:pPr>
      <w:r>
        <w:rPr>
          <w:rFonts w:ascii="Times New Roman;serif" w:hAnsi="Times New Roman;serif"/>
          <w:b/>
          <w:color w:val="212529"/>
          <w:sz w:val="24"/>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40" w:before="0" w:after="20"/>
        <w:jc w:val="left"/>
        <w:rPr>
          <w:color w:val="212529"/>
        </w:rPr>
      </w:pPr>
      <w:r>
        <w:rPr>
          <w:color w:val="212529"/>
        </w:rPr>
        <w:t> </w:t>
      </w:r>
    </w:p>
    <w:p>
      <w:pPr>
        <w:pStyle w:val="TextBody"/>
        <w:bidi w:val="0"/>
        <w:spacing w:lineRule="auto" w:line="288" w:before="120" w:after="283"/>
        <w:jc w:val="center"/>
        <w:rPr>
          <w:rFonts w:ascii="Times New Roman;serif" w:hAnsi="Times New Roman;serif"/>
          <w:b/>
          <w:color w:val="212529"/>
          <w:sz w:val="20"/>
        </w:rPr>
      </w:pPr>
      <w:r>
        <w:rPr>
          <w:rFonts w:ascii="Times New Roman;serif" w:hAnsi="Times New Roman;serif"/>
          <w:b/>
          <w:color w:val="212529"/>
          <w:sz w:val="20"/>
        </w:rPr>
        <w:t>CURRENT REPORT</w:t>
      </w:r>
    </w:p>
    <w:p>
      <w:pPr>
        <w:pStyle w:val="TextBody"/>
        <w:bidi w:val="0"/>
        <w:spacing w:lineRule="auto" w:line="288" w:before="120" w:after="283"/>
        <w:jc w:val="center"/>
        <w:rPr>
          <w:rFonts w:ascii="Times New Roman;serif" w:hAnsi="Times New Roman;serif"/>
          <w:b/>
          <w:color w:val="212529"/>
          <w:sz w:val="20"/>
        </w:rPr>
      </w:pPr>
      <w:r>
        <w:rPr>
          <w:rFonts w:ascii="Times New Roman;serif" w:hAnsi="Times New Roman;serif"/>
          <w:b/>
          <w:color w:val="212529"/>
          <w:sz w:val="20"/>
        </w:rPr>
        <w:t>Pursuant to Section 13 or 15(d)</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of the Securities Exchange Act of 1934</w:t>
      </w:r>
    </w:p>
    <w:p>
      <w:pPr>
        <w:pStyle w:val="TextBody"/>
        <w:bidi w:val="0"/>
        <w:spacing w:lineRule="auto" w:line="288" w:before="120" w:after="283"/>
        <w:jc w:val="center"/>
      </w:pPr>
      <w:r>
        <w:rPr>
          <w:rFonts w:ascii="Times New Roman;serif" w:hAnsi="Times New Roman;serif"/>
          <w:b w:val="false"/>
          <w:color w:val="212529"/>
          <w:sz w:val="20"/>
        </w:rPr>
        <w:t>Date of Report (Date of earliest event reported): </w:t>
      </w:r>
      <w:r>
        <w:rPr>
          <w:rFonts w:ascii="Times New Roman;serif" w:hAnsi="Times New Roman;serif"/>
          <w:b/>
          <w:color w:val="212529"/>
          <w:sz w:val="20"/>
        </w:rPr>
        <w:t>November 5,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120" w:after="283"/>
        <w:jc w:val="center"/>
        <w:rPr>
          <w:rFonts w:ascii="Times New Roman;serif" w:hAnsi="Times New Roman;serif"/>
          <w:b/>
          <w:color w:val="212529"/>
          <w:sz w:val="22"/>
        </w:rPr>
      </w:pPr>
      <w:r>
        <w:rPr>
          <w:rFonts w:ascii="Times New Roman;serif" w:hAnsi="Times New Roman;serif"/>
          <w:b/>
          <w:color w:val="212529"/>
          <w:sz w:val="22"/>
        </w:rPr>
        <w:t>SOUNDHOUND AI, INC.</w:t>
      </w:r>
    </w:p>
    <w:p>
      <w:pPr>
        <w:pStyle w:val="TextBody"/>
        <w:bidi w:val="0"/>
        <w:spacing w:lineRule="auto" w:line="288" w:before="0" w:after="0"/>
        <w:jc w:val="center"/>
        <w:rPr>
          <w:rFonts w:ascii="Times New Roman;serif" w:hAnsi="Times New Roman;serif"/>
          <w:b w:val="false"/>
          <w:color w:val="212529"/>
          <w:sz w:val="20"/>
        </w:rPr>
      </w:pPr>
      <w:r>
        <w:rPr>
          <w:rFonts w:ascii="Times New Roman;serif" w:hAnsi="Times New Roman;serif"/>
          <w:b w:val="false"/>
          <w:color w:val="212529"/>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tbl>
      <w:tblPr>
        <w:tblW w:w="6096"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513"/>
        <w:gridCol w:w="513"/>
        <w:gridCol w:w="518"/>
        <w:gridCol w:w="109"/>
        <w:gridCol w:w="109"/>
        <w:gridCol w:w="109"/>
        <w:gridCol w:w="481"/>
        <w:gridCol w:w="481"/>
        <w:gridCol w:w="687"/>
      </w:tblGrid>
      <w:t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85-1286799</w:t>
            </w:r>
          </w:p>
        </w:tc>
      </w:tr>
      <w:t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303"/>
        <w:gridCol w:w="303"/>
        <w:gridCol w:w="429"/>
      </w:tblGrid>
      <w:t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5400 Betsy Ross Drive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Santa Clara,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95054</w:t>
            </w:r>
          </w:p>
        </w:tc>
      </w:tr>
      <w:t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Registrant’s telephone number, including area code: (408) 441-3200</w:t>
      </w:r>
    </w:p>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120" w:after="283"/>
        <w:jc w:val="left"/>
        <w:rPr>
          <w:rFonts w:ascii="Times New Roman;serif" w:hAnsi="Times New Roman;serif"/>
          <w:b w:val="false"/>
          <w:color w:val="212529"/>
          <w:sz w:val="20"/>
        </w:rPr>
      </w:pPr>
      <w:r>
        <w:rPr>
          <w:rFonts w:ascii="Times New Roman;serif" w:hAnsi="Times New Roman;serif"/>
          <w:b w:val="false"/>
          <w:color w:val="212529"/>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2299"/>
        <w:gridCol w:w="1803"/>
        <w:gridCol w:w="1824"/>
        <w:gridCol w:w="109"/>
        <w:gridCol w:w="109"/>
        <w:gridCol w:w="109"/>
        <w:gridCol w:w="387"/>
        <w:gridCol w:w="387"/>
        <w:gridCol w:w="389"/>
        <w:gridCol w:w="109"/>
        <w:gridCol w:w="109"/>
        <w:gridCol w:w="109"/>
        <w:gridCol w:w="718"/>
        <w:gridCol w:w="718"/>
        <w:gridCol w:w="1026"/>
      </w:tblGrid>
      <w:tr>
        <w:tc>
          <w:tcPr>
            <w:tcW w:w="229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c>
          <w:tcPr>
            <w:tcW w:w="5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c>
          <w:tcPr>
            <w:tcW w:w="5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exercisable for one share of Class A Common Stock at an exercise price of $11.50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212529"/>
          <w:sz w:val="20"/>
        </w:rPr>
      </w:pPr>
      <w:r>
        <w:rPr>
          <w:rFonts w:ascii="Times New Roman;serif" w:hAnsi="Times New Roman;serif"/>
          <w:b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pPr>
      <w:r>
        <w:rPr>
          <w:rFonts w:ascii="Times New Roman;serif" w:hAnsi="Times New Roman;serif"/>
          <w:b w:val="false"/>
          <w:color w:val="212529"/>
          <w:sz w:val="20"/>
        </w:rPr>
        <w:t>Emerging growth company </w:t>
      </w:r>
      <w:r>
        <w:rPr>
          <w:color w:val="212529"/>
        </w:rPr>
        <w:t>☐</w:t>
      </w:r>
    </w:p>
    <w:p>
      <w:pPr>
        <w:pStyle w:val="TextBody"/>
        <w:bidi w:val="0"/>
        <w:spacing w:lineRule="auto" w:line="288" w:before="120" w:after="283"/>
        <w:jc w:val="both"/>
      </w:pPr>
      <w:r>
        <w:rPr>
          <w:rFonts w:ascii="Times New Roman;serif" w:hAnsi="Times New Roman;serif"/>
          <w:b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200" w:after="283"/>
        <w:ind w:left="0" w:right="0" w:hanging="117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both"/>
      </w:pPr>
      <w:r>
        <w:rPr>
          <w:rFonts w:ascii="Times New Roman;serif" w:hAnsi="Times New Roman;serif"/>
          <w:b w:val="false"/>
          <w:color w:val="212529"/>
          <w:sz w:val="20"/>
        </w:rPr>
        <w:t xml:space="preserve">On </w:t>
      </w:r>
      <w:r>
        <w:rPr>
          <w:rFonts w:ascii="Times New Roman;serif" w:hAnsi="Times New Roman;serif"/>
          <w:b w:val="false"/>
          <w:color w:val="000000"/>
          <w:sz w:val="20"/>
        </w:rPr>
        <w:t>November 5, 2026</w:t>
      </w:r>
      <w:r>
        <w:rPr>
          <w:rFonts w:ascii="Times New Roman;serif" w:hAnsi="Times New Roman;serif"/>
          <w:b w:val="false"/>
          <w:color w:val="212529"/>
          <w:sz w:val="20"/>
        </w:rPr>
        <w:t xml:space="preserve">, SoundHound AI, Inc. (the “Company”) issued a press release announcing financial results and operational highlights for the third quarter ended </w:t>
      </w:r>
      <w:r>
        <w:rPr>
          <w:rFonts w:ascii="Times New Roman;serif" w:hAnsi="Times New Roman;serif"/>
          <w:b w:val="false"/>
          <w:color w:val="000000"/>
          <w:sz w:val="20"/>
        </w:rPr>
        <w:t>September 30, 2026</w:t>
      </w:r>
      <w:r>
        <w:rPr>
          <w:rFonts w:ascii="Times New Roman;serif" w:hAnsi="Times New Roman;serif"/>
          <w:b w:val="false"/>
          <w:color w:val="212529"/>
          <w:sz w:val="20"/>
        </w:rPr>
        <w:t xml:space="preserve">. A copy of the press release is furnished as Exhibit 99.1 to this current report on Form 8-K. The Company is also furnishing as Exhibit 99.2 to this current report on Form 8-K the condensed consolidated balance sheets of the Company as of </w:t>
      </w:r>
      <w:r>
        <w:rPr>
          <w:rFonts w:ascii="Times New Roman;serif" w:hAnsi="Times New Roman;serif"/>
          <w:b w:val="false"/>
          <w:color w:val="000000"/>
          <w:sz w:val="20"/>
        </w:rPr>
        <w:t>September 30, 2026</w:t>
      </w:r>
      <w:r>
        <w:rPr>
          <w:rFonts w:ascii="Times New Roman;serif" w:hAnsi="Times New Roman;serif"/>
          <w:b w:val="false"/>
          <w:color w:val="212529"/>
          <w:sz w:val="20"/>
        </w:rPr>
        <w:t xml:space="preserve">, and the related condensed consolidated statements of operations and comprehensive loss and condensed consolidated statements of cash flows for the period ended </w:t>
      </w:r>
      <w:r>
        <w:rPr>
          <w:rFonts w:ascii="Times New Roman;serif" w:hAnsi="Times New Roman;serif"/>
          <w:b w:val="false"/>
          <w:color w:val="000000"/>
          <w:sz w:val="20"/>
        </w:rPr>
        <w:t>September 30, 2026</w:t>
      </w:r>
      <w:r>
        <w:rPr>
          <w:rFonts w:ascii="Times New Roman;serif" w:hAnsi="Times New Roman;serif"/>
          <w:b w:val="false"/>
          <w:color w:val="212529"/>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170"/>
        <w:jc w:val="left"/>
        <w:rPr>
          <w:rFonts w:ascii="Times New Roman;serif" w:hAnsi="Times New Roman;serif"/>
          <w:b/>
          <w:color w:val="000000"/>
          <w:sz w:val="20"/>
        </w:rPr>
      </w:pPr>
      <w:r>
        <w:rPr>
          <w:rFonts w:ascii="Times New Roman;serif" w:hAnsi="Times New Roman;serif"/>
          <w:b/>
          <w:color w:val="000000"/>
          <w:sz w:val="20"/>
        </w:rPr>
        <w:t>Item 2.05    Costs Associated with Exit or Disposal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November 4, 2026, the Company implemented a restructuring plan (the “Plan”) intended to align our teams and resources with our strategic priorities to drive long-term profitability. The Plan includes a reduction of the Company’s current global workforce by approximately 27%. Decisions regarding the elimination of positions are subject to local law and consultation requirements in certain countries, as well as the Company’s business needs.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Plan, the Company currently estimates that it will incur GAAP pre-tax charges in the range of $18 million to $22 million, substantially all of which are expected to be related to severance payments and post-employment benefits. Of the aggregate amount of charges that the Company estimates it will incur in connection with the Plan, the Company expects that approximately $16 million to $19 million will be in cash expenditures. The majority of these charges will be recognized and distributed during the fourth quarter of 2026. The actions associated with the employee restructuring under the Plan are expected to be substantially complete by the end of 2026 subject to local law and consultation requirements and the Company’s business needs. The Company expects that expense savings resulting from the Plan will be used to further the Company's strategic initiatives.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estimates of the charges and expenditures that the Company expects to incur in connection with the Plan are subject to a number of assumptions, including local law requirements in various jurisdictions. The Company may also incur other charges or cash expenditures not currently contemplated due to unanticipated events that may occur in connection with the implementation of the Plan. Accordingly, actual amounts may differ materially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 and Exhibits.</w:t>
      </w:r>
    </w:p>
    <w:tbl>
      <w:tblPr>
        <w:tblW w:w="697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507"/>
        <w:gridCol w:w="1507"/>
        <w:gridCol w:w="2146"/>
      </w:tblGrid>
      <w:t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pPr>
            <w:hyperlink w:anchor="soun-20261105ex991earnings.htm">
              <w:r>
                <w:rPr>
                  <w:rStyle w:val="InternetLink"/>
                  <w:rFonts w:ascii="Times New Roman;serif" w:hAnsi="Times New Roman;serif"/>
                  <w:b w:val="false"/>
                  <w:color w:val="0000FF"/>
                  <w:sz w:val="20"/>
                  <w:u w:val="single"/>
                </w:rPr>
                <w:t>Press Release, dated November 5, 2026</w:t>
              </w:r>
            </w:hyperlink>
          </w:p>
        </w:tc>
      </w:tr>
      <w:t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soun-20261105ex992financia.htm">
              <w:r>
                <w:rPr>
                  <w:rStyle w:val="InternetLink"/>
                  <w:rFonts w:ascii="Times New Roman;serif" w:hAnsi="Times New Roman;serif"/>
                  <w:b w:val="false"/>
                  <w:color w:val="000080"/>
                  <w:sz w:val="20"/>
                  <w:u w:val="single"/>
                </w:rPr>
                <w:t xml:space="preserve">Financial statements for the period ended </w:t>
              </w:r>
            </w:hyperlink>
            <w:hyperlink w:anchor="soun-20261105ex992financia.htm">
              <w:r>
                <w:rPr>
                  <w:rStyle w:val="InternetLink"/>
                  <w:rFonts w:ascii="Times New Roman;serif" w:hAnsi="Times New Roman;serif"/>
                  <w:b w:val="false"/>
                  <w:color w:val="000080"/>
                  <w:sz w:val="20"/>
                  <w:u w:val="single"/>
                </w:rPr>
                <w:t>Se</w:t>
              </w:r>
            </w:hyperlink>
            <w:hyperlink w:anchor="soun-20261105ex992financia.htm">
              <w:r>
                <w:rPr>
                  <w:rStyle w:val="InternetLink"/>
                  <w:rFonts w:ascii="Times New Roman;serif" w:hAnsi="Times New Roman;serif"/>
                  <w:b w:val="false"/>
                  <w:color w:val="000080"/>
                  <w:sz w:val="20"/>
                  <w:u w:val="single"/>
                </w:rPr>
                <w:t>pte</w:t>
              </w:r>
            </w:hyperlink>
            <w:hyperlink w:anchor="soun-20261105ex992financia.htm">
              <w:r>
                <w:rPr>
                  <w:rStyle w:val="InternetLink"/>
                  <w:rFonts w:ascii="Times New Roman;serif" w:hAnsi="Times New Roman;serif"/>
                  <w:b w:val="false"/>
                  <w:color w:val="000080"/>
                  <w:sz w:val="20"/>
                  <w:u w:val="single"/>
                </w:rPr>
                <w:t>mber</w:t>
              </w:r>
            </w:hyperlink>
            <w:hyperlink w:anchor="soun-20261105ex992financia.htm">
              <w:r>
                <w:rPr>
                  <w:rStyle w:val="InternetLink"/>
                  <w:rFonts w:ascii="Times New Roman;serif" w:hAnsi="Times New Roman;serif"/>
                  <w:b w:val="false"/>
                  <w:color w:val="000080"/>
                  <w:sz w:val="20"/>
                  <w:u w:val="single"/>
                </w:rPr>
                <w:t xml:space="preserve"> 30, 2026</w:t>
              </w:r>
            </w:hyperlink>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including, but not limited to, statements related to the timing of completion of the Plan and the expected costs and charges of the Plan. Words such as “expects,” “anticipates,” “aims,” “projects,” “intends,” “plans,” “believes,” “estimates,” “seeks,” “assumes,” “may,” “should,” “could,” “would,” “foresees,” “forecasts,” “predicts,” “targets,” “commitments,” variations of such words and similar expressions are intended to identify such forward-looking statements. These forward-looking statements are based upon the Company’s current plans, assumptions, beliefs, and expectations. Forward-looking statements are subject to the occurrence of many events outside of the Company’s control. Actual results and the timing of events may differ materially from those contemplated by such forward-looking statements due to numerous factors that involve substantial known and unknown risks and uncertainties. These risks and uncertainties include, among other things, the risk that the restructuring costs and charges may be greater than anticipated; the risk that the Company’s restructuring efforts may adversely affect the Company’s internal programs and the Company’s ability to recruit and retain skilled and motivated personnel, and may be distracting to employees and management; the risk that the Company’s restructuring efforts may negatively impact the Company’s business operations and reputation with or ability to serve customers; the risk that the Company’s restructuring efforts may not generate their intended benefits to the extent or as quickly as anticipated; and other risks and uncertainties included in the reports on Forms 10-K, 10-Q and 8-K and in other filings the Company makes with the Securities and Exchange Commission from time to time, available at www.sec.gov. Forward-looking statements should be considered in light of these risks and uncertainties. Investors and others are cautioned not to place undue reliance on forward-looking statements. All forward-looking statements contained herein speak only as of the date hereof. The Company assumes no obligation and does not intend to update these forward-looking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pPr>
      <w:r/>
    </w:p>
    <w:p>
      <w:pPr>
        <w:pStyle w:val="TextBody"/>
        <w:bidi w:val="0"/>
        <w:spacing w:lineRule="auto" w:line="288" w:before="200" w:after="283"/>
        <w:jc w:val="center"/>
        <w:rPr>
          <w:rFonts w:ascii="Times New Roman;serif" w:hAnsi="Times New Roman;serif"/>
          <w:b/>
          <w:color w:val="212529"/>
          <w:sz w:val="20"/>
        </w:rPr>
      </w:pPr>
      <w:r>
        <w:rPr>
          <w:rFonts w:ascii="Times New Roman;serif" w:hAnsi="Times New Roman;serif"/>
          <w:b/>
          <w:color w:val="212529"/>
          <w:sz w:val="20"/>
        </w:rPr>
        <w:t>SIGNATURE</w:t>
      </w:r>
    </w:p>
    <w:p>
      <w:pPr>
        <w:pStyle w:val="TextBody"/>
        <w:bidi w:val="0"/>
        <w:spacing w:lineRule="auto" w:line="288" w:before="200" w:after="283"/>
        <w:jc w:val="both"/>
        <w:rPr>
          <w:rFonts w:ascii="Times New Roman;serif" w:hAnsi="Times New Roman;serif"/>
          <w:b w:val="false"/>
          <w:color w:val="212529"/>
          <w:sz w:val="20"/>
        </w:rPr>
      </w:pPr>
      <w:r>
        <w:rPr>
          <w:rFonts w:ascii="Times New Roman;serif" w:hAnsi="Times New Roman;serif"/>
          <w:b w:val="false"/>
          <w:color w:val="212529"/>
          <w:sz w:val="20"/>
        </w:rPr>
        <w:t>Pursuant to the requirements of the Securities Exchange Act of 1934, the registrant has duly caused this Current Report on Form 8-K to be signed on its behalf by the undersigned hereunto duly authorized.</w:t>
      </w:r>
    </w:p>
    <w:tbl>
      <w:tblPr>
        <w:tblW w:w="5091" w:type="dxa"/>
        <w:jc w:val="left"/>
        <w:tblInd w:w="0" w:type="dxa"/>
        <w:tblLayout w:type="fixed"/>
        <w:tblCellMar>
          <w:top w:w="28" w:type="dxa"/>
          <w:left w:w="28" w:type="dxa"/>
          <w:bottom w:w="28" w:type="dxa"/>
          <w:right w:w="28" w:type="dxa"/>
        </w:tblCellMar>
      </w:tblPr>
      <w:tblGrid>
        <w:gridCol w:w="587"/>
        <w:gridCol w:w="516"/>
        <w:gridCol w:w="517"/>
        <w:gridCol w:w="196"/>
        <w:gridCol w:w="196"/>
        <w:gridCol w:w="196"/>
        <w:gridCol w:w="271"/>
        <w:gridCol w:w="271"/>
        <w:gridCol w:w="271"/>
        <w:gridCol w:w="597"/>
        <w:gridCol w:w="597"/>
        <w:gridCol w:w="876"/>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47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SoundHound AI, Inc.</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Keyvan Mohajer</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Keyvan Mohajer</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00" w:after="160"/>
        <w:jc w:val="center"/>
        <w:rPr>
          <w:rFonts w:ascii="Times New Roman;serif" w:hAnsi="Times New Roman;serif"/>
          <w:b/>
          <w:color w:val="000000"/>
          <w:sz w:val="24"/>
        </w:rPr>
      </w:pPr>
      <w:r>
        <w:rPr>
          <w:rFonts w:ascii="Times New Roman;serif" w:hAnsi="Times New Roman;serif"/>
          <w:b/>
          <w:color w:val="000000"/>
          <w:sz w:val="24"/>
        </w:rPr>
        <w:t xml:space="preserve">SoundHound AI Reports Record Q3 Revenue and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Guides to Sustained Adjusted EBITDA Profitability within 2H 2027 </w:t>
      </w:r>
    </w:p>
    <w:p>
      <w:pPr>
        <w:pStyle w:val="TextBody"/>
        <w:bidi w:val="0"/>
        <w:spacing w:before="0" w:after="0"/>
        <w:jc w:val="left"/>
      </w:pPr>
      <w:r/>
    </w:p>
    <w:p>
      <w:pPr>
        <w:pStyle w:val="TextBody"/>
        <w:bidi w:val="0"/>
        <w:spacing w:lineRule="auto" w:line="288" w:before="100" w:after="360"/>
        <w:jc w:val="both"/>
        <w:rPr>
          <w:rFonts w:ascii="Times New Roman;serif" w:hAnsi="Times New Roman;serif"/>
          <w:b w:val="false"/>
          <w:color w:val="000000"/>
          <w:sz w:val="24"/>
        </w:rPr>
      </w:pPr>
      <w:r>
        <w:rPr>
          <w:rFonts w:ascii="Times New Roman;serif" w:hAnsi="Times New Roman;serif"/>
          <w:b w:val="false"/>
          <w:color w:val="000000"/>
          <w:sz w:val="24"/>
        </w:rPr>
        <w:t>SANTA CLARA, Calif.--SoundHound AI, Inc. (Nasdaq: SOUN), a global leader in voice and agentic AI, today reported its financial results for the third quarter 2026.</w:t>
      </w:r>
    </w:p>
    <w:p>
      <w:pPr>
        <w:pStyle w:val="TextBody"/>
        <w:bidi w:val="0"/>
        <w:spacing w:lineRule="auto" w:line="276" w:before="0" w:after="0"/>
        <w:jc w:val="both"/>
      </w:pPr>
      <w:r>
        <w:rPr>
          <w:rFonts w:ascii="Times New Roman;serif" w:hAnsi="Times New Roman;serif"/>
          <w:b w:val="false"/>
          <w:i/>
          <w:color w:val="000000"/>
          <w:sz w:val="24"/>
        </w:rPr>
        <w:t xml:space="preserve">"This is a milestone moment for SoundHound. We announced another record quarter, closed our acquisition of LivePerson, and guided that the company will be adjusted EBITDA profitable within the second half of 2027,” </w:t>
      </w:r>
      <w:r>
        <w:rPr>
          <w:rFonts w:ascii="Times New Roman;serif" w:hAnsi="Times New Roman;serif"/>
          <w:b/>
          <w:color w:val="000000"/>
          <w:sz w:val="24"/>
        </w:rPr>
        <w:t>said Keyvan Mohajer, CEO and Co-Founder of SoundHound AI.</w:t>
      </w:r>
      <w:r>
        <w:rPr>
          <w:color w:val="000000"/>
        </w:rPr>
        <w:t xml:space="preserve"> “</w:t>
      </w:r>
      <w:r>
        <w:rPr>
          <w:rFonts w:ascii="Times New Roman;serif" w:hAnsi="Times New Roman;serif"/>
          <w:b w:val="false"/>
          <w:i/>
          <w:color w:val="000000"/>
          <w:sz w:val="24"/>
        </w:rPr>
        <w:t xml:space="preserve">Our OASYS platform now leads its category and is positioned to become the operating system of the new agentic era, strengthened by technology from six pioneering businesses we have combined under SoundHound AI.” </w:t>
      </w:r>
    </w:p>
    <w:p>
      <w:pPr>
        <w:pStyle w:val="TextBody"/>
        <w:bidi w:val="0"/>
        <w:spacing w:before="0" w:after="0"/>
        <w:jc w:val="left"/>
      </w:pPr>
      <w:r/>
    </w:p>
    <w:p>
      <w:pPr>
        <w:pStyle w:val="TextBody"/>
        <w:bidi w:val="0"/>
        <w:spacing w:lineRule="auto" w:line="276" w:before="0" w:after="0"/>
        <w:jc w:val="both"/>
        <w:rPr>
          <w:rFonts w:ascii="Times New Roman;serif" w:hAnsi="Times New Roman;serif"/>
          <w:b/>
          <w:color w:val="1D2228"/>
          <w:sz w:val="24"/>
        </w:rPr>
      </w:pPr>
      <w:r>
        <w:rPr>
          <w:rFonts w:ascii="Times New Roman;serif" w:hAnsi="Times New Roman;serif"/>
          <w:b/>
          <w:color w:val="1D2228"/>
          <w:sz w:val="24"/>
        </w:rPr>
        <w:t>Financial Highlights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1D2228"/>
          <w:sz w:val="24"/>
        </w:rPr>
        <w:t>Third quarter r</w:t>
      </w:r>
      <w:r>
        <w:rPr>
          <w:rFonts w:ascii="Times New Roman;serif" w:hAnsi="Times New Roman;serif"/>
          <w:b w:val="false"/>
          <w:color w:val="000000"/>
          <w:sz w:val="24"/>
        </w:rPr>
        <w:t>eported revenue was $62.4 million, an increase of 48.5% year-over-year.</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1D2228"/>
          <w:sz w:val="24"/>
        </w:rPr>
        <w:t>Third</w:t>
      </w:r>
      <w:r>
        <w:rPr>
          <w:color w:val="000000"/>
        </w:rPr>
        <w:t xml:space="preserve"> </w:t>
      </w:r>
      <w:r>
        <w:rPr>
          <w:rFonts w:ascii="Times New Roman;serif" w:hAnsi="Times New Roman;serif"/>
          <w:b w:val="false"/>
          <w:color w:val="000000"/>
          <w:sz w:val="24"/>
        </w:rPr>
        <w:t>quarter GAAP gross margin was 34.1%; non-GAAP gross margin was 50.3%.</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1D2228"/>
          <w:sz w:val="24"/>
        </w:rPr>
        <w:t>Third</w:t>
      </w:r>
      <w:r>
        <w:rPr>
          <w:color w:val="000000"/>
        </w:rPr>
        <w:t xml:space="preserve"> </w:t>
      </w:r>
      <w:r>
        <w:rPr>
          <w:rFonts w:ascii="Times New Roman;serif" w:hAnsi="Times New Roman;serif"/>
          <w:b w:val="false"/>
          <w:color w:val="000000"/>
          <w:sz w:val="24"/>
        </w:rPr>
        <w:t>quarter GAAP net loss was $(46.4) million; non-GAAP net loss was $(21.2) million.</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1D2228"/>
          <w:sz w:val="24"/>
        </w:rPr>
        <w:t>Third</w:t>
      </w:r>
      <w:r>
        <w:rPr>
          <w:color w:val="000000"/>
        </w:rPr>
        <w:t xml:space="preserve"> </w:t>
      </w:r>
      <w:r>
        <w:rPr>
          <w:rFonts w:ascii="Times New Roman;serif" w:hAnsi="Times New Roman;serif"/>
          <w:b w:val="false"/>
          <w:color w:val="000000"/>
          <w:sz w:val="24"/>
        </w:rPr>
        <w:t>quarter adjusted EBITDA was a loss of $(20.7) million.</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1D2228"/>
          <w:sz w:val="24"/>
        </w:rPr>
        <w:t>Third</w:t>
      </w:r>
      <w:r>
        <w:rPr>
          <w:color w:val="000000"/>
        </w:rPr>
        <w:t xml:space="preserve"> </w:t>
      </w:r>
      <w:r>
        <w:rPr>
          <w:rFonts w:ascii="Times New Roman;serif" w:hAnsi="Times New Roman;serif"/>
          <w:b w:val="false"/>
          <w:color w:val="000000"/>
          <w:sz w:val="24"/>
        </w:rPr>
        <w:t>quarter GAAP earnings per share was a loss of $(0.10); non-GAAP earnings per share was a loss of $(0.05).</w:t>
      </w:r>
    </w:p>
    <w:p>
      <w:pPr>
        <w:pStyle w:val="TextBody"/>
        <w:bidi w:val="0"/>
        <w:spacing w:before="0" w:after="0"/>
        <w:jc w:val="both"/>
      </w:pPr>
      <w:r/>
    </w:p>
    <w:p>
      <w:pPr>
        <w:pStyle w:val="TextBody"/>
        <w:bidi w:val="0"/>
        <w:spacing w:lineRule="auto" w:line="276" w:before="0" w:after="0"/>
        <w:jc w:val="both"/>
      </w:pPr>
      <w:r>
        <w:rPr>
          <w:rFonts w:ascii="Times New Roman;serif" w:hAnsi="Times New Roman;serif"/>
          <w:b w:val="false"/>
          <w:i/>
          <w:color w:val="000000"/>
          <w:sz w:val="24"/>
        </w:rPr>
        <w:t>"Since closing the LivePerson acquisition, we have moved swiftly and decisively to integrate the businesses and realize substantial cost and revenue synergies. At the same time, we are improving our quality of earnings by shifting upfront license deals to hosted structures and exiting non-core, dilutive business lines, making our revenue more stable and predictable,”</w:t>
      </w:r>
      <w:r>
        <w:rPr>
          <w:color w:val="000000"/>
        </w:rPr>
        <w:t xml:space="preserve"> </w:t>
      </w:r>
      <w:r>
        <w:rPr>
          <w:rFonts w:ascii="Times New Roman;serif" w:hAnsi="Times New Roman;serif"/>
          <w:b/>
          <w:color w:val="000000"/>
          <w:sz w:val="24"/>
        </w:rPr>
        <w:t>said John Collins, CFO of SoundHound AI.</w:t>
      </w:r>
      <w:r>
        <w:rPr>
          <w:color w:val="000000"/>
        </w:rPr>
        <w:t xml:space="preserve"> “</w:t>
      </w:r>
      <w:r>
        <w:rPr>
          <w:rFonts w:ascii="Times New Roman;serif" w:hAnsi="Times New Roman;serif"/>
          <w:b w:val="false"/>
          <w:i/>
          <w:color w:val="000000"/>
          <w:sz w:val="24"/>
        </w:rPr>
        <w:t>These business transformations provide the operating leverage necessary to reach sustainable, profitable growth within the second half of 2027."</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6"/>
        </w:rPr>
      </w:pPr>
      <w:r>
        <w:rPr>
          <w:rFonts w:ascii="Times New Roman;serif" w:hAnsi="Times New Roman;serif"/>
          <w:b/>
          <w:color w:val="000000"/>
          <w:sz w:val="26"/>
        </w:rPr>
        <w:t xml:space="preserve">Business Highlights </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LivePerson Update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Closed the acquisition of LivePerson on September 4th, retiring all but a negligible portion of the debt, which will be repaid at maturity in the fourth quarter.</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Coordinated outreach to LivePerson's top 90 enterprise accounts representing over $100 million in ARR, receiving overwhelmingly positive feedback regarding financial stability and the addition of enterprise-grade voice and agentic AI capabilities.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Renewals and upsells included a major US healthcare benefits provider, a leading European broadcaster and telecommunications provider, and a leading UK water utility.</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Enterprise and Customer Care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A leading academic health system selected SoundHound across both its hospital services and its health plan.</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Randox, a health testing provider serving UK and global populations, selected SoundHound for customer care.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A major US electric utility signed a new contract to bring AI to its back-office functions.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A British multinational telecommunications company added additional services.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Auto, Devices, and Voice Commerce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Signed a 7-figure minimum-guarantee agreement with a tier one Chinese automotive supplier for voice AI and edge capabilities.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Signed a new deal with Greaves Electric, a leading electric two-wheeler maker, for an embedded voice assistant.</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Launched OASYS Edge, an on-device architecture bringing LLM-powered voice AI agents directly onto local device hardware in vehicles, TVs, and smart devices.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Signed a deal with a global electronics manufacturer LG to debut a new commerce channel across approximately 20 million smart TVs in the US.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Signed direct voice commerce partnerships with a large coffeehouse brand and a growing fast-casual restaurant chain.</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Consumer Brands, Hospitality and Physical Operations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A multinational food and beverage company renewed its enterprise HR deployment.</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Resorts World Las Vegas, a global resort operator, expanded from an on-property digital concierge to an external-facing autonomous booking agent.</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A household-name pizza chain added SoundHound AI ordering to nearly 100 additional restaurant locations.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4"/>
        </w:rPr>
        <w:t>Won a major global consumer products company as a new end customer through our partnership with Alta Resources, a business process outsourcing and customer management partner.</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4"/>
          <w:shd w:fill="FEFEFE" w:val="clear"/>
        </w:rPr>
        <w:t>Third Quarter 2026 Financial Measures</w:t>
      </w:r>
      <w:r>
        <w:rPr>
          <w:rFonts w:ascii="Times New Roman;serif" w:hAnsi="Times New Roman;serif"/>
          <w:b w:val="false"/>
          <w:color w:val="000000"/>
          <w:sz w:val="16"/>
        </w:rPr>
        <w:t>1</w:t>
      </w:r>
    </w:p>
    <w:tbl>
      <w:tblPr>
        <w:tblW w:w="10104" w:type="dxa"/>
        <w:jc w:val="left"/>
        <w:tblInd w:w="0" w:type="dxa"/>
        <w:tblLayout w:type="fixed"/>
        <w:tblCellMar>
          <w:top w:w="28" w:type="dxa"/>
          <w:left w:w="28" w:type="dxa"/>
          <w:bottom w:w="28" w:type="dxa"/>
          <w:right w:w="28" w:type="dxa"/>
        </w:tblCellMar>
      </w:tblPr>
      <w:tblGrid>
        <w:gridCol w:w="1260"/>
        <w:gridCol w:w="1107"/>
        <w:gridCol w:w="1112"/>
        <w:gridCol w:w="109"/>
        <w:gridCol w:w="109"/>
        <w:gridCol w:w="109"/>
        <w:gridCol w:w="615"/>
        <w:gridCol w:w="295"/>
        <w:gridCol w:w="295"/>
        <w:gridCol w:w="295"/>
        <w:gridCol w:w="295"/>
        <w:gridCol w:w="302"/>
        <w:gridCol w:w="109"/>
        <w:gridCol w:w="109"/>
        <w:gridCol w:w="109"/>
        <w:gridCol w:w="615"/>
        <w:gridCol w:w="295"/>
        <w:gridCol w:w="295"/>
        <w:gridCol w:w="295"/>
        <w:gridCol w:w="295"/>
        <w:gridCol w:w="302"/>
        <w:gridCol w:w="109"/>
        <w:gridCol w:w="109"/>
        <w:gridCol w:w="109"/>
        <w:gridCol w:w="226"/>
        <w:gridCol w:w="109"/>
        <w:gridCol w:w="109"/>
        <w:gridCol w:w="277"/>
        <w:gridCol w:w="278"/>
        <w:gridCol w:w="451"/>
      </w:tblGrid>
      <w:t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Change</w:t>
            </w:r>
          </w:p>
        </w:tc>
      </w:tr>
      <w:t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82"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82"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8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8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(8.5)</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4"/>
              </w:rPr>
              <w:t>pp</w:t>
            </w:r>
          </w:p>
        </w:tc>
      </w:tr>
      <w:t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8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8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24,917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(9.0)</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pp</w:t>
            </w:r>
          </w:p>
        </w:tc>
      </w:tr>
      <w:t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4"/>
              </w:rPr>
              <w:t>GAAP operating loss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8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(46,497)</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8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(115,891)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80"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(20,665)</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80"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(14,546)</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4"/>
              </w:rPr>
              <w:t>GAAP net loss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8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(46,368)</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8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(109,271)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80"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(21,215)</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80"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(13,022)</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4"/>
              </w:rPr>
              <w:t>GAAP net loss per share</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8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(0.10)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8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(0.27)</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773"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0.17 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80"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(0.05)</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80"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(0.03)</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773"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(0.02)</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40"/>
        <w:ind w:left="0" w:right="0" w:hanging="360"/>
        <w:jc w:val="both"/>
      </w:pPr>
      <w:r>
        <w:rPr>
          <w:rFonts w:ascii="Times New Roman;serif" w:hAnsi="Times New Roman;serif"/>
          <w:b w:val="false"/>
          <w:color w:val="000000"/>
          <w:sz w:val="14"/>
        </w:rPr>
        <w:t>1)</w:t>
      </w:r>
      <w:r>
        <w:rPr>
          <w:rFonts w:ascii="Times New Roman;serif" w:hAnsi="Times New Roman;serif"/>
          <w:b w:val="false"/>
          <w:color w:val="000000"/>
          <w:sz w:val="14"/>
          <w:shd w:fill="FFFFFF" w:val="clear"/>
        </w:rPr>
        <w:t>Ple</w:t>
      </w:r>
      <w:r>
        <w:rPr>
          <w:rFonts w:ascii="Times New Roman;serif" w:hAnsi="Times New Roman;serif"/>
          <w:b w:val="false"/>
          <w:color w:val="000000"/>
          <w:sz w:val="14"/>
        </w:rPr>
        <w:t xml:space="preserve">ase see tables below for a reconciliation from GAAP to non-GAAP. </w:t>
      </w:r>
    </w:p>
    <w:p>
      <w:pPr>
        <w:pStyle w:val="TextBody"/>
        <w:bidi w:val="0"/>
        <w:spacing w:lineRule="auto" w:line="288" w:before="100" w:after="283"/>
        <w:ind w:left="0" w:right="0" w:hanging="360"/>
        <w:jc w:val="left"/>
      </w:pPr>
      <w:r>
        <w:rPr>
          <w:rFonts w:ascii="Arial;sans-serif" w:hAnsi="Arial;sans-serif"/>
          <w:b w:val="false"/>
          <w:color w:val="000000"/>
          <w:sz w:val="12"/>
        </w:rPr>
        <w:t>2)</w:t>
      </w:r>
      <w:r>
        <w:rPr>
          <w:rFonts w:ascii="Times New Roman;serif" w:hAnsi="Times New Roman;serif"/>
          <w:b w:val="false"/>
          <w:color w:val="000000"/>
          <w:sz w:val="14"/>
        </w:rPr>
        <w:t>GAAP operating loss includes an impact from the calculated fair value of contingent acquisition liabilities where future earn-out shares are marked-to-market on a quarterly basis, and with the fluctuation in stock price compared to the previous quarter there was a gain associated with this item of $23.4 million in the third quarter of 2026. Non-GAAP measures exclude this non-operating/non-cash impact.</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1D2228"/>
          <w:sz w:val="24"/>
          <w:shd w:fill="FEFEFE" w:val="clear"/>
        </w:rPr>
      </w:pPr>
      <w:r>
        <w:rPr>
          <w:rFonts w:ascii="Times New Roman;serif" w:hAnsi="Times New Roman;serif"/>
          <w:b/>
          <w:color w:val="1D2228"/>
          <w:sz w:val="24"/>
          <w:shd w:fill="FEFEFE" w:val="clear"/>
        </w:rPr>
        <w:t>Liquidity and Cash Flows</w:t>
      </w:r>
    </w:p>
    <w:p>
      <w:pPr>
        <w:pStyle w:val="TextBody"/>
        <w:bidi w:val="0"/>
        <w:spacing w:lineRule="auto" w:line="288" w:before="100" w:after="360"/>
        <w:jc w:val="both"/>
      </w:pPr>
      <w:r>
        <w:rPr>
          <w:rFonts w:ascii="Times New Roman;serif" w:hAnsi="Times New Roman;serif"/>
          <w:b w:val="false"/>
          <w:color w:val="000000"/>
          <w:sz w:val="24"/>
          <w:shd w:fill="FEFEFE" w:val="clear"/>
        </w:rPr>
        <w:t xml:space="preserve">The company’s total cash and cash equivalents was </w:t>
      </w:r>
      <w:r>
        <w:rPr>
          <w:rFonts w:ascii="Times New Roman;serif" w:hAnsi="Times New Roman;serif"/>
          <w:b w:val="false"/>
          <w:color w:val="000000"/>
          <w:sz w:val="24"/>
        </w:rPr>
        <w:t>$207.6 million</w:t>
      </w:r>
      <w:r>
        <w:rPr>
          <w:color w:val="000000"/>
          <w:shd w:fill="FEFEFE" w:val="clear"/>
        </w:rPr>
        <w:t xml:space="preserve"> </w:t>
      </w:r>
      <w:r>
        <w:rPr>
          <w:rFonts w:ascii="Times New Roman;serif" w:hAnsi="Times New Roman;serif"/>
          <w:b w:val="false"/>
          <w:color w:val="000000"/>
          <w:sz w:val="24"/>
          <w:shd w:fill="FEFEFE" w:val="clear"/>
        </w:rPr>
        <w:t xml:space="preserve">at </w:t>
      </w:r>
      <w:r>
        <w:rPr>
          <w:rFonts w:ascii="Times New Roman;serif" w:hAnsi="Times New Roman;serif"/>
          <w:b w:val="false"/>
          <w:color w:val="000000"/>
          <w:sz w:val="24"/>
        </w:rPr>
        <w:t>September 30, 2026. The Company had $3.8 million of short-term debt as of September 30, 2026, assumed from the LivePerson acquisition in September 2026.</w:t>
      </w:r>
    </w:p>
    <w:p>
      <w:pPr>
        <w:pStyle w:val="TextBody"/>
        <w:bidi w:val="0"/>
        <w:spacing w:lineRule="auto" w:line="288" w:before="100" w:after="360"/>
        <w:jc w:val="both"/>
        <w:rPr>
          <w:rFonts w:ascii="Times New Roman;serif" w:hAnsi="Times New Roman;serif"/>
          <w:b/>
          <w:color w:val="1D2228"/>
          <w:sz w:val="24"/>
          <w:shd w:fill="FEFEFE" w:val="clear"/>
        </w:rPr>
      </w:pPr>
      <w:r>
        <w:rPr>
          <w:rFonts w:ascii="Times New Roman;serif" w:hAnsi="Times New Roman;serif"/>
          <w:b/>
          <w:color w:val="1D2228"/>
          <w:sz w:val="24"/>
          <w:shd w:fill="FEFEFE" w:val="clear"/>
        </w:rPr>
        <w:t>Condensed Cash Flow Statement</w:t>
      </w:r>
    </w:p>
    <w:tbl>
      <w:tblPr>
        <w:tblW w:w="10205" w:type="dxa"/>
        <w:jc w:val="left"/>
        <w:tblInd w:w="0" w:type="dxa"/>
        <w:tblLayout w:type="fixed"/>
        <w:tblCellMar>
          <w:top w:w="28" w:type="dxa"/>
          <w:left w:w="28" w:type="dxa"/>
          <w:bottom w:w="28" w:type="dxa"/>
          <w:right w:w="28" w:type="dxa"/>
        </w:tblCellMar>
      </w:tblPr>
      <w:tblGrid>
        <w:gridCol w:w="1723"/>
        <w:gridCol w:w="1510"/>
        <w:gridCol w:w="1517"/>
        <w:gridCol w:w="109"/>
        <w:gridCol w:w="109"/>
        <w:gridCol w:w="109"/>
        <w:gridCol w:w="600"/>
        <w:gridCol w:w="295"/>
        <w:gridCol w:w="290"/>
        <w:gridCol w:w="413"/>
        <w:gridCol w:w="413"/>
        <w:gridCol w:w="295"/>
        <w:gridCol w:w="109"/>
        <w:gridCol w:w="109"/>
        <w:gridCol w:w="109"/>
        <w:gridCol w:w="580"/>
        <w:gridCol w:w="285"/>
        <w:gridCol w:w="281"/>
        <w:gridCol w:w="472"/>
        <w:gridCol w:w="474"/>
        <w:gridCol w:w="403"/>
      </w:tblGrid>
      <w:tr>
        <w:tc>
          <w:tcPr>
            <w:tcW w:w="172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c>
          <w:tcPr>
            <w:tcW w:w="475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Nine Months Ended</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2025</w:t>
            </w:r>
          </w:p>
        </w:tc>
      </w:tr>
      <w:tr>
        <w:tc>
          <w:tcPr>
            <w:tcW w:w="4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1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(95,986)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51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(76,336)</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9,803 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(56,965)</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45,315 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204,514 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Effects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291 </w:t>
            </w:r>
          </w:p>
        </w:tc>
        <w:tc>
          <w:tcPr>
            <w:tcW w:w="29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(257)</w:t>
            </w:r>
          </w:p>
        </w:tc>
        <w:tc>
          <w:tcPr>
            <w:tcW w:w="40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11" w:type="dxa"/>
            <w:gridSpan w:val="4"/>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(40,577)</w:t>
            </w:r>
          </w:p>
        </w:tc>
        <w:tc>
          <w:tcPr>
            <w:tcW w:w="29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12" w:type="dxa"/>
            <w:gridSpan w:val="4"/>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4"/>
              </w:rPr>
              <w:t>70,956</w:t>
            </w:r>
            <w:r>
              <w:rPr>
                <w:color w:val="000000"/>
              </w:rPr>
              <w:t> </w:t>
            </w:r>
          </w:p>
        </w:tc>
        <w:tc>
          <w:tcPr>
            <w:tcW w:w="40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Business Outlook</w:t>
      </w:r>
    </w:p>
    <w:p>
      <w:pPr>
        <w:pStyle w:val="TextBody"/>
        <w:bidi w:val="0"/>
        <w:spacing w:lineRule="auto" w:line="288" w:before="0" w:after="0"/>
        <w:ind w:left="0" w:right="0" w:hanging="360"/>
        <w:jc w:val="left"/>
      </w:pPr>
      <w:r>
        <w:rPr>
          <w:color w:val="000000"/>
          <w:shd w:fill="FFFFFF" w:val="clear"/>
        </w:rPr>
        <w:t>•</w:t>
      </w:r>
      <w:r>
        <w:rPr>
          <w:rFonts w:ascii="Times New Roman;serif" w:hAnsi="Times New Roman;serif"/>
          <w:b w:val="false"/>
          <w:color w:val="000000"/>
          <w:sz w:val="24"/>
          <w:shd w:fill="FFFFFF" w:val="clear"/>
        </w:rPr>
        <w:t xml:space="preserve">SoundHound has identified significant annualized cost synergies of $120 million, with over $80 million in actions scheduled to take effect before January 1, 2027, and the full $120 million run-rate expected in 2027. </w:t>
      </w:r>
    </w:p>
    <w:p>
      <w:pPr>
        <w:pStyle w:val="TextBody"/>
        <w:bidi w:val="0"/>
        <w:spacing w:lineRule="auto" w:line="288" w:before="0" w:after="0"/>
        <w:ind w:left="0" w:right="0" w:hanging="360"/>
        <w:jc w:val="left"/>
      </w:pPr>
      <w:r>
        <w:rPr>
          <w:color w:val="000000"/>
          <w:shd w:fill="FFFFFF" w:val="clear"/>
        </w:rPr>
        <w:t>•</w:t>
      </w:r>
      <w:r>
        <w:rPr>
          <w:rFonts w:ascii="Times New Roman;serif" w:hAnsi="Times New Roman;serif"/>
          <w:b w:val="false"/>
          <w:color w:val="000000"/>
          <w:sz w:val="24"/>
          <w:shd w:fill="FFFFFF" w:val="clear"/>
        </w:rPr>
        <w:t>The Company has been strategically non-renewing and exiting certain negative gross margin contracts inherited from prior acquisitions and expects to continue doing so, with a positive impact on both gross margin and EBITDA.</w:t>
      </w:r>
    </w:p>
    <w:p>
      <w:pPr>
        <w:pStyle w:val="TextBody"/>
        <w:bidi w:val="0"/>
        <w:spacing w:lineRule="auto" w:line="288" w:before="0" w:after="0"/>
        <w:ind w:left="0" w:right="0" w:hanging="360"/>
        <w:jc w:val="left"/>
      </w:pPr>
      <w:r>
        <w:rPr>
          <w:color w:val="000000"/>
          <w:shd w:fill="FFFFFF" w:val="clear"/>
        </w:rPr>
        <w:t>•</w:t>
      </w:r>
      <w:r>
        <w:rPr>
          <w:rFonts w:ascii="Times New Roman;serif" w:hAnsi="Times New Roman;serif"/>
          <w:b w:val="false"/>
          <w:color w:val="000000"/>
          <w:sz w:val="24"/>
          <w:shd w:fill="FFFFFF" w:val="clear"/>
        </w:rPr>
        <w:t>SoundHound will use the self-learning feature of OASYS to prioritize a hosted-service model and reduce upfront licensing, which has historically resulted in fluctuating point-in-time revenue contributions in prior quarters. The expected impact is more predictable revenue and long-term, sustainable ARR growth.</w:t>
      </w:r>
    </w:p>
    <w:p>
      <w:pPr>
        <w:pStyle w:val="TextBody"/>
        <w:bidi w:val="0"/>
        <w:spacing w:lineRule="auto" w:line="288" w:before="0" w:after="0"/>
        <w:ind w:left="0" w:right="0" w:hanging="360"/>
        <w:jc w:val="left"/>
      </w:pPr>
      <w:r>
        <w:rPr>
          <w:color w:val="000000"/>
          <w:shd w:fill="FFFFFF" w:val="clear"/>
        </w:rPr>
        <w:t>•</w:t>
      </w:r>
      <w:r>
        <w:rPr>
          <w:rFonts w:ascii="Times New Roman;serif" w:hAnsi="Times New Roman;serif"/>
          <w:b w:val="false"/>
          <w:color w:val="000000"/>
          <w:sz w:val="24"/>
          <w:shd w:fill="FFFFFF" w:val="clear"/>
        </w:rPr>
        <w:t xml:space="preserve">With the impact of the actions above, SoundHound expects the 2026 revenue to be in the range of $250M - $260M, and 2027 revenue in the range of $350M - $400M. </w:t>
      </w:r>
    </w:p>
    <w:p>
      <w:pPr>
        <w:pStyle w:val="TextBody"/>
        <w:bidi w:val="0"/>
        <w:spacing w:lineRule="auto" w:line="288" w:before="0" w:after="0"/>
        <w:ind w:left="0" w:right="0" w:hanging="360"/>
        <w:jc w:val="left"/>
      </w:pPr>
      <w:r>
        <w:rPr>
          <w:color w:val="000000"/>
          <w:shd w:fill="FFFFFF" w:val="clear"/>
        </w:rPr>
        <w:t>•</w:t>
      </w:r>
      <w:r>
        <w:rPr>
          <w:rFonts w:ascii="Times New Roman;serif" w:hAnsi="Times New Roman;serif"/>
          <w:b w:val="false"/>
          <w:color w:val="000000"/>
          <w:sz w:val="24"/>
          <w:shd w:fill="FFFFFF" w:val="clear"/>
        </w:rPr>
        <w:t>SoundHound expects to reach sustained adjusted EBITDA positive within the second half of 2027, even at the lower-end of its revenue guidance.</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4"/>
          <w:shd w:fill="FEFEFE" w:val="clear"/>
        </w:rPr>
      </w:pPr>
      <w:r>
        <w:rPr>
          <w:rFonts w:ascii="Times New Roman;serif" w:hAnsi="Times New Roman;serif"/>
          <w:b/>
          <w:color w:val="000000"/>
          <w:sz w:val="24"/>
          <w:shd w:fill="FEFEFE" w:val="clear"/>
        </w:rPr>
        <w:t>Additional Information</w:t>
      </w:r>
    </w:p>
    <w:p>
      <w:pPr>
        <w:pStyle w:val="TextBody"/>
        <w:bidi w:val="0"/>
        <w:spacing w:lineRule="auto" w:line="288" w:before="100" w:after="10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For more information please see the company’s SEC filings which can be obtained on the company’s website at investors.soundhound.com. The financial statements for the fiscal quarter will be posted on the website, and will also be filed as an exhibit when the company files its 8-K including this press release. The financial data presented in this press release should be considered preliminary until the company files its 10-Q.</w:t>
      </w:r>
    </w:p>
    <w:p>
      <w:pPr>
        <w:pStyle w:val="TextBody"/>
        <w:bidi w:val="0"/>
        <w:spacing w:before="100" w:after="100"/>
        <w:jc w:val="both"/>
      </w:pPr>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Conference Call and Webcast</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SoundHound AI will host a live audio conference call and webcast today at 2:00 p.m. Pacific Time/5:00 p.m. Eastern Time. A live webcast and replay will also be accessible at investors.soundhound.com. </w:t>
      </w:r>
    </w:p>
    <w:p>
      <w:pPr>
        <w:pStyle w:val="TextBody"/>
        <w:bidi w:val="0"/>
        <w:spacing w:lineRule="auto" w:line="288" w:before="100" w:after="100"/>
        <w:jc w:val="left"/>
        <w:rPr>
          <w:rFonts w:ascii="Times New Roman;serif" w:hAnsi="Times New Roman;serif"/>
          <w:b/>
          <w:color w:val="000000"/>
          <w:sz w:val="24"/>
          <w:shd w:fill="FEFEFE" w:val="clear"/>
        </w:rPr>
      </w:pPr>
      <w:r>
        <w:rPr>
          <w:rFonts w:ascii="Times New Roman;serif" w:hAnsi="Times New Roman;serif"/>
          <w:b/>
          <w:color w:val="000000"/>
          <w:sz w:val="24"/>
          <w:shd w:fill="FEFEFE" w:val="clear"/>
        </w:rPr>
        <w:t xml:space="preserve">About SoundHound AI </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SoundHound AI is a voice and agentic AI company that enables businesses to deliver natural, end-to-end conversational experiences across digital and physical channels, including phones, kiosks, chat, smart devices, drive-thrus, TVs, in-vehicle, and more. Its agentic platform, OASYS, is a self-learning, orchestrated AI system where organizations can build and deploy conversational AI agents to handle transactions, tasks, and workflows on behalf of customers and employees. Built on proprietary technology backed by 800+ patents and years of AI research, SoundHound serves leading brands across industries including automotive, financial services, healthcare, retail, telecommunications, and more. It powers millions of products and processes billions of interactions annually for enterprise customers worldwide. For more information, visit: www.soundhound.com </w:t>
      </w:r>
    </w:p>
    <w:p>
      <w:pPr>
        <w:pStyle w:val="TextBody"/>
        <w:bidi w:val="0"/>
        <w:spacing w:lineRule="auto" w:line="288" w:before="100" w:after="10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Forward Looking Statements</w:t>
      </w:r>
    </w:p>
    <w:p>
      <w:pPr>
        <w:pStyle w:val="TextBody"/>
        <w:bidi w:val="0"/>
        <w:spacing w:lineRule="auto" w:line="288" w:before="100" w:after="10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expected financial performance, our ability to implement our business strategy and anticipated business and operations, including our ability to integrate the business and operations of LivePerson and our ability to realize the expected benefits of such acquisition, our ability to achieve and sustain positive adjusted EBITDA within the second half of 2027 and guidance for financial results for 2026 and 2027.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may differ materially from those expressed or implied by these forward-looking statements as a result of risks and uncertainties impacting SoundHound’s business including, our ability to successfully launch and commercialize new products and services and derive significant revenue, our market opportunity and our ability to acquire new customers and retain existing customers, unexpected costs, charges or expenses resulting from our recent acquisitions, the ability of our recent acquisitions to be accretive on the company's financial results, our ability to reduce our annualized cost structure and achieve expected cost synergies associated therewith and those other factors described in our risk factors set forth in our filings with the Securities and Exchange Commission from time to time, including our Annual Report on Form 10-K, Quarterly Reports on Form 10-Q and Current Reports on Form 8-K. We do not intend to update or alter our forward-looking statements, whether as a result of new information, future events or otherwise, except as required by applicable law.</w:t>
      </w:r>
    </w:p>
    <w:p>
      <w:pPr>
        <w:pStyle w:val="TextBody"/>
        <w:bidi w:val="0"/>
        <w:spacing w:before="100" w:after="160"/>
        <w:jc w:val="both"/>
      </w:pPr>
      <w:r/>
    </w:p>
    <w:p>
      <w:pPr>
        <w:pStyle w:val="TextBody"/>
        <w:bidi w:val="0"/>
        <w:spacing w:lineRule="auto" w:line="288" w:before="100" w:after="16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Non-GAAP Measures of Financial Performance</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To supplement the company’s financial statements, which are presented on the basis of U.S. generally accepted accounting principles (GAAP), the following non-GAAP measures of financial performance are included in this release: non-GAAP gross profit, non-GAAP gross margin, adjusted EBITDA, non-GAAP net loss and non-GAAP earnings per share. </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The company believes that providing this non-GAAP information in addition to the GAAP financial information allows investors to view the financial results in the way the company views its operating results. The company also believes that providing this information allows investors to not only better understand the company's financial performance, but also, better evaluate the information used by management to evaluate and measure such performance. </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As such, the company believes that disclosing non-GAAP financial measures to the readers of its financial statements provides the reader with useful supplemental information that allows for greater transparency in the review of the company’s financial and operational performance. </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company defines its non-GAAP measures by excluding certain items:</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company arrives at non-GAAP gross profit and non-GAAP gross margin by excluding (i) amortization of intangibles (including acquired intangible assets), (ii) stock-based compensation and related payroll taxes, and (iii) acquisition-related costs</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The company arrives at adjusted EBITDA by excluding (i) total other income/(expense), net, (ii) income taxes, (iii) depreciation and amortization expense (including acquired intangible assets), (iv) amortization of capitalized commissions, (v) stock-based compensation and related payroll taxes, (vi) change in fair value of contingent acquisition liabilities, (vii) litigation settlement expenses and (viii) acquisition-related costs.</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company arrives at non-GAAP net loss and non-GAAP net loss per share by excluding (i) depreciation and amortization expense (including acquired intangible assets), (ii) amortization of capitalized commissions, (iii) stock-based compensation and related payroll taxes, (iv) change in fair value of contingent acquisition liabilities, (v) change in fair value of derivative, (vi) litigation settlement expenses, (vii) acquisition-related costs and (viii) income tax effects related to acquisitions.</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Reconciliations of GAAP to these adjusted non-GAAP financial measures are included in the tables below. When analyzing the company's operating results, investors should not consider non-GAAP measures as substitutes for the comparable financial measures prepared in accordance with GAAP.</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To the extent that the company presents any forward-looking non-GAAP financial measures, the company does not present a quantitative reconciliation of such measures to the most directly comparable GAAP financial measure (or otherwise present such forward-looking GAAP measures) because it is impractical to do so.</w:t>
      </w:r>
    </w:p>
    <w:p>
      <w:pPr>
        <w:pStyle w:val="TextBody"/>
        <w:bidi w:val="0"/>
        <w:spacing w:before="0" w:after="0"/>
        <w:jc w:val="left"/>
      </w:pPr>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Third Quarter Reconciliation of GAAP Gross Profit to Non-GAAP Gross Profit and GAAP Gross Margin to Non-GAAP Gross Margin</w:t>
      </w:r>
    </w:p>
    <w:tbl>
      <w:tblPr>
        <w:tblW w:w="10205" w:type="dxa"/>
        <w:jc w:val="left"/>
        <w:tblInd w:w="0" w:type="dxa"/>
        <w:tblLayout w:type="fixed"/>
        <w:tblCellMar>
          <w:top w:w="28" w:type="dxa"/>
          <w:left w:w="28" w:type="dxa"/>
          <w:bottom w:w="28" w:type="dxa"/>
          <w:right w:w="28" w:type="dxa"/>
        </w:tblCellMar>
      </w:tblPr>
      <w:tblGrid>
        <w:gridCol w:w="1834"/>
        <w:gridCol w:w="1610"/>
        <w:gridCol w:w="1617"/>
        <w:gridCol w:w="109"/>
        <w:gridCol w:w="109"/>
        <w:gridCol w:w="109"/>
        <w:gridCol w:w="614"/>
        <w:gridCol w:w="294"/>
        <w:gridCol w:w="294"/>
        <w:gridCol w:w="353"/>
        <w:gridCol w:w="353"/>
        <w:gridCol w:w="301"/>
        <w:gridCol w:w="109"/>
        <w:gridCol w:w="109"/>
        <w:gridCol w:w="109"/>
        <w:gridCol w:w="593"/>
        <w:gridCol w:w="284"/>
        <w:gridCol w:w="284"/>
        <w:gridCol w:w="353"/>
        <w:gridCol w:w="353"/>
        <w:gridCol w:w="414"/>
      </w:tblGrid>
      <w:tr>
        <w:tc>
          <w:tcPr>
            <w:tcW w:w="183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c>
          <w:tcPr>
            <w:tcW w:w="50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2025</w:t>
            </w:r>
          </w:p>
        </w:tc>
      </w:tr>
      <w:tr>
        <w:tc>
          <w:tcPr>
            <w:tcW w:w="5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4"/>
              </w:rPr>
              <w:t>GAAP gross profit</w:t>
            </w:r>
            <w:r>
              <w:rPr>
                <w:rFonts w:ascii="Times New Roman;serif" w:hAnsi="Times New Roman;serif"/>
                <w:b/>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9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21,282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688"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17,921</w:t>
            </w:r>
          </w:p>
        </w:tc>
      </w:tr>
      <w:tr>
        <w:tc>
          <w:tcPr>
            <w:tcW w:w="5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6,672 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4,334 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Stock-based compensation and related payroll taxes²</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3,129 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2,662 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311 </w:t>
            </w:r>
          </w:p>
        </w:tc>
        <w:tc>
          <w:tcPr>
            <w:tcW w:w="3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5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9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4"/>
              </w:rPr>
              <w:t>31,394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74" w:type="dxa"/>
            <w:gridSpan w:val="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4"/>
              </w:rPr>
              <w:t>24,917</w:t>
            </w:r>
            <w:r>
              <w:rPr>
                <w:color w:val="000000"/>
              </w:rPr>
              <w:t>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42.6%</w:t>
            </w:r>
          </w:p>
        </w:tc>
      </w:tr>
      <w:tr>
        <w:tc>
          <w:tcPr>
            <w:tcW w:w="5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59.3%</w:t>
            </w:r>
          </w:p>
        </w:tc>
      </w:tr>
    </w:tbl>
    <w:p>
      <w:pPr>
        <w:pStyle w:val="TextBody"/>
        <w:bidi w:val="0"/>
        <w:spacing w:lineRule="auto" w:line="288" w:before="100" w:after="283"/>
        <w:ind w:left="0" w:right="0" w:hanging="360"/>
        <w:jc w:val="both"/>
      </w:pPr>
      <w:r>
        <w:rPr>
          <w:rFonts w:ascii="Times New Roman;serif" w:hAnsi="Times New Roman;serif"/>
          <w:b w:val="false"/>
          <w:color w:val="000000"/>
          <w:sz w:val="16"/>
        </w:rPr>
        <w:t>1)</w:t>
      </w:r>
      <w:r>
        <w:rPr>
          <w:rFonts w:ascii="Times New Roman;serif" w:hAnsi="Times New Roman;serif"/>
          <w:b w:val="false"/>
          <w:color w:val="000000"/>
          <w:sz w:val="16"/>
          <w:shd w:fill="FEFEFE" w:val="clear"/>
        </w:rPr>
        <w:t>G</w:t>
      </w:r>
      <w:r>
        <w:rPr>
          <w:rFonts w:ascii="Times New Roman;serif" w:hAnsi="Times New Roman;serif"/>
          <w:b w:val="false"/>
          <w:color w:val="000000"/>
          <w:sz w:val="16"/>
        </w:rPr>
        <w:t>AAP gross profit is calculated by subtracting the cost of revenues from revenues.</w:t>
      </w:r>
    </w:p>
    <w:p>
      <w:pPr>
        <w:pStyle w:val="TextBody"/>
        <w:bidi w:val="0"/>
        <w:spacing w:lineRule="auto" w:line="288" w:before="100" w:after="283"/>
        <w:ind w:left="0" w:right="0" w:hanging="360"/>
        <w:jc w:val="both"/>
      </w:pPr>
      <w:r>
        <w:rPr>
          <w:rFonts w:ascii="Times New Roman;serif" w:hAnsi="Times New Roman;serif"/>
          <w:b w:val="false"/>
          <w:color w:val="000000"/>
          <w:sz w:val="16"/>
        </w:rPr>
        <w:t>2)Q3 2026 and Q3 2025 include employer payroll taxes that result from stock-based compensation in the amount of</w:t>
      </w:r>
      <w:r>
        <w:rPr>
          <w:color w:val="000000"/>
        </w:rPr>
        <w:t xml:space="preserve"> </w:t>
      </w:r>
      <w:r>
        <w:rPr>
          <w:rFonts w:ascii="Times New Roman;serif" w:hAnsi="Times New Roman;serif"/>
          <w:b w:val="false"/>
          <w:color w:val="000000"/>
          <w:sz w:val="14"/>
        </w:rPr>
        <w:t>$0.1 million and $0.2 million, respectively.</w:t>
      </w:r>
    </w:p>
    <w:p>
      <w:pPr>
        <w:pStyle w:val="TextBody"/>
        <w:bidi w:val="0"/>
        <w:spacing w:before="0" w:after="0"/>
        <w:jc w:val="both"/>
      </w:pPr>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Third Quarter Reconciliation of GAAP Net Loss to Non-GAAP Adjusted EBITDA</w:t>
      </w:r>
    </w:p>
    <w:tbl>
      <w:tblPr>
        <w:tblW w:w="10205" w:type="dxa"/>
        <w:jc w:val="left"/>
        <w:tblInd w:w="0" w:type="dxa"/>
        <w:tblLayout w:type="fixed"/>
        <w:tblCellMar>
          <w:top w:w="28" w:type="dxa"/>
          <w:left w:w="28" w:type="dxa"/>
          <w:bottom w:w="28" w:type="dxa"/>
          <w:right w:w="28" w:type="dxa"/>
        </w:tblCellMar>
      </w:tblPr>
      <w:tblGrid>
        <w:gridCol w:w="1827"/>
        <w:gridCol w:w="1513"/>
        <w:gridCol w:w="1521"/>
        <w:gridCol w:w="109"/>
        <w:gridCol w:w="109"/>
        <w:gridCol w:w="109"/>
        <w:gridCol w:w="579"/>
        <w:gridCol w:w="295"/>
        <w:gridCol w:w="283"/>
        <w:gridCol w:w="492"/>
        <w:gridCol w:w="412"/>
        <w:gridCol w:w="284"/>
        <w:gridCol w:w="109"/>
        <w:gridCol w:w="109"/>
        <w:gridCol w:w="109"/>
        <w:gridCol w:w="560"/>
        <w:gridCol w:w="285"/>
        <w:gridCol w:w="285"/>
        <w:gridCol w:w="474"/>
        <w:gridCol w:w="352"/>
        <w:gridCol w:w="389"/>
      </w:tblGrid>
      <w:tr>
        <w:tc>
          <w:tcPr>
            <w:tcW w:w="1827"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c>
          <w:tcPr>
            <w:tcW w:w="48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2025</w:t>
            </w:r>
          </w:p>
        </w:tc>
      </w:tr>
      <w:tr>
        <w:tc>
          <w:tcPr>
            <w:tcW w:w="4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82"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(46,368)</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39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(109,271)</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4"/>
              </w:rPr>
              <w:t>Total other expense (income), net</w:t>
            </w: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(7,077)</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13,320 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8,557 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Amortization of capitalized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4"/>
              </w:rPr>
              <w:t>Stock-based compensation and related payroll taxes</w:t>
            </w: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22,540 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21,217 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contingent acquisition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(23,428)</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66,245 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Litigation settlement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4"/>
              </w:rPr>
              <w:t>Acquisition-related expenses</w:t>
            </w: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12,915 </w:t>
            </w:r>
          </w:p>
        </w:tc>
        <w:tc>
          <w:tcPr>
            <w:tcW w:w="2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5,326 </w:t>
            </w:r>
          </w:p>
        </w:tc>
        <w:tc>
          <w:tcPr>
            <w:tcW w:w="3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82"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(20,665)</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39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(14,546)</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$0.2 million of other expense, net and $7.2 million of other income, net for the three months ended September 30, 2026 and 2025, respectively.</w:t>
      </w:r>
    </w:p>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2)Q3 2026 and Q3 2025 include employer payroll taxes that result from stock-based compensation in the amount of $0.7 million and $1.5 million, respectively.</w:t>
      </w:r>
    </w:p>
    <w:p>
      <w:pPr>
        <w:pStyle w:val="TextBody"/>
        <w:bidi w:val="0"/>
        <w:spacing w:lineRule="auto" w:line="288" w:before="100" w:after="1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3)Acquisition-related expenses in Q3 2026 also include acquisition-related severance expenses and transition expenses resulting from the transition agreements under specific acquisition. </w:t>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Third Quarter Reconciliation of GAAP Net Loss to Non-GAAP Net Loss and Non-GAAP Net Loss Per Share</w:t>
      </w:r>
    </w:p>
    <w:tbl>
      <w:tblPr>
        <w:tblW w:w="10205" w:type="dxa"/>
        <w:jc w:val="left"/>
        <w:tblInd w:w="0" w:type="dxa"/>
        <w:tblLayout w:type="fixed"/>
        <w:tblCellMar>
          <w:top w:w="28" w:type="dxa"/>
          <w:left w:w="28" w:type="dxa"/>
          <w:bottom w:w="28" w:type="dxa"/>
          <w:right w:w="28" w:type="dxa"/>
        </w:tblCellMar>
      </w:tblPr>
      <w:tblGrid>
        <w:gridCol w:w="2003"/>
        <w:gridCol w:w="1534"/>
        <w:gridCol w:w="1541"/>
        <w:gridCol w:w="109"/>
        <w:gridCol w:w="109"/>
        <w:gridCol w:w="109"/>
        <w:gridCol w:w="520"/>
        <w:gridCol w:w="295"/>
        <w:gridCol w:w="263"/>
        <w:gridCol w:w="443"/>
        <w:gridCol w:w="444"/>
        <w:gridCol w:w="255"/>
        <w:gridCol w:w="109"/>
        <w:gridCol w:w="109"/>
        <w:gridCol w:w="109"/>
        <w:gridCol w:w="504"/>
        <w:gridCol w:w="285"/>
        <w:gridCol w:w="285"/>
        <w:gridCol w:w="475"/>
        <w:gridCol w:w="351"/>
        <w:gridCol w:w="353"/>
      </w:tblGrid>
      <w:tr>
        <w:tc>
          <w:tcPr>
            <w:tcW w:w="2003"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c>
          <w:tcPr>
            <w:tcW w:w="5078"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ind w:left="0" w:right="0" w:hanging="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2025</w:t>
            </w:r>
          </w:p>
        </w:tc>
      </w:tr>
      <w:tr>
        <w:tc>
          <w:tcPr>
            <w:tcW w:w="5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net loss attributable to SoundHound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45"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(46,368)</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39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(109,271)</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13,320 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8,557 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Amortization of capitalized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4"/>
              </w:rPr>
              <w:t>Stock-based compensation and related payroll taxes</w:t>
            </w: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22,540 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21,217 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contingent acquisition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(23,428)</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66,245 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(5,096)</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Litigation settlement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4"/>
              </w:rPr>
              <w:t>Acquisition-related expenses</w:t>
            </w: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12,915 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5,326 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Income tax effects related to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(1,260)</w:t>
            </w:r>
          </w:p>
        </w:tc>
        <w:tc>
          <w:tcPr>
            <w:tcW w:w="2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45"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(21,215)</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396"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(13,022)</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4"/>
              </w:rPr>
              <w:t>GAAP net loss per share</w:t>
            </w:r>
            <w:r>
              <w:rPr>
                <w:rFonts w:ascii="Times New Roman;serif" w:hAnsi="Times New Roman;serif"/>
                <w:b/>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(0.10)</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(0.27)</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0.05 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0.24 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4"/>
              </w:rPr>
              <w:t>Non-GAAP net loss per share</w:t>
            </w:r>
            <w:r>
              <w:rPr>
                <w:rFonts w:ascii="Times New Roman;serif" w:hAnsi="Times New Roman;serif"/>
                <w:b/>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(0.05)</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(0.03)</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4"/>
              </w:rPr>
              <w:t>GAAP net loss per share</w:t>
            </w:r>
            <w:r>
              <w:rPr>
                <w:rFonts w:ascii="Times New Roman;serif" w:hAnsi="Times New Roman;serif"/>
                <w:b/>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(0.10)</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(0.27)</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0.05 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0.24 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4"/>
              </w:rPr>
              <w:t>Non-GAAP net loss per share</w:t>
            </w:r>
            <w:r>
              <w:rPr>
                <w:rFonts w:ascii="Times New Roman;serif" w:hAnsi="Times New Roman;serif"/>
                <w:b/>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(0.05)</w:t>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(0.03)</w:t>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1)Q3 2026 includes employer payroll taxes that result from stock-based compensation in the amount of $0.7 million.</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2)Acquisition-related expenses in Q3 2026 also include acquisition-related severance expenses and transition expenses resulting from the transition agreements under specific acquisition. </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3)GAAP EPS: Weighted average common shares outstanding (basic) for the three months ended September 30, 2026 and 2025, were 454,512,160 and 409,783,470, respectively. Weighted average common shares outstanding (diluted) for the three months ended September 30, 2026 and 2025, were 454,512,160 and 411,702,440, respectively. Diluted EPS excludes earnings impact from realized portion of contingently issuable shares related to prior acquisitions.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4)Non-GAAP EPS: Weighted average common shares outstanding (basic) for the three months ended September 30, 2026 and 2025, were 454,512,160 and 409,783,470, respectively. Weighted average common shares outstanding (diluted) for the three months ended September 30, 2026 and 2025, were 454,512,160 and 411,702,440, respectively. Diluted EPS excludes earnings impact from realized portion of contingently issuable shares related to prior acquisitions.</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Investors: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Jon Perachio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203-788-8576</w:t>
      </w:r>
    </w:p>
    <w:p>
      <w:pPr>
        <w:pStyle w:val="TextBody"/>
        <w:bidi w:val="0"/>
        <w:spacing w:lineRule="auto" w:line="288" w:before="0" w:after="360"/>
        <w:jc w:val="both"/>
        <w:rPr>
          <w:rFonts w:ascii="Times New Roman;serif" w:hAnsi="Times New Roman;serif"/>
          <w:b w:val="false"/>
          <w:color w:val="000000"/>
          <w:sz w:val="24"/>
        </w:rPr>
      </w:pPr>
      <w:r>
        <w:rPr>
          <w:rFonts w:ascii="Times New Roman;serif" w:hAnsi="Times New Roman;serif"/>
          <w:b w:val="false"/>
          <w:color w:val="000000"/>
          <w:sz w:val="24"/>
        </w:rPr>
        <w:t>IR@SoundHound.com</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Media: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Fiona McEvoy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415-610-6590</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PR@SoundHound.com</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89"/>
        <w:gridCol w:w="2535"/>
        <w:gridCol w:w="2530"/>
        <w:gridCol w:w="176"/>
        <w:gridCol w:w="560"/>
        <w:gridCol w:w="115"/>
        <w:gridCol w:w="109"/>
        <w:gridCol w:w="109"/>
        <w:gridCol w:w="109"/>
        <w:gridCol w:w="170"/>
        <w:gridCol w:w="540"/>
        <w:gridCol w:w="163"/>
      </w:tblGrid>
      <w:tr>
        <w:tc>
          <w:tcPr>
            <w:tcW w:w="3089"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8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w:t>
              <w:br/>
              <w:t>2025</w:t>
            </w:r>
          </w:p>
        </w:tc>
      </w:tr>
      <w:tr>
        <w:tc>
          <w:tcPr>
            <w:tcW w:w="8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ASSETS</w:t>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Current assets:</w:t>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Cash and cash equivalents</w:t>
            </w:r>
          </w:p>
        </w:tc>
        <w:tc>
          <w:tcPr>
            <w:tcW w:w="1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207,579 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248,490 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2"/>
              </w:rPr>
              <w:t>Accounts receivable, net of allowances of $3,804 and $2,254 as of September 30, 2026 and December 31, 2025, respectively</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50,562 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32,336 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receivable,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37,391 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38,189 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assets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26,310 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assets</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321,842 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329,129 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Restricted cash equivalents, non-current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Investments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Right-of-use assets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Property and equipment,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Goodwill</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261,796 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122,277 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Intangible assets,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324,514 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181,395 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tax asset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receivable, non-current,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47,928 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29,906 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assets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24,469 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18,042 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assets</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997,851 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688,173 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LIABILITIES AND STOCKHOLDERS’ EQUITY</w:t>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Current liabilities:</w:t>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1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21,676 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Accrued liabilities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60,306 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26,325 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Finance lease liabilities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64,491 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24,042 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Convertible notes, current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liabilities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liabilities</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158,767 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71,739 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 net of current portion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 net of current portion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 net of current portion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129,227 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tax liabilities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 net of current portion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liabilities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191,593 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224,387 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Commitments and contingencies</w:t>
            </w:r>
          </w:p>
        </w:tc>
        <w:tc>
          <w:tcPr>
            <w:tcW w:w="8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Stockholders’ equity:</w:t>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Series A Preferred Stock, $0.0001 par value; 1,000,000 shares authorized; 0 and 0 shares issued and outstanding, aggregate liquidation preference of $0 and $0 as of September 30, 2026 and December 31, 2025, respectively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Class A Common Stock, $0.0001 par value; 755,000,000 shares authorized as of September 30, 2026 and December 31, 2025; 456,399,737 and 390,070,691 shares issued and outstanding as of September 30, 2026 and December 31, 2025, respectively</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Class B Common Stock, $0.0001 par value; 44,000,000 shares authorized; 32,535,408 shares issued and outstanding as of September 30, 2026 and December 31,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Additional paid-in capital</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1,877,340 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1,420,672 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Accumulated deficit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(1,071,279)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(957,066)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Accumulated 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stockholders’ equity</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806,258 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463,786 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 and stockholders’ equity</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997,851 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688,173 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82"/>
        <w:gridCol w:w="1206"/>
        <w:gridCol w:w="1209"/>
        <w:gridCol w:w="264"/>
        <w:gridCol w:w="922"/>
        <w:gridCol w:w="109"/>
        <w:gridCol w:w="109"/>
        <w:gridCol w:w="109"/>
        <w:gridCol w:w="109"/>
        <w:gridCol w:w="237"/>
        <w:gridCol w:w="949"/>
        <w:gridCol w:w="109"/>
        <w:gridCol w:w="109"/>
        <w:gridCol w:w="109"/>
        <w:gridCol w:w="109"/>
        <w:gridCol w:w="237"/>
        <w:gridCol w:w="949"/>
        <w:gridCol w:w="109"/>
        <w:gridCol w:w="109"/>
        <w:gridCol w:w="109"/>
        <w:gridCol w:w="109"/>
        <w:gridCol w:w="241"/>
        <w:gridCol w:w="945"/>
        <w:gridCol w:w="156"/>
      </w:tblGrid>
      <w:tr>
        <w:tc>
          <w:tcPr>
            <w:tcW w:w="158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Revenues</w:t>
            </w:r>
            <w:r>
              <w:rPr>
                <w:rFonts w:ascii="Times New Roman;serif" w:hAnsi="Times New Roman;serif"/>
                <w:b w:val="false"/>
                <w:color w:val="000000"/>
                <w:sz w:val="13"/>
              </w:rPr>
              <w:t>(1)</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acquisition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attributable to participating Class A Common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SoundHound common shareholders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 on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454,512,160 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435,623,278 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401,325,300 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454,512,160 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411,702,440 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441,261,985 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403,252,575 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related party revenue from an investee company of $0.1 million and $7.6 million for the three and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9324" w:type="dxa"/>
        <w:jc w:val="center"/>
        <w:tblInd w:w="0" w:type="dxa"/>
        <w:tblLayout w:type="fixed"/>
        <w:tblCellMar>
          <w:top w:w="28" w:type="dxa"/>
          <w:left w:w="28" w:type="dxa"/>
          <w:bottom w:w="28" w:type="dxa"/>
          <w:right w:w="28" w:type="dxa"/>
        </w:tblCellMar>
      </w:tblPr>
      <w:tblGrid>
        <w:gridCol w:w="2461"/>
        <w:gridCol w:w="2158"/>
        <w:gridCol w:w="2176"/>
        <w:gridCol w:w="196"/>
        <w:gridCol w:w="811"/>
        <w:gridCol w:w="109"/>
        <w:gridCol w:w="109"/>
        <w:gridCol w:w="109"/>
        <w:gridCol w:w="109"/>
        <w:gridCol w:w="196"/>
        <w:gridCol w:w="736"/>
        <w:gridCol w:w="154"/>
      </w:tblGrid>
      <w:tr>
        <w:tc>
          <w:tcPr>
            <w:tcW w:w="2461"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in operating activities: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capitalized commissions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gain/loss from remeasurement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acquisition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acquisition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provided by (used in)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development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equity investment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related to asset acquisition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related to acquisitions, net of cash acquired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acquired in the acquisition of LivePerson, net of cash paid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provided by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Proceeds from sales of Class A common stock under the Second Equity Distribution Agreement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and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warrants exercised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financing costs associated with the Second Equity Distribution Agreement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on convertible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to settle contingent acquisition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to settle deferred holdback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finance leases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Effects of exchange rate changes on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cash equivalents, and restricted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equivalents,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9"/>
        <w:gridCol w:w="2467"/>
        <w:gridCol w:w="2474"/>
        <w:gridCol w:w="196"/>
        <w:gridCol w:w="736"/>
        <w:gridCol w:w="109"/>
        <w:gridCol w:w="109"/>
        <w:gridCol w:w="109"/>
        <w:gridCol w:w="109"/>
        <w:gridCol w:w="196"/>
        <w:gridCol w:w="736"/>
        <w:gridCol w:w="155"/>
      </w:tblGrid>
      <w:tr>
        <w:tc>
          <w:tcPr>
            <w:tcW w:w="2809"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to amounts on the condensed consolidated balance sheets: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restricted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 equivalents shown in the condensed consolidated statements of cash flows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2,741 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to settle contingent acquisition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of deferred cash consideration under Interactions acquisition</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of contingent earnout consideration under Interactions acquisitions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of Class A common stock issued to acquire LivePerson</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offering costs reclassified to additional paid-in capital</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included in capitalized software development costs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contingent earnout consideration to equity</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pStyle w:val="TextBody"/>
        <w:bidi w:val="0"/>
        <w:jc w:val="center"/>
      </w:pPr>
      <w:r/>
    </w:p>
    <w:p>
      <w:pPr>
        <w:pStyle w:val="TextBody"/>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4924</Words>
  <Characters>29261</Characters>
  <CharactersWithSpaces>33588</CharactersWithSpaces>
  <Paragraphs>920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