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13,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Dr. Keyvan Mohajer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5400 Betsy Ross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SoundHound AI,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333-267501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Keyvan Mohajer: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comment. In our comment, we may ask you to provide us with information so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Developments, page 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 filed 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on January 24, 2023 that included a press release issued 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same day providing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business updates and certain preliminary unaudited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and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for the fourth quarter of 2022 and fiscal year 2022.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material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from the press release in your recent developments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section. In addition,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appropriate, please balance your preliminary revenue and gross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 information 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presenting other measures of your performance such as operating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and net income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(loss). To the extent this information is unavailable and you are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unable to provide</w:t>
      </w: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meaningful ranges, then revise your disclosure to provide qualitative disclosure, as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applicable, to provide investors with an understanding of whether you have experienced any</w:t>
      </w:r>
    </w:p>
    <w:p>
      <w:pPr>
        <w:ind w:left="120" w:right="21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positive or negative trends in these areas during the period. Lastly, please Dr. Keyvan Mohajer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13,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that actual results for the fourth quarter of 2022 and fiscal year 2022 are not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differ materially from the preliminary results.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Kathleen Krebs, Special Counsel, at 202-551-3350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Joshua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Shainess, Legal Branch Chief, at 202-551-7951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LastNameDr. Keyvan Mohajer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NameSoundHound AI, Inc.</w:t>
      </w:r>
    </w:p>
    <w:p>
      <w:pPr>
        <w:jc w:val="right"/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13, 2023 Page 2</w:t>
      </w:r>
    </w:p>
    <w:p>
      <w:pPr>
        <w:ind w:right="6659" w:firstLine="8"/>
        <w:spacing w:after="0" w:line="309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Bernstein, Esq.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2023-03-15T23:09:36Z</dcterms:created>
  <dcterms:modified xsi:type="dcterms:W3CDTF">2023-03-15T23:09:36Z</dcterms:modified>
</cp:coreProperties>
</file>