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80" w:right="459" w:hanging="5255"/>
        <w:spacing w:after="0" w:line="435" w:lineRule="auto"/>
        <w:rPr>
          <w:sz w:val="20"/>
          <w:szCs w:val="20"/>
          <w:color w:val="auto"/>
        </w:rPr>
      </w:pPr>
      <w:r>
        <w:rPr>
          <w:rFonts w:ascii="Arial" w:cs="Arial" w:eastAsia="Arial" w:hAnsi="Arial"/>
          <w:sz w:val="16"/>
          <w:szCs w:val="16"/>
          <w:b w:val="1"/>
          <w:bCs w:val="1"/>
          <w:color w:val="auto"/>
        </w:rPr>
        <w:t>As filed with the United States Securities and Exchange Commission on March 29, 2023. Registration No. 333-267501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-42545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SOUNDHOUND AI,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7372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86-1286799</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5400 Betsy Ross Drive</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Santa Clara, CA 95054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Telephone: (408) 441-3200</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460" w:right="459"/>
        <w:spacing w:after="0" w:line="250" w:lineRule="auto"/>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 Keyvan Mohajer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3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Douglas Ellenoff,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jc w:val="center"/>
        <w:spacing w:after="0" w:line="236" w:lineRule="auto"/>
        <w:rPr>
          <w:sz w:val="20"/>
          <w:szCs w:val="20"/>
          <w:color w:val="auto"/>
        </w:rPr>
      </w:pPr>
      <w:r>
        <w:rPr>
          <w:rFonts w:ascii="Arial" w:cs="Arial" w:eastAsia="Arial" w:hAnsi="Arial"/>
          <w:sz w:val="18"/>
          <w:szCs w:val="18"/>
          <w:b w:val="1"/>
          <w:bCs w:val="1"/>
          <w:color w:val="auto"/>
        </w:rPr>
        <w:t>1345 Avenue of the Americas, 11</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 370-7889</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31" w:lineRule="exact"/>
        <w:rPr>
          <w:sz w:val="24"/>
          <w:szCs w:val="24"/>
          <w:color w:val="auto"/>
        </w:rPr>
      </w:pPr>
    </w:p>
    <w:p>
      <w:pPr>
        <w:jc w:val="both"/>
        <w:ind w:left="460" w:right="459" w:firstLine="432"/>
        <w:spacing w:after="0" w:line="253" w:lineRule="auto"/>
        <w:rPr>
          <w:sz w:val="20"/>
          <w:szCs w:val="20"/>
          <w:color w:val="auto"/>
        </w:rPr>
      </w:pPr>
      <w:r>
        <w:rPr>
          <w:rFonts w:ascii="Arial" w:cs="Arial" w:eastAsia="Arial" w:hAnsi="Arial"/>
          <w:sz w:val="14"/>
          <w:szCs w:val="14"/>
          <w:color w:val="auto"/>
        </w:rPr>
        <w:t>Approximate date of commencement of proposed sale to the public: As soon as practicable after the effective date of this registration statement.</w:t>
      </w:r>
    </w:p>
    <w:p>
      <w:pPr>
        <w:spacing w:after="0" w:line="12" w:lineRule="exact"/>
        <w:rPr>
          <w:sz w:val="24"/>
          <w:szCs w:val="24"/>
          <w:color w:val="auto"/>
        </w:rPr>
      </w:pPr>
    </w:p>
    <w:p>
      <w:pPr>
        <w:jc w:val="both"/>
        <w:ind w:left="460" w:right="479" w:firstLine="432"/>
        <w:spacing w:after="0" w:line="19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460" w:right="459" w:firstLine="432"/>
        <w:spacing w:after="0" w:line="251"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56" w:lineRule="exact"/>
        <w:rPr>
          <w:sz w:val="24"/>
          <w:szCs w:val="24"/>
          <w:color w:val="auto"/>
        </w:rPr>
      </w:pPr>
    </w:p>
    <w:p>
      <w:pPr>
        <w:jc w:val="both"/>
        <w:ind w:left="460" w:right="459" w:firstLine="43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left="460" w:right="479" w:firstLine="43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460" w:right="459" w:firstLine="432"/>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80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0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12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460" w:type="dxa"/>
            <w:vAlign w:val="bottom"/>
          </w:tcPr>
          <w:p>
            <w:pPr>
              <w:ind w:left="800"/>
              <w:spacing w:after="0"/>
              <w:rPr>
                <w:sz w:val="20"/>
                <w:szCs w:val="20"/>
                <w:color w:val="auto"/>
              </w:rPr>
            </w:pPr>
            <w:r>
              <w:rPr>
                <w:rFonts w:ascii="Arial" w:cs="Arial" w:eastAsia="Arial" w:hAnsi="Arial"/>
                <w:sz w:val="14"/>
                <w:szCs w:val="14"/>
                <w:color w:val="auto"/>
                <w:w w:val="98"/>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60" w:type="dxa"/>
            <w:vAlign w:val="bottom"/>
          </w:tcPr>
          <w:p>
            <w:pPr>
              <w:ind w:left="800"/>
              <w:spacing w:after="0"/>
              <w:rPr>
                <w:sz w:val="20"/>
                <w:szCs w:val="20"/>
                <w:color w:val="auto"/>
              </w:rPr>
            </w:pPr>
            <w:r>
              <w:rPr>
                <w:rFonts w:ascii="Arial" w:cs="Arial" w:eastAsia="Arial" w:hAnsi="Arial"/>
                <w:sz w:val="14"/>
                <w:szCs w:val="14"/>
                <w:color w:val="auto"/>
                <w:w w:val="98"/>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6" w:lineRule="exact"/>
        <w:rPr>
          <w:sz w:val="24"/>
          <w:szCs w:val="24"/>
          <w:color w:val="auto"/>
        </w:rPr>
      </w:pPr>
    </w:p>
    <w:p>
      <w:pPr>
        <w:jc w:val="both"/>
        <w:ind w:left="460" w:right="479" w:firstLine="432"/>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jc w:val="both"/>
        <w:ind w:left="460" w:right="459" w:firstLine="432"/>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77470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351790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53" w:right="1440" w:bottom="1015" w:gutter="0" w:footer="0" w:header="0"/>
        </w:sectPr>
      </w:pPr>
    </w:p>
    <w:bookmarkStart w:id="1" w:name="page2"/>
    <w:bookmarkEnd w:id="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6"/>
          <w:szCs w:val="16"/>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8"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b w:val="1"/>
          <w:bCs w:val="1"/>
          <w:color w:val="D2232A"/>
        </w:rPr>
        <w:t>PRELIMINARY PROSPECTUS SUBJECT TO COMPLETION</w:t>
      </w:r>
      <w:r>
        <w:rPr>
          <w:sz w:val="20"/>
          <w:szCs w:val="20"/>
          <w:color w:val="auto"/>
        </w:rPr>
        <w:tab/>
      </w:r>
      <w:r>
        <w:rPr>
          <w:rFonts w:ascii="Arial" w:cs="Arial" w:eastAsia="Arial" w:hAnsi="Arial"/>
          <w:sz w:val="17"/>
          <w:szCs w:val="17"/>
          <w:b w:val="1"/>
          <w:bCs w:val="1"/>
          <w:color w:val="D2232A"/>
        </w:rPr>
        <w:t>DATED MARCH 29, 2023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SOUNDHOUND AI,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14,301,448 Shares of Class A Common Stock</w:t>
      </w:r>
    </w:p>
    <w:p>
      <w:pPr>
        <w:spacing w:after="0" w:line="13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relates to the potential offer and sale from time to time by CF Principal Investments LLC (“Cantor” the “Holder”) of up to 14,301,448 shares of Class A common stock, par value $0.0001 per share (the “Class A Shares”, the “Class A Common Stock” or the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 Prior to the date of this prospectus, the Holder has sold 10,698,552 Class A Shares under the Facility. The purchase price of the shares of Common Stock that we elect to sell to Cantor pursuant to the Purchase Agreement will be the volume weighted average price of the Common Stock during the applicable purchase date on which we have timely delivered written notice to Cantor directing it to purchase the shares of Common Stock under the Purchase Agreement and we will receive 97% of the volume weighted average price of the Common Stock so sold.</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We are not selling any securities under this prospectus and will not receive any of the proceeds from the sale of shares of our Class A Common Stock by the Holder. However, we will receive proceeds from our sale to the Holder of up to 14,301,448 Class A Shares at varying purchase prices depending on the market price of our shares of Class A Common Stock at the time of such purchases, pursuant to the terms of the Purchase Agreement, after the date of this prospectus (to date, we have received $28,681,447 proceeds from the sale of 10,698,552 Class A Shares under the Facility).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in connection with the Facility, we also issued 250,000 shares of Class A Common Stock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which have subsequently been sold. See “The Committed Equity Financing” for a description of the Purchase Agreement and the Facility and “Selling Holder” for additional information regarding Cantor.</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Arial" w:cs="Arial" w:eastAsia="Arial" w:hAnsi="Arial"/>
          <w:sz w:val="16"/>
          <w:szCs w:val="16"/>
          <w:i w:val="1"/>
          <w:iCs w:val="1"/>
          <w:color w:val="auto"/>
        </w:rPr>
        <w:t>Plan of</w:t>
      </w:r>
      <w:r>
        <w:rPr>
          <w:rFonts w:ascii="Arial" w:cs="Arial" w:eastAsia="Arial" w:hAnsi="Arial"/>
          <w:sz w:val="16"/>
          <w:szCs w:val="16"/>
          <w:color w:val="auto"/>
        </w:rPr>
        <w:t xml:space="preserve"> </w:t>
      </w:r>
      <w:r>
        <w:rPr>
          <w:rFonts w:ascii="Arial" w:cs="Arial" w:eastAsia="Arial" w:hAnsi="Arial"/>
          <w:sz w:val="16"/>
          <w:szCs w:val="16"/>
          <w:i w:val="1"/>
          <w:iCs w:val="1"/>
          <w:color w:val="auto"/>
        </w:rPr>
        <w:t>Distribution (Conflict of Interest)</w:t>
      </w:r>
      <w:r>
        <w:rPr>
          <w:rFonts w:ascii="Arial" w:cs="Arial" w:eastAsia="Arial" w:hAnsi="Arial"/>
          <w:sz w:val="16"/>
          <w:szCs w:val="16"/>
          <w:color w:val="auto"/>
        </w:rPr>
        <w:t>” beginning on page 106.</w:t>
      </w:r>
    </w:p>
    <w:p>
      <w:pPr>
        <w:spacing w:after="0" w:line="8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Class A Common Stock is listed on the Global Market of The Nasdaq Stock Market LLC (“Nasdaq”) under the symbol “SOUN.” On March 24, 2023, the last reported sale price of our Class A Common Stock was $2.10 per share.</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reporting requirements.</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15 of this prospectus, in any amendment or supplements to this prospectus.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9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date of this prospectus is March 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024"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740" w:type="dxa"/>
            <w:vAlign w:val="bottom"/>
            <w:gridSpan w:val="28"/>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13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MARKET AND INDUSTRY DATA</w:t>
            </w:r>
          </w:p>
        </w:tc>
        <w:tc>
          <w:tcPr>
            <w:tcW w:w="1360" w:type="dxa"/>
            <w:vAlign w:val="bottom"/>
          </w:tcPr>
          <w:p>
            <w:pPr>
              <w:jc w:val="center"/>
              <w:ind w:left="630"/>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CAUTIONARY NOTE REGARDING FORWARD-LOOKING STATEMENTS</w:t>
            </w:r>
          </w:p>
        </w:tc>
        <w:tc>
          <w:tcPr>
            <w:tcW w:w="1360" w:type="dxa"/>
            <w:vAlign w:val="bottom"/>
            <w:shd w:val="clear" w:color="auto" w:fill="CCEEFF"/>
          </w:tcPr>
          <w:p>
            <w:pPr>
              <w:jc w:val="center"/>
              <w:ind w:left="630"/>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PROSPECTUS SUMMARY</w:t>
            </w:r>
          </w:p>
        </w:tc>
        <w:tc>
          <w:tcPr>
            <w:tcW w:w="1360" w:type="dxa"/>
            <w:vAlign w:val="bottom"/>
          </w:tcPr>
          <w:p>
            <w:pPr>
              <w:jc w:val="center"/>
              <w:ind w:left="630"/>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THE OFFERING</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9"/>
              </w:rPr>
              <w:t>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RISK FACTORS</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15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THE COMMITTED EQUITY FINANCING</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USE OF PROCEEDS</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46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DETERMINATION OF OFFERING PRICE</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9"/>
              </w:rPr>
              <w:t>47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176"/>
        </w:trPr>
        <w:tc>
          <w:tcPr>
            <w:tcW w:w="6740" w:type="dxa"/>
            <w:vAlign w:val="bottom"/>
            <w:gridSpan w:val="28"/>
          </w:tcPr>
          <w:p>
            <w:pPr>
              <w:spacing w:after="0" w:line="176" w:lineRule="exact"/>
              <w:rPr>
                <w:sz w:val="20"/>
                <w:szCs w:val="20"/>
                <w:color w:val="auto"/>
              </w:rPr>
            </w:pPr>
            <w:r>
              <w:rPr>
                <w:rFonts w:ascii="Arial" w:cs="Arial" w:eastAsia="Arial" w:hAnsi="Arial"/>
                <w:sz w:val="18"/>
                <w:szCs w:val="18"/>
                <w:color w:val="0000EE"/>
                <w:w w:val="98"/>
              </w:rPr>
              <w:t>MARKET INFORMATION FOR CLASS A COMMON STOCK AND WARRANTS AND</w:t>
            </w:r>
          </w:p>
        </w:tc>
        <w:tc>
          <w:tcPr>
            <w:tcW w:w="136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44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DIVIDEND POLICY</w:t>
            </w:r>
          </w:p>
        </w:tc>
        <w:tc>
          <w:tcPr>
            <w:tcW w:w="120" w:type="dxa"/>
            <w:vAlign w:val="bottom"/>
          </w:tcPr>
          <w:p>
            <w:pPr>
              <w:spacing w:after="0"/>
              <w:rPr>
                <w:sz w:val="17"/>
                <w:szCs w:val="17"/>
                <w:color w:val="auto"/>
              </w:rPr>
            </w:pPr>
          </w:p>
        </w:tc>
        <w:tc>
          <w:tcPr>
            <w:tcW w:w="1360" w:type="dxa"/>
            <w:vAlign w:val="bottom"/>
          </w:tcPr>
          <w:p>
            <w:pPr>
              <w:jc w:val="center"/>
              <w:ind w:left="650"/>
              <w:spacing w:after="0" w:line="196" w:lineRule="exact"/>
              <w:rPr>
                <w:sz w:val="20"/>
                <w:szCs w:val="20"/>
                <w:color w:val="auto"/>
              </w:rPr>
            </w:pPr>
            <w:r>
              <w:rPr>
                <w:rFonts w:ascii="Arial" w:cs="Arial" w:eastAsia="Arial" w:hAnsi="Arial"/>
                <w:sz w:val="18"/>
                <w:szCs w:val="18"/>
                <w:color w:val="auto"/>
                <w:w w:val="89"/>
              </w:rPr>
              <w:t>48</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176"/>
        </w:trPr>
        <w:tc>
          <w:tcPr>
            <w:tcW w:w="6740" w:type="dxa"/>
            <w:vAlign w:val="bottom"/>
            <w:tcBorders>
              <w:bottom w:val="single" w:sz="8" w:color="0000EE"/>
            </w:tcBorders>
            <w:gridSpan w:val="28"/>
            <w:shd w:val="clear" w:color="auto" w:fill="CCEEFF"/>
          </w:tcPr>
          <w:p>
            <w:pPr>
              <w:spacing w:after="0" w:line="176" w:lineRule="exact"/>
              <w:rPr>
                <w:sz w:val="20"/>
                <w:szCs w:val="20"/>
                <w:color w:val="auto"/>
              </w:rPr>
            </w:pPr>
            <w:r>
              <w:rPr>
                <w:rFonts w:ascii="Arial" w:cs="Arial" w:eastAsia="Arial" w:hAnsi="Arial"/>
                <w:sz w:val="18"/>
                <w:szCs w:val="18"/>
                <w:color w:val="0000EE"/>
                <w:w w:val="98"/>
              </w:rPr>
              <w:t>MANAGEMENT’S DISCUSSION AND ANALYSYS OF FINANCIAL CONDITION AND</w:t>
            </w:r>
          </w:p>
        </w:tc>
        <w:tc>
          <w:tcPr>
            <w:tcW w:w="136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560" w:type="dxa"/>
            <w:vAlign w:val="bottom"/>
            <w:gridSpan w:val="27"/>
            <w:shd w:val="clear" w:color="auto" w:fill="CCEEFF"/>
          </w:tcPr>
          <w:p>
            <w:pPr>
              <w:spacing w:after="0" w:line="196" w:lineRule="exact"/>
              <w:rPr>
                <w:sz w:val="20"/>
                <w:szCs w:val="20"/>
                <w:color w:val="auto"/>
              </w:rPr>
            </w:pPr>
            <w:r>
              <w:rPr>
                <w:rFonts w:ascii="Arial" w:cs="Arial" w:eastAsia="Arial" w:hAnsi="Arial"/>
                <w:sz w:val="18"/>
                <w:szCs w:val="18"/>
                <w:color w:val="0000EE"/>
              </w:rPr>
              <w:t>RESULTS OF OPERATIONS OF SOUNDHOUND AI</w:t>
            </w:r>
          </w:p>
        </w:tc>
        <w:tc>
          <w:tcPr>
            <w:tcW w:w="1360" w:type="dxa"/>
            <w:vAlign w:val="bottom"/>
            <w:shd w:val="clear" w:color="auto" w:fill="CCEEFF"/>
          </w:tcPr>
          <w:p>
            <w:pPr>
              <w:jc w:val="center"/>
              <w:ind w:left="650"/>
              <w:spacing w:after="0" w:line="196" w:lineRule="exact"/>
              <w:rPr>
                <w:sz w:val="20"/>
                <w:szCs w:val="20"/>
                <w:color w:val="auto"/>
              </w:rPr>
            </w:pPr>
            <w:r>
              <w:rPr>
                <w:rFonts w:ascii="Arial" w:cs="Arial" w:eastAsia="Arial" w:hAnsi="Arial"/>
                <w:sz w:val="18"/>
                <w:szCs w:val="18"/>
                <w:color w:val="auto"/>
                <w:w w:val="89"/>
              </w:rPr>
              <w:t>49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BUSINESS</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64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MANAGEMENT</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EXECUTIVE COMPENSATION</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DIRECTOR COMPENSATION</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9"/>
              </w:rPr>
              <w:t>88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EXECUTIVE COMPENSTION ARRANGEMENTS</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89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CERTAIN RELATIONSHIPS AND RELATED PARTY TRANSACTIONS</w:t>
            </w:r>
          </w:p>
        </w:tc>
        <w:tc>
          <w:tcPr>
            <w:tcW w:w="1360" w:type="dxa"/>
            <w:vAlign w:val="bottom"/>
            <w:shd w:val="clear" w:color="auto" w:fill="CCEEFF"/>
          </w:tcPr>
          <w:p>
            <w:pPr>
              <w:jc w:val="center"/>
              <w:ind w:left="630"/>
              <w:spacing w:after="0" w:line="202" w:lineRule="exact"/>
              <w:rPr>
                <w:sz w:val="20"/>
                <w:szCs w:val="20"/>
                <w:color w:val="auto"/>
              </w:rPr>
            </w:pPr>
            <w:r>
              <w:rPr>
                <w:rFonts w:ascii="Arial" w:cs="Arial" w:eastAsia="Arial" w:hAnsi="Arial"/>
                <w:sz w:val="18"/>
                <w:szCs w:val="18"/>
                <w:color w:val="auto"/>
                <w:w w:val="93"/>
              </w:rPr>
              <w:t>100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PRINCIPAL STOCKHOLDERS</w:t>
            </w:r>
          </w:p>
        </w:tc>
        <w:tc>
          <w:tcPr>
            <w:tcW w:w="1360" w:type="dxa"/>
            <w:vAlign w:val="bottom"/>
          </w:tcPr>
          <w:p>
            <w:pPr>
              <w:jc w:val="center"/>
              <w:ind w:left="630"/>
              <w:spacing w:after="0" w:line="202" w:lineRule="exact"/>
              <w:rPr>
                <w:sz w:val="20"/>
                <w:szCs w:val="20"/>
                <w:color w:val="auto"/>
              </w:rPr>
            </w:pPr>
            <w:r>
              <w:rPr>
                <w:rFonts w:ascii="Arial" w:cs="Arial" w:eastAsia="Arial" w:hAnsi="Arial"/>
                <w:sz w:val="18"/>
                <w:szCs w:val="18"/>
                <w:color w:val="auto"/>
                <w:w w:val="93"/>
              </w:rPr>
              <w:t>103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SELLING STOCKHOLDER</w:t>
            </w:r>
          </w:p>
        </w:tc>
        <w:tc>
          <w:tcPr>
            <w:tcW w:w="1360" w:type="dxa"/>
            <w:vAlign w:val="bottom"/>
            <w:shd w:val="clear" w:color="auto" w:fill="CCEEFF"/>
          </w:tcPr>
          <w:p>
            <w:pPr>
              <w:jc w:val="center"/>
              <w:ind w:left="630"/>
              <w:spacing w:after="0" w:line="202" w:lineRule="exact"/>
              <w:rPr>
                <w:sz w:val="20"/>
                <w:szCs w:val="20"/>
                <w:color w:val="auto"/>
              </w:rPr>
            </w:pPr>
            <w:r>
              <w:rPr>
                <w:rFonts w:ascii="Arial" w:cs="Arial" w:eastAsia="Arial" w:hAnsi="Arial"/>
                <w:sz w:val="18"/>
                <w:szCs w:val="18"/>
                <w:color w:val="auto"/>
                <w:w w:val="93"/>
              </w:rPr>
              <w:t>105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PLAN OF DISTRIBUTION (CONFLICT OF INTEREST)</w:t>
            </w:r>
          </w:p>
        </w:tc>
        <w:tc>
          <w:tcPr>
            <w:tcW w:w="1360" w:type="dxa"/>
            <w:vAlign w:val="bottom"/>
          </w:tcPr>
          <w:p>
            <w:pPr>
              <w:jc w:val="center"/>
              <w:ind w:left="630"/>
              <w:spacing w:after="0" w:line="202" w:lineRule="exact"/>
              <w:rPr>
                <w:sz w:val="20"/>
                <w:szCs w:val="20"/>
                <w:color w:val="auto"/>
              </w:rPr>
            </w:pPr>
            <w:r>
              <w:rPr>
                <w:rFonts w:ascii="Arial" w:cs="Arial" w:eastAsia="Arial" w:hAnsi="Arial"/>
                <w:sz w:val="18"/>
                <w:szCs w:val="18"/>
                <w:color w:val="auto"/>
                <w:w w:val="93"/>
              </w:rPr>
              <w:t>106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DESCRIPTION OF CAPITAL STOCK</w:t>
            </w:r>
          </w:p>
        </w:tc>
        <w:tc>
          <w:tcPr>
            <w:tcW w:w="1360" w:type="dxa"/>
            <w:vAlign w:val="bottom"/>
            <w:shd w:val="clear" w:color="auto" w:fill="CCEEFF"/>
          </w:tcPr>
          <w:p>
            <w:pPr>
              <w:jc w:val="center"/>
              <w:ind w:left="630"/>
              <w:spacing w:after="0" w:line="202" w:lineRule="exact"/>
              <w:rPr>
                <w:sz w:val="20"/>
                <w:szCs w:val="20"/>
                <w:color w:val="auto"/>
              </w:rPr>
            </w:pPr>
            <w:r>
              <w:rPr>
                <w:rFonts w:ascii="Arial" w:cs="Arial" w:eastAsia="Arial" w:hAnsi="Arial"/>
                <w:sz w:val="18"/>
                <w:szCs w:val="18"/>
                <w:color w:val="auto"/>
                <w:w w:val="93"/>
              </w:rPr>
              <w:t>109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SECURITIES ACT RESTRICTIONS ON RESALE OF OUR SECURITIES</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6"/>
              </w:rPr>
              <w:t>115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LEGAL MATTERS</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6740" w:type="dxa"/>
            <w:vAlign w:val="bottom"/>
            <w:gridSpan w:val="28"/>
          </w:tcPr>
          <w:p>
            <w:pPr>
              <w:spacing w:after="0" w:line="202" w:lineRule="exact"/>
              <w:rPr>
                <w:sz w:val="20"/>
                <w:szCs w:val="20"/>
                <w:color w:val="auto"/>
              </w:rPr>
            </w:pPr>
            <w:r>
              <w:rPr>
                <w:rFonts w:ascii="Arial" w:cs="Arial" w:eastAsia="Arial" w:hAnsi="Arial"/>
                <w:sz w:val="18"/>
                <w:szCs w:val="18"/>
                <w:color w:val="0000EE"/>
              </w:rPr>
              <w:t>EXPERTS</w:t>
            </w:r>
          </w:p>
        </w:tc>
        <w:tc>
          <w:tcPr>
            <w:tcW w:w="136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6"/>
              </w:rPr>
              <w:t>116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3"/>
        </w:trPr>
        <w:tc>
          <w:tcPr>
            <w:tcW w:w="67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0000EE"/>
              </w:rPr>
              <w:t>WHERE YOU CAN FIND MORE INFORMATION</w:t>
            </w:r>
          </w:p>
        </w:tc>
        <w:tc>
          <w:tcPr>
            <w:tcW w:w="1360" w:type="dxa"/>
            <w:vAlign w:val="bottom"/>
            <w:shd w:val="clear" w:color="auto" w:fill="CCEEFF"/>
          </w:tcPr>
          <w:p>
            <w:pPr>
              <w:jc w:val="center"/>
              <w:ind w:left="650"/>
              <w:spacing w:after="0" w:line="202" w:lineRule="exact"/>
              <w:rPr>
                <w:sz w:val="20"/>
                <w:szCs w:val="20"/>
                <w:color w:val="auto"/>
              </w:rPr>
            </w:pPr>
            <w:r>
              <w:rPr>
                <w:rFonts w:ascii="Arial" w:cs="Arial" w:eastAsia="Arial" w:hAnsi="Arial"/>
                <w:sz w:val="18"/>
                <w:szCs w:val="18"/>
                <w:color w:val="auto"/>
                <w:w w:val="8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03"/>
        </w:trPr>
        <w:tc>
          <w:tcPr>
            <w:tcW w:w="3040" w:type="dxa"/>
            <w:vAlign w:val="bottom"/>
            <w:tcBorders>
              <w:bottom w:val="single" w:sz="8" w:color="0000EE"/>
            </w:tcBorders>
            <w:gridSpan w:val="18"/>
          </w:tcPr>
          <w:p>
            <w:pPr>
              <w:spacing w:after="0" w:line="202" w:lineRule="exact"/>
              <w:rPr>
                <w:sz w:val="20"/>
                <w:szCs w:val="20"/>
                <w:color w:val="auto"/>
              </w:rPr>
            </w:pPr>
            <w:r>
              <w:rPr>
                <w:rFonts w:ascii="Arial" w:cs="Arial" w:eastAsia="Arial" w:hAnsi="Arial"/>
                <w:sz w:val="18"/>
                <w:szCs w:val="18"/>
                <w:color w:val="0000EE"/>
                <w:w w:val="97"/>
              </w:rPr>
              <w:t>INDEX TO FINANCIAL STATEMENTS</w:t>
            </w:r>
          </w:p>
        </w:tc>
        <w:tc>
          <w:tcPr>
            <w:tcW w:w="3700" w:type="dxa"/>
            <w:vAlign w:val="bottom"/>
            <w:gridSpan w:val="10"/>
          </w:tcPr>
          <w:p>
            <w:pPr>
              <w:spacing w:after="0"/>
              <w:rPr>
                <w:sz w:val="17"/>
                <w:szCs w:val="17"/>
                <w:color w:val="auto"/>
              </w:rPr>
            </w:pPr>
          </w:p>
        </w:tc>
        <w:tc>
          <w:tcPr>
            <w:tcW w:w="1360" w:type="dxa"/>
            <w:vAlign w:val="bottom"/>
          </w:tcPr>
          <w:p>
            <w:pPr>
              <w:ind w:left="920"/>
              <w:spacing w:after="0" w:line="202" w:lineRule="exact"/>
              <w:rPr>
                <w:sz w:val="20"/>
                <w:szCs w:val="20"/>
                <w:color w:val="auto"/>
              </w:rPr>
            </w:pPr>
            <w:r>
              <w:rPr>
                <w:rFonts w:ascii="Arial" w:cs="Arial" w:eastAsia="Arial" w:hAnsi="Arial"/>
                <w:sz w:val="18"/>
                <w:szCs w:val="18"/>
                <w:color w:val="auto"/>
              </w:rPr>
              <w:t>F-1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Our registration of the securities covered by this prospectus does not mean that either we or the Holder will issue, offer or sell, as applicable, any of the securities registered hereunder. Under this registration statement,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14,301,448 shares of Class A Common Stock, which will fluctuate based on the market price of our shares of Class A Common Stock at the time we elect to sell shares to Cantor pursuant to the terms of the Purchase Agreement, after the date of this prospectus.</w:t>
      </w:r>
    </w:p>
    <w:p>
      <w:pPr>
        <w:spacing w:after="0" w:line="11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10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described in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Unless otherwise stated in this prospectus, the terms, “we,” “us,” “our” “the Company” or “SoundHound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AI” refer to, a Delaware corporation. Further, in this document:</w:t>
      </w:r>
    </w:p>
    <w:p>
      <w:pPr>
        <w:spacing w:after="0" w:line="143" w:lineRule="exact"/>
        <w:rPr>
          <w:sz w:val="20"/>
          <w:szCs w:val="20"/>
          <w:color w:val="auto"/>
        </w:rPr>
      </w:pPr>
    </w:p>
    <w:p>
      <w:pPr>
        <w:jc w:val="both"/>
        <w:ind w:left="1320" w:right="479" w:hanging="434"/>
        <w:spacing w:after="0" w:line="286" w:lineRule="auto"/>
        <w:tabs>
          <w:tab w:leader="none" w:pos="1315" w:val="left"/>
        </w:tabs>
        <w:numPr>
          <w:ilvl w:val="0"/>
          <w:numId w:val="1"/>
        </w:numPr>
        <w:rPr>
          <w:rFonts w:ascii="Arial" w:cs="Arial" w:eastAsia="Arial" w:hAnsi="Arial"/>
          <w:sz w:val="17"/>
          <w:szCs w:val="17"/>
          <w:color w:val="auto"/>
        </w:rPr>
      </w:pPr>
      <w:r>
        <w:rPr>
          <w:rFonts w:ascii="Arial" w:cs="Arial" w:eastAsia="Arial" w:hAnsi="Arial"/>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84" w:lineRule="exact"/>
        <w:rPr>
          <w:rFonts w:ascii="Arial" w:cs="Arial" w:eastAsia="Arial" w:hAnsi="Arial"/>
          <w:sz w:val="17"/>
          <w:szCs w:val="17"/>
          <w:color w:val="auto"/>
        </w:rPr>
      </w:pPr>
    </w:p>
    <w:p>
      <w:pPr>
        <w:ind w:left="1320" w:right="479" w:hanging="434"/>
        <w:spacing w:after="0" w:line="277"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“Amended Bylaws” means the Amended &amp; Restated Bylaws of the Company, which took effect upon the effectiveness of the Amended Charter.</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“ATSP” means Archimedes Tech SPAC Partners Co.</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“Business Combination” means the merger consummated pursuant to the Merger Agreement.</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“Class A Common Stock” or “Class A Shares” mean the Class A common stock, $0.0001 par value per share,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93" w:lineRule="auto"/>
        <w:tabs>
          <w:tab w:leader="none" w:pos="1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96" w:lineRule="exact"/>
        <w:rPr>
          <w:rFonts w:ascii="Arial" w:cs="Arial" w:eastAsia="Arial" w:hAnsi="Arial"/>
          <w:sz w:val="16"/>
          <w:szCs w:val="16"/>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“Continental” means Continental Stock Transfer &amp; Trust Company, our transfer agent and warrant agent.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“Founder Shares” means the 3,325,000 outstanding shares of common stock of ATSP initially purchased by the Sponsor for an aggregate purchase price of $25,000 on January 4, 2021.</w:t>
      </w:r>
    </w:p>
    <w:p>
      <w:pPr>
        <w:spacing w:after="0" w:line="78" w:lineRule="exact"/>
        <w:rPr>
          <w:rFonts w:ascii="Arial" w:cs="Arial" w:eastAsia="Arial" w:hAnsi="Arial"/>
          <w:sz w:val="17"/>
          <w:szCs w:val="17"/>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w:t>
      </w:r>
    </w:p>
    <w:p>
      <w:pPr>
        <w:spacing w:after="0" w:line="144" w:lineRule="exact"/>
        <w:rPr>
          <w:rFonts w:ascii="Arial" w:cs="Arial" w:eastAsia="Arial" w:hAnsi="Arial"/>
          <w:sz w:val="18"/>
          <w:szCs w:val="18"/>
          <w:color w:val="auto"/>
        </w:rPr>
      </w:pPr>
    </w:p>
    <w:p>
      <w:pPr>
        <w:ind w:left="1320" w:right="459" w:hanging="434"/>
        <w:spacing w:after="0" w:line="308" w:lineRule="auto"/>
        <w:tabs>
          <w:tab w:leader="none" w:pos="1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“Initial Stockholders” means the Sponsor and other initial holders of common stock of ATSP and Private Units, excluding the holders of the representative shares issued to EarlyBirdCapital, Inc.</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“IPO” refers to the initial public offering of 13,300,000 Units of the Company consummated in March 2021, inclusive of the partial exercise of the over-allotment option.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“IRS” means the United States Internal Revenue Service.</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SoundHound” means SoundHound, Inc., prior to the consummation of the Business Combination.</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“Merger Agreement” means that certain Merger Agreement, dated as of November 15, 2021, by and among ATSP, ATSPC Merger Sub and SoundHound, Inc., as it may be amended or supplemented.</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“Organizational Documents” means organizational or governing documents of an applicable entity.</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“Sponsor” means Archimedes Tech SPAC Sponsors LLC.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00" w:lineRule="exact"/>
        <w:rPr>
          <w:sz w:val="20"/>
          <w:szCs w:val="20"/>
          <w:color w:val="auto"/>
        </w:rPr>
      </w:pPr>
    </w:p>
    <w:p>
      <w:pPr>
        <w:ind w:left="1320" w:right="479" w:hanging="434"/>
        <w:spacing w:after="0" w:line="308" w:lineRule="auto"/>
        <w:tabs>
          <w:tab w:leader="none" w:pos="1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execution of our business strategy, including launching new product offerings and expanding information and technology capabilities, particularly following our recent restructuring efforts;</w:t>
      </w:r>
    </w:p>
    <w:p>
      <w:pPr>
        <w:spacing w:after="0" w:line="78" w:lineRule="exact"/>
        <w:rPr>
          <w:rFonts w:ascii="Arial" w:cs="Arial" w:eastAsia="Arial" w:hAnsi="Arial"/>
          <w:sz w:val="17"/>
          <w:szCs w:val="17"/>
          <w:color w:val="auto"/>
        </w:rPr>
      </w:pPr>
    </w:p>
    <w:p>
      <w:pPr>
        <w:ind w:left="1320" w:hanging="43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market opportunity and our ability to acquire new customers and retain existing customers;</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SoundHound AI to protect intellectual property and trade secrets;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 on terms that are acceptable to SoundHound AI, if at all, particularly in light of inflationary pressures and resulting increases in the cost of borrowing;</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securities on the Nasdaq Global Market;</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and extensive and evolving government regulations that impact the Company’s operations and business;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SoundHound AI customers to use competitors’ services;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or any similar public health developments on SoundHound AI’s business;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uncertainty of our estimates of market opportunity and forecasts of market growth;</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SoundHound AI may be adversely affected by other economic, business, and/or competitive factors;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risks and uncertainties described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15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87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and Deep Meaning Understanding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technologies developed over the past 17 years, our advanced Voice AI platform provides exceptional speed and accuracy.</w:t>
      </w:r>
    </w:p>
    <w:p>
      <w:pPr>
        <w:spacing w:after="0" w:line="79"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9"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3"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SoundHound AI’s technology is currently being used globally by customers that include Hyundai, Mercedes-Benz, Pandora, Snap, VIZIO, Square, Toast, Oracle, KIA, and Stellantis. We have seen significant inflection in customer adoption of our technology, as measured through activity on our Houndify platform, which surpassed 1 billion annual queries in 2021 and experienced over 85% growth during 2022.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45% year over year each fiscal year over the past four years.</w:t>
      </w:r>
    </w:p>
    <w:p>
      <w:pPr>
        <w:spacing w:after="0" w:line="167"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We support our customers by providing them access to Houndify</w:t>
      </w:r>
      <w:r>
        <w:rPr>
          <w:rFonts w:ascii="Arial" w:cs="Arial" w:eastAsia="Arial" w:hAnsi="Arial"/>
          <w:sz w:val="18"/>
          <w:szCs w:val="18"/>
          <w:color w:val="auto"/>
          <w:vertAlign w:val="superscript"/>
        </w:rPr>
        <w:t>®</w:t>
      </w:r>
      <w:r>
        <w:rPr>
          <w:rFonts w:ascii="Arial" w:cs="Arial" w:eastAsia="Arial" w:hAnsi="Arial"/>
          <w:sz w:val="16"/>
          <w:szCs w:val="16"/>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18" w:lineRule="exact"/>
        <w:rPr>
          <w:sz w:val="20"/>
          <w:szCs w:val="20"/>
          <w:color w:val="auto"/>
        </w:rPr>
      </w:pPr>
    </w:p>
    <w:p>
      <w:pPr>
        <w:jc w:val="both"/>
        <w:ind w:left="540" w:right="559"/>
        <w:spacing w:after="0" w:line="250" w:lineRule="auto"/>
        <w:rPr>
          <w:sz w:val="20"/>
          <w:szCs w:val="20"/>
          <w:color w:val="auto"/>
        </w:rPr>
      </w:pPr>
      <w:r>
        <w:rPr>
          <w:rFonts w:ascii="Arial" w:cs="Arial" w:eastAsia="Arial" w:hAnsi="Arial"/>
          <w:sz w:val="18"/>
          <w:szCs w:val="18"/>
          <w:color w:val="auto"/>
        </w:rPr>
        <w:t>Collective AI</w:t>
      </w:r>
      <w:r>
        <w:rPr>
          <w:rFonts w:ascii="Arial" w:cs="Arial" w:eastAsia="Arial" w:hAnsi="Arial"/>
          <w:sz w:val="20"/>
          <w:szCs w:val="20"/>
          <w:color w:val="auto"/>
          <w:vertAlign w:val="superscript"/>
        </w:rPr>
        <w:t>®</w:t>
      </w:r>
      <w:r>
        <w:rPr>
          <w:rFonts w:ascii="Arial" w:cs="Arial" w:eastAsia="Arial" w:hAnsi="Arial"/>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27"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Our technology is backed by SoundHound AI’s investments in intellectual property, with over 120 patents granted and over 140 patents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74" w:right="1440" w:bottom="1440" w:gutter="0" w:footer="0" w:header="0"/>
          <w:type w:val="continuous"/>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56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7566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Mission</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Opportunity</w:t>
      </w:r>
    </w:p>
    <w:p>
      <w:pPr>
        <w:spacing w:after="0" w:line="162"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Industry sources predict that 90% of new vehicles globally will have voice assistants by 2028 and that there will be 75 billion connected devices worldwide by 2025. The number of devices with their own voice assistant is expected to surpass the world’s population within four years.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Vision</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Products</w:t>
      </w:r>
    </w:p>
    <w:p>
      <w:pPr>
        <w:spacing w:after="0" w:line="162" w:lineRule="exact"/>
        <w:rPr>
          <w:sz w:val="20"/>
          <w:szCs w:val="20"/>
          <w:color w:val="auto"/>
        </w:rPr>
      </w:pPr>
    </w:p>
    <w:p>
      <w:pPr>
        <w:jc w:val="both"/>
        <w:ind w:left="540" w:right="559" w:firstLine="432"/>
        <w:spacing w:after="0" w:line="271" w:lineRule="auto"/>
        <w:rPr>
          <w:sz w:val="20"/>
          <w:szCs w:val="20"/>
          <w:color w:val="auto"/>
        </w:rPr>
      </w:pPr>
      <w:r>
        <w:rPr>
          <w:rFonts w:ascii="Arial" w:cs="Arial" w:eastAsia="Arial" w:hAnsi="Arial"/>
          <w:sz w:val="17"/>
          <w:szCs w:val="17"/>
          <w:i w:val="1"/>
          <w:iCs w:val="1"/>
          <w:color w:val="auto"/>
        </w:rPr>
        <w:t xml:space="preserve">Houndify platform, SoundHound Ai’s Voice AI platform, </w:t>
      </w:r>
      <w:r>
        <w:rPr>
          <w:rFonts w:ascii="Arial" w:cs="Arial" w:eastAsia="Arial" w:hAnsi="Arial"/>
          <w:sz w:val="17"/>
          <w:szCs w:val="17"/>
          <w:color w:val="auto"/>
        </w:rPr>
        <w:t>combines advanced AI with engineering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11"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i w:val="1"/>
          <w:iCs w:val="1"/>
          <w:color w:val="auto"/>
        </w:rPr>
        <w:t xml:space="preserve">Automatic Speech Recognition, </w:t>
      </w:r>
      <w:r>
        <w:rPr>
          <w:rFonts w:ascii="Arial" w:cs="Arial" w:eastAsia="Arial" w:hAnsi="Arial"/>
          <w:sz w:val="18"/>
          <w:szCs w:val="18"/>
          <w:color w:val="auto"/>
        </w:rPr>
        <w:t>our highly optimized, tunable, and scalable ASR engine, supports</w:t>
      </w:r>
      <w:r>
        <w:rPr>
          <w:rFonts w:ascii="Arial" w:cs="Arial" w:eastAsia="Arial" w:hAnsi="Arial"/>
          <w:sz w:val="18"/>
          <w:szCs w:val="18"/>
          <w:i w:val="1"/>
          <w:iCs w:val="1"/>
          <w:color w:val="auto"/>
        </w:rPr>
        <w:t xml:space="preserve"> </w:t>
      </w:r>
      <w:r>
        <w:rPr>
          <w:rFonts w:ascii="Arial" w:cs="Arial" w:eastAsia="Arial" w:hAnsi="Arial"/>
          <w:sz w:val="18"/>
          <w:szCs w:val="18"/>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11" w:lineRule="exact"/>
        <w:rPr>
          <w:sz w:val="20"/>
          <w:szCs w:val="20"/>
          <w:color w:val="auto"/>
        </w:rPr>
      </w:pPr>
    </w:p>
    <w:p>
      <w:pPr>
        <w:jc w:val="both"/>
        <w:ind w:left="540" w:right="559" w:firstLine="432"/>
        <w:spacing w:after="0" w:line="268" w:lineRule="auto"/>
        <w:rPr>
          <w:sz w:val="20"/>
          <w:szCs w:val="20"/>
          <w:color w:val="auto"/>
        </w:rPr>
      </w:pPr>
      <w:r>
        <w:rPr>
          <w:rFonts w:ascii="Arial" w:cs="Arial" w:eastAsia="Arial" w:hAnsi="Arial"/>
          <w:sz w:val="17"/>
          <w:szCs w:val="17"/>
          <w:i w:val="1"/>
          <w:iCs w:val="1"/>
          <w:color w:val="auto"/>
        </w:rPr>
        <w:t>Natural Language Understanding (“NLU”)</w:t>
      </w:r>
      <w:r>
        <w:rPr>
          <w:rFonts w:ascii="Arial" w:cs="Arial" w:eastAsia="Arial" w:hAnsi="Arial"/>
          <w:sz w:val="17"/>
          <w:szCs w:val="17"/>
          <w:color w:val="auto"/>
        </w:rPr>
        <w:t>,</w:t>
      </w:r>
      <w:r>
        <w:rPr>
          <w:rFonts w:ascii="Arial" w:cs="Arial" w:eastAsia="Arial" w:hAnsi="Arial"/>
          <w:sz w:val="17"/>
          <w:szCs w:val="17"/>
          <w:i w:val="1"/>
          <w:iCs w:val="1"/>
          <w:color w:val="auto"/>
        </w:rPr>
        <w:t xml:space="preserve"> o</w:t>
      </w:r>
      <w:r>
        <w:rPr>
          <w:rFonts w:ascii="Arial" w:cs="Arial" w:eastAsia="Arial" w:hAnsi="Arial"/>
          <w:sz w:val="17"/>
          <w:szCs w:val="17"/>
          <w:color w:val="auto"/>
        </w:rPr>
        <w:t>ur proprietary Speech-to-Meaning technology, tracks</w:t>
      </w:r>
      <w:r>
        <w:rPr>
          <w:rFonts w:ascii="Arial" w:cs="Arial" w:eastAsia="Arial" w:hAnsi="Arial"/>
          <w:sz w:val="17"/>
          <w:szCs w:val="17"/>
          <w:i w:val="1"/>
          <w:iCs w:val="1"/>
          <w:color w:val="auto"/>
        </w:rPr>
        <w:t xml:space="preserve"> </w:t>
      </w:r>
      <w:r>
        <w:rPr>
          <w:rFonts w:ascii="Arial" w:cs="Arial" w:eastAsia="Arial" w:hAnsi="Arial"/>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76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i w:val="1"/>
          <w:iCs w:val="1"/>
          <w:color w:val="auto"/>
        </w:rPr>
        <w:t xml:space="preserve">Wake Words </w:t>
      </w:r>
      <w:r>
        <w:rPr>
          <w:rFonts w:ascii="Arial" w:cs="Arial" w:eastAsia="Arial" w:hAnsi="Arial"/>
          <w:sz w:val="18"/>
          <w:szCs w:val="18"/>
          <w:color w:val="auto"/>
        </w:rPr>
        <w:t>are the entry point into branded voice experiences, allowing users to invoke the assistant</w:t>
      </w:r>
      <w:r>
        <w:rPr>
          <w:rFonts w:ascii="Arial" w:cs="Arial" w:eastAsia="Arial" w:hAnsi="Arial"/>
          <w:sz w:val="18"/>
          <w:szCs w:val="18"/>
          <w:i w:val="1"/>
          <w:iCs w:val="1"/>
          <w:color w:val="auto"/>
        </w:rPr>
        <w:t xml:space="preserve"> </w:t>
      </w:r>
      <w:r>
        <w:rPr>
          <w:rFonts w:ascii="Arial" w:cs="Arial" w:eastAsia="Arial" w:hAnsi="Arial"/>
          <w:sz w:val="18"/>
          <w:szCs w:val="18"/>
          <w:color w:val="auto"/>
        </w:rPr>
        <w:t>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25"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i w:val="1"/>
          <w:iCs w:val="1"/>
          <w:color w:val="auto"/>
        </w:rPr>
        <w:t xml:space="preserve">Custom Domains, </w:t>
      </w:r>
      <w:r>
        <w:rPr>
          <w:rFonts w:ascii="Arial" w:cs="Arial" w:eastAsia="Arial" w:hAnsi="Arial"/>
          <w:sz w:val="17"/>
          <w:szCs w:val="17"/>
          <w:color w:val="auto"/>
        </w:rPr>
        <w:t>a library of over 100 public domains, is available with a free Houndify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01" w:lineRule="exact"/>
        <w:rPr>
          <w:sz w:val="20"/>
          <w:szCs w:val="20"/>
          <w:color w:val="auto"/>
        </w:rPr>
      </w:pPr>
    </w:p>
    <w:p>
      <w:pPr>
        <w:jc w:val="both"/>
        <w:ind w:left="540" w:right="559" w:firstLine="432"/>
        <w:spacing w:after="0" w:line="296" w:lineRule="auto"/>
        <w:rPr>
          <w:sz w:val="20"/>
          <w:szCs w:val="20"/>
          <w:color w:val="auto"/>
        </w:rPr>
      </w:pPr>
      <w:r>
        <w:rPr>
          <w:rFonts w:ascii="Arial" w:cs="Arial" w:eastAsia="Arial" w:hAnsi="Arial"/>
          <w:sz w:val="16"/>
          <w:szCs w:val="16"/>
          <w:i w:val="1"/>
          <w:iCs w:val="1"/>
          <w:color w:val="auto"/>
        </w:rPr>
        <w:t xml:space="preserve">Text-to-speech (“TTS”). </w:t>
      </w:r>
      <w:r>
        <w:rPr>
          <w:rFonts w:ascii="Arial" w:cs="Arial" w:eastAsia="Arial" w:hAnsi="Arial"/>
          <w:sz w:val="16"/>
          <w:szCs w:val="16"/>
          <w:color w:val="auto"/>
        </w:rPr>
        <w:t>A high-quality TTS helps companies create a unique voice that differentiates</w:t>
      </w:r>
      <w:r>
        <w:rPr>
          <w:rFonts w:ascii="Arial" w:cs="Arial" w:eastAsia="Arial" w:hAnsi="Arial"/>
          <w:sz w:val="16"/>
          <w:szCs w:val="16"/>
          <w:i w:val="1"/>
          <w:iCs w:val="1"/>
          <w:color w:val="auto"/>
        </w:rPr>
        <w:t xml:space="preserve"> </w:t>
      </w:r>
      <w:r>
        <w:rPr>
          <w:rFonts w:ascii="Arial" w:cs="Arial" w:eastAsia="Arial" w:hAnsi="Arial"/>
          <w:sz w:val="16"/>
          <w:szCs w:val="16"/>
          <w:color w:val="auto"/>
        </w:rPr>
        <w:t>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94"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i w:val="1"/>
          <w:iCs w:val="1"/>
          <w:color w:val="auto"/>
        </w:rPr>
        <w:t xml:space="preserve">Edge (Embedded) </w:t>
      </w:r>
      <w:r>
        <w:rPr>
          <w:rFonts w:ascii="Arial" w:cs="Arial" w:eastAsia="Arial" w:hAnsi="Arial"/>
          <w:sz w:val="18"/>
          <w:szCs w:val="18"/>
          <w:color w:val="auto"/>
        </w:rPr>
        <w:t>is a fully-embedded voice solution for brands seeking the convenience of a voice</w:t>
      </w:r>
      <w:r>
        <w:rPr>
          <w:rFonts w:ascii="Arial" w:cs="Arial" w:eastAsia="Arial" w:hAnsi="Arial"/>
          <w:sz w:val="18"/>
          <w:szCs w:val="18"/>
          <w:i w:val="1"/>
          <w:iCs w:val="1"/>
          <w:color w:val="auto"/>
        </w:rPr>
        <w:t xml:space="preserve"> </w:t>
      </w:r>
      <w:r>
        <w:rPr>
          <w:rFonts w:ascii="Arial" w:cs="Arial" w:eastAsia="Arial" w:hAnsi="Arial"/>
          <w:sz w:val="18"/>
          <w:szCs w:val="18"/>
          <w:color w:val="auto"/>
        </w:rPr>
        <w:t>user interface without the privacy or connectivity concerns of the internet. Edge includes full access to custom commands and the ability to instantly update commands during development.</w:t>
      </w:r>
    </w:p>
    <w:p>
      <w:pPr>
        <w:spacing w:after="0" w:line="116"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Houndify Edge Hybrid</w:t>
      </w:r>
      <w:r>
        <w:rPr>
          <w:rFonts w:ascii="Arial" w:cs="Arial" w:eastAsia="Arial" w:hAnsi="Arial"/>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Advantage</w:t>
      </w:r>
    </w:p>
    <w:p>
      <w:pPr>
        <w:spacing w:after="0" w:line="148"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01" w:lineRule="exact"/>
        <w:rPr>
          <w:sz w:val="20"/>
          <w:szCs w:val="20"/>
          <w:color w:val="auto"/>
        </w:rPr>
      </w:pPr>
    </w:p>
    <w:p>
      <w:pPr>
        <w:jc w:val="both"/>
        <w:ind w:left="540" w:right="559" w:firstLine="432"/>
        <w:spacing w:after="0" w:line="301" w:lineRule="auto"/>
        <w:rPr>
          <w:sz w:val="20"/>
          <w:szCs w:val="20"/>
          <w:color w:val="auto"/>
        </w:rPr>
      </w:pPr>
      <w:r>
        <w:rPr>
          <w:rFonts w:ascii="Arial" w:cs="Arial" w:eastAsia="Arial" w:hAnsi="Arial"/>
          <w:sz w:val="16"/>
          <w:szCs w:val="16"/>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Revenue Model</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82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This involves voice-enabling a product. The product creator pays us a royalty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volume, usage, or duration. SoundHound AI collects royalties when Houndify is integrated into a product such as a car, smart speaker, or appliance.</w:t>
      </w:r>
    </w:p>
    <w:p>
      <w:pPr>
        <w:spacing w:after="0" w:line="76"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i w:val="1"/>
          <w:iCs w:val="1"/>
          <w:color w:val="auto"/>
        </w:rPr>
        <w:t xml:space="preserve">Subscription: </w:t>
      </w:r>
      <w:r>
        <w:rPr>
          <w:rFonts w:ascii="Arial" w:cs="Arial" w:eastAsia="Arial" w:hAnsi="Arial"/>
          <w:sz w:val="18"/>
          <w:szCs w:val="18"/>
          <w:color w:val="auto"/>
        </w:rPr>
        <w:t>This involves voice-enabling a service that doesn’t rely on a physical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Examples include when SoundHound AI enables customer service or food ordering for restaurants or content management, appointments, or voice commerce, we generate subscription revenue from the service providers.</w:t>
      </w:r>
    </w:p>
    <w:p>
      <w:pPr>
        <w:spacing w:after="0" w:line="79"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i w:val="1"/>
          <w:iCs w:val="1"/>
          <w:color w:val="auto"/>
        </w:rPr>
        <w:t xml:space="preserve">Monetization: </w:t>
      </w:r>
      <w:r>
        <w:rPr>
          <w:rFonts w:ascii="Arial" w:cs="Arial" w:eastAsia="Arial" w:hAnsi="Arial"/>
          <w:sz w:val="18"/>
          <w:szCs w:val="18"/>
          <w:color w:val="auto"/>
        </w:rPr>
        <w:t>This pillar creates an ecosystem that enables monetization services in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December 31,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Sales and Marketing</w:t>
      </w:r>
    </w:p>
    <w:p>
      <w:pPr>
        <w:spacing w:after="0" w:line="121"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and experienced over 85% growth during 2022. Information provided to us by our strategic partners suggests that our customers’ products have a reach of over a billion users. Our sales and marketing efforts may be impacted by our Restructuring Plan, see “</w:t>
      </w:r>
      <w:r>
        <w:rPr>
          <w:rFonts w:ascii="Arial" w:cs="Arial" w:eastAsia="Arial" w:hAnsi="Arial"/>
          <w:sz w:val="17"/>
          <w:szCs w:val="17"/>
          <w:i w:val="1"/>
          <w:iCs w:val="1"/>
          <w:color w:val="auto"/>
        </w:rPr>
        <w:t>Prospectus Summary — Recent Developments</w:t>
      </w:r>
      <w:r>
        <w:rPr>
          <w:rFonts w:ascii="Arial" w:cs="Arial" w:eastAsia="Arial" w:hAnsi="Arial"/>
          <w:sz w:val="17"/>
          <w:szCs w:val="17"/>
          <w:color w:val="auto"/>
        </w:rPr>
        <w:t>” herein.</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Intellectual Property</w:t>
      </w:r>
    </w:p>
    <w:p>
      <w:pPr>
        <w:spacing w:after="0" w:line="121"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SoundHound AI’s intellectual property portfolio includes over 120 patents granted and over 140 patents pending. These patents cover areas such as speech recognition, natural language understanding, machine learning, human interfaces, and others, including monetization and advertising. Out of our over 260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Restructuring Plan</w:t>
      </w:r>
    </w:p>
    <w:p>
      <w:pPr>
        <w:spacing w:after="0" w:line="15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On January 5, 2023, SoundHound AI announced a restructuring plan (the “Restructuring Plan”) intended to reduce operating costs, improve operating margins, improve cash flows and accelerate SoundHound AI’s path to profitability. The Restructuring Plan includes a reduction of SoundHound AI’s current workforce by approximately 40% and select office space reductions within certain markets. Decisions regarding the elimination of employees are subject to local law and consultation requirements in certain countries, as well as SoundHound AI’s business needs.</w:t>
      </w:r>
    </w:p>
    <w:p>
      <w:pPr>
        <w:spacing w:after="0" w:line="125"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pacing w:after="0" w:line="96"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ectPr>
          <w:pgSz w:w="11900" w:h="16838" w:orient="portrait"/>
          <w:cols w:equalWidth="0" w:num="1">
            <w:col w:w="9019"/>
          </w:cols>
          <w:pgMar w:left="1440" w:top="274" w:right="1440" w:bottom="1440" w:gutter="0" w:footer="0" w:header="0"/>
          <w:type w:val="continuous"/>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13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Financing</w:t>
      </w:r>
    </w:p>
    <w:p>
      <w:pPr>
        <w:spacing w:after="0" w:line="158"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113"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85"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07"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6"/>
          <w:szCs w:val="16"/>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ectPr>
          <w:pgSz w:w="11900" w:h="16838" w:orient="portrait"/>
          <w:cols w:equalWidth="0" w:num="1">
            <w:col w:w="9019"/>
          </w:cols>
          <w:pgMar w:left="1440" w:top="274" w:right="1440" w:bottom="1440" w:gutter="0" w:footer="0" w:header="0"/>
          <w:type w:val="continuous"/>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8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Public Offering</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Combination</w:t>
      </w:r>
    </w:p>
    <w:p>
      <w:pPr>
        <w:spacing w:after="0" w:line="148"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described in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62"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81" w:lineRule="exact"/>
        <w:rPr>
          <w:sz w:val="20"/>
          <w:szCs w:val="20"/>
          <w:color w:val="auto"/>
        </w:rPr>
      </w:pPr>
    </w:p>
    <w:p>
      <w:pPr>
        <w:jc w:val="both"/>
        <w:ind w:left="1400" w:right="559" w:hanging="424"/>
        <w:spacing w:after="0" w:line="263" w:lineRule="auto"/>
        <w:tabs>
          <w:tab w:leader="none" w:pos="1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 in our periodic reports, registration statements and proxy statements; and</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exemptions from the requirements to seek non-binding advisory votes on executive compensation or golden parachute arrangements.</w:t>
      </w:r>
    </w:p>
    <w:p>
      <w:pPr>
        <w:spacing w:after="0" w:line="89"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2" w:lineRule="exact"/>
        <w:rPr>
          <w:sz w:val="20"/>
          <w:szCs w:val="20"/>
          <w:color w:val="auto"/>
        </w:rPr>
      </w:pPr>
    </w:p>
    <w:p>
      <w:pPr>
        <w:jc w:val="both"/>
        <w:ind w:left="540" w:right="559" w:firstLine="4"/>
        <w:spacing w:after="0" w:line="255" w:lineRule="auto"/>
        <w:tabs>
          <w:tab w:leader="none" w:pos="7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completion of our IPO, (ii) the last day of the first fiscal year in which our annual gross revenues exceed $1.235 billion, (iii) the date on which we have, during the immediately preceding</w:t>
      </w:r>
    </w:p>
    <w:p>
      <w:pPr>
        <w:sectPr>
          <w:pgSz w:w="11900" w:h="16838" w:orient="portrait"/>
          <w:cols w:equalWidth="0" w:num="1">
            <w:col w:w="9019"/>
          </w:cols>
          <w:pgMar w:left="1440" w:top="274" w:right="1440"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13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27"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Risks Factors</w:t>
      </w:r>
    </w:p>
    <w:p>
      <w:pPr>
        <w:spacing w:after="0" w:line="14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15 of this prospectus. These risks include, but are not limited to, the following: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the Committed Equity Financing</w:t>
      </w:r>
    </w:p>
    <w:p>
      <w:pPr>
        <w:spacing w:after="0" w:line="158" w:lineRule="exact"/>
        <w:rPr>
          <w:sz w:val="20"/>
          <w:szCs w:val="20"/>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not possible to predict the actual number of shares of Class A Common Stock, if any, we will sell under the Purchase Agreement to Cantor, or the actual gross proceeds resulting from those sales.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Investors who buy shares of Class A Common Stock from the Holder at different times will likely pay different prices.</w:t>
      </w:r>
    </w:p>
    <w:p>
      <w:pPr>
        <w:spacing w:after="0" w:line="89"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116"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use proceeds from sales of shares of our Class A Common Stock made pursuant to the Purchase Agreement in ways with which you may not agree or in ways which may not yield a significant return.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SoundHound AI’s Business</w:t>
      </w:r>
    </w:p>
    <w:p>
      <w:pPr>
        <w:spacing w:after="0" w:line="158" w:lineRule="exact"/>
        <w:rPr>
          <w:sz w:val="20"/>
          <w:szCs w:val="20"/>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Voice AI market is a relatively new and rapidly changing market, and we may be unable to compete successfully.</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SoundHound AI does not maintain a customer base that will generate a recurring stream of revenues, its operating results may be adversely affected.</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SoundHound AI fails to grow its business as anticipated, particularly in light of the Restructuring Plan, its revenues and gross margin will be adversely affected.</w:t>
      </w:r>
    </w:p>
    <w:p>
      <w:pPr>
        <w:spacing w:after="0" w:line="102" w:lineRule="exact"/>
        <w:rPr>
          <w:rFonts w:ascii="Arial" w:cs="Arial" w:eastAsia="Arial" w:hAnsi="Arial"/>
          <w:sz w:val="18"/>
          <w:szCs w:val="18"/>
          <w:color w:val="auto"/>
        </w:rPr>
      </w:pPr>
    </w:p>
    <w:p>
      <w:pPr>
        <w:jc w:val="both"/>
        <w:ind w:left="1400" w:right="559" w:hanging="424"/>
        <w:spacing w:after="0" w:line="311" w:lineRule="auto"/>
        <w:tabs>
          <w:tab w:leader="none" w:pos="13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67" w:lineRule="exact"/>
        <w:rPr>
          <w:rFonts w:ascii="Arial" w:cs="Arial" w:eastAsia="Arial" w:hAnsi="Arial"/>
          <w:sz w:val="16"/>
          <w:szCs w:val="16"/>
          <w:color w:val="auto"/>
        </w:rPr>
      </w:pPr>
    </w:p>
    <w:p>
      <w:pPr>
        <w:jc w:val="both"/>
        <w:ind w:left="1400" w:right="55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alleged failure to comply with data privacy laws and regulations could damage SoundHound AI’s reputation, result in government action and have an adverse impact on its operating results.</w:t>
      </w:r>
    </w:p>
    <w:p>
      <w:pPr>
        <w:spacing w:after="0" w:line="116"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attract and retain key personnel in the future, particularly in light of our Restructuring Plan, could harm SoundHound AI’s business and negatively affect our ability to successfully grow our business.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450469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SoundHound AI’s use of open source technology could impose limitations on its ability to commercialize its software.</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Unauthorized use of SoundHound AI’s proprietary technology and intellectual property could adversely affect its business and results of operations.</w:t>
      </w:r>
    </w:p>
    <w:p>
      <w:pPr>
        <w:spacing w:after="0" w:line="89" w:lineRule="exact"/>
        <w:rPr>
          <w:rFonts w:ascii="Arial" w:cs="Arial" w:eastAsia="Arial" w:hAnsi="Arial"/>
          <w:sz w:val="18"/>
          <w:szCs w:val="18"/>
          <w:color w:val="auto"/>
        </w:rPr>
      </w:pPr>
    </w:p>
    <w:p>
      <w:pPr>
        <w:jc w:val="both"/>
        <w:ind w:left="1400" w:right="559" w:hanging="424"/>
        <w:spacing w:after="0" w:line="286" w:lineRule="auto"/>
        <w:tabs>
          <w:tab w:leader="none" w:pos="1395"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97" w:lineRule="exact"/>
        <w:rPr>
          <w:rFonts w:ascii="Arial" w:cs="Arial" w:eastAsia="Arial" w:hAnsi="Arial"/>
          <w:sz w:val="17"/>
          <w:szCs w:val="17"/>
          <w:color w:val="auto"/>
        </w:rPr>
      </w:pPr>
    </w:p>
    <w:p>
      <w:pPr>
        <w:jc w:val="both"/>
        <w:ind w:left="1400" w:right="55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continuation or worsening of the COVID-19 pandemic, or other similar public health developments, could have an adverse effect on business, results of operations, and financial condition.</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management has limited experience in operating a public company.</w:t>
      </w:r>
    </w:p>
    <w:p>
      <w:pPr>
        <w:spacing w:after="0" w:line="144" w:lineRule="exact"/>
        <w:rPr>
          <w:rFonts w:ascii="Arial" w:cs="Arial" w:eastAsia="Arial" w:hAnsi="Arial"/>
          <w:sz w:val="18"/>
          <w:szCs w:val="18"/>
          <w:color w:val="auto"/>
        </w:rPr>
      </w:pPr>
    </w:p>
    <w:p>
      <w:pPr>
        <w:jc w:val="both"/>
        <w:ind w:left="1400" w:right="559" w:hanging="424"/>
        <w:spacing w:after="0" w:line="263"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an uncertain regulatory environment and may from time to time be subject to governmental investigations or other inquiries by state, federal and local governmental authorities.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Securities</w:t>
      </w:r>
    </w:p>
    <w:p>
      <w:pPr>
        <w:spacing w:after="0" w:line="158" w:lineRule="exact"/>
        <w:rPr>
          <w:sz w:val="20"/>
          <w:szCs w:val="20"/>
          <w:color w:val="auto"/>
        </w:rPr>
      </w:pPr>
    </w:p>
    <w:p>
      <w:pPr>
        <w:ind w:left="1400" w:right="5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securities is likely to be highly volatile, and you may lose some or all of your investment.</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our share price could subject us to securities class action litigation.</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ind w:left="540" w:right="559" w:firstLine="432"/>
        <w:spacing w:after="0" w:line="301" w:lineRule="auto"/>
        <w:rPr>
          <w:sz w:val="20"/>
          <w:szCs w:val="20"/>
          <w:color w:val="auto"/>
        </w:rPr>
      </w:pPr>
      <w:r>
        <w:rPr>
          <w:rFonts w:ascii="Arial" w:cs="Arial" w:eastAsia="Arial" w:hAnsi="Arial"/>
          <w:sz w:val="16"/>
          <w:szCs w:val="16"/>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Arial" w:cs="Arial" w:eastAsia="Arial" w:hAnsi="Arial"/>
          <w:sz w:val="16"/>
          <w:szCs w:val="16"/>
          <w:i w:val="1"/>
          <w:iCs w:val="1"/>
          <w:color w:val="auto"/>
        </w:rPr>
        <w:t>www.soundhound.com</w:t>
      </w:r>
      <w:r>
        <w:rPr>
          <w:rFonts w:ascii="Arial" w:cs="Arial" w:eastAsia="Arial" w:hAnsi="Arial"/>
          <w:sz w:val="16"/>
          <w:szCs w:val="16"/>
          <w:color w:val="auto"/>
        </w:rPr>
        <w:t>. The information contained on or accessible through our website is not a part of this prospectus.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030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603059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019"/>
          </w:cols>
          <w:pgMar w:left="1440" w:top="274" w:right="1440" w:bottom="1440" w:gutter="0" w:footer="0" w:header="0"/>
        </w:sect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Issuer</w:t>
      </w:r>
    </w:p>
    <w:p>
      <w:pPr>
        <w:spacing w:after="0" w:line="212"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i w:val="1"/>
          <w:iCs w:val="1"/>
          <w:color w:val="auto"/>
        </w:rPr>
        <w:t>Shares of Class A Common Stock Offered by the Holder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Use of Proceeds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SoundHound AI, Inc.</w:t>
      </w:r>
    </w:p>
    <w:p>
      <w:pPr>
        <w:spacing w:after="0" w:line="200" w:lineRule="exact"/>
        <w:rPr>
          <w:sz w:val="20"/>
          <w:szCs w:val="20"/>
          <w:color w:val="auto"/>
        </w:rPr>
      </w:pPr>
    </w:p>
    <w:p>
      <w:pPr>
        <w:spacing w:after="0" w:line="214" w:lineRule="exact"/>
        <w:rPr>
          <w:sz w:val="20"/>
          <w:szCs w:val="20"/>
          <w:color w:val="auto"/>
        </w:rPr>
      </w:pPr>
    </w:p>
    <w:p>
      <w:pPr>
        <w:jc w:val="both"/>
        <w:ind w:right="579"/>
        <w:spacing w:after="0" w:line="259" w:lineRule="auto"/>
        <w:rPr>
          <w:sz w:val="20"/>
          <w:szCs w:val="20"/>
          <w:color w:val="auto"/>
        </w:rPr>
      </w:pPr>
      <w:r>
        <w:rPr>
          <w:rFonts w:ascii="Arial" w:cs="Arial" w:eastAsia="Arial" w:hAnsi="Arial"/>
          <w:sz w:val="18"/>
          <w:szCs w:val="18"/>
          <w:color w:val="auto"/>
        </w:rPr>
        <w:t>Up to 14,301,448 Class A Shares that we may elect, in our sole discretion, to issue and sell to Cantor, from time to time from and after the Second Commencement Date under the Purchase Agreement.</w:t>
      </w:r>
    </w:p>
    <w:p>
      <w:pPr>
        <w:spacing w:after="0" w:line="146"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Arial" w:cs="Arial" w:eastAsia="Arial" w:hAnsi="Arial"/>
          <w:sz w:val="17"/>
          <w:szCs w:val="17"/>
          <w:i w:val="1"/>
          <w:iCs w:val="1"/>
          <w:color w:val="auto"/>
        </w:rPr>
        <w:t>Use of Proceeds</w:t>
      </w:r>
      <w:r>
        <w:rPr>
          <w:rFonts w:ascii="Arial" w:cs="Arial" w:eastAsia="Arial" w:hAnsi="Arial"/>
          <w:sz w:val="17"/>
          <w:szCs w:val="17"/>
          <w:color w:val="auto"/>
        </w:rPr>
        <w:t>” and “</w:t>
      </w:r>
      <w:r>
        <w:rPr>
          <w:rFonts w:ascii="Arial" w:cs="Arial" w:eastAsia="Arial" w:hAnsi="Arial"/>
          <w:sz w:val="17"/>
          <w:szCs w:val="17"/>
          <w:i w:val="1"/>
          <w:iCs w:val="1"/>
          <w:color w:val="auto"/>
        </w:rPr>
        <w:t>The Committed</w:t>
      </w:r>
      <w:r>
        <w:rPr>
          <w:rFonts w:ascii="Arial" w:cs="Arial" w:eastAsia="Arial" w:hAnsi="Arial"/>
          <w:sz w:val="17"/>
          <w:szCs w:val="17"/>
          <w:color w:val="auto"/>
        </w:rPr>
        <w:t xml:space="preserve"> </w:t>
      </w:r>
      <w:r>
        <w:rPr>
          <w:rFonts w:ascii="Arial" w:cs="Arial" w:eastAsia="Arial" w:hAnsi="Arial"/>
          <w:sz w:val="17"/>
          <w:szCs w:val="17"/>
          <w:i w:val="1"/>
          <w:iCs w:val="1"/>
          <w:color w:val="auto"/>
        </w:rPr>
        <w:t>Equity Financing</w:t>
      </w:r>
      <w:r>
        <w:rPr>
          <w:rFonts w:ascii="Arial" w:cs="Arial" w:eastAsia="Arial" w:hAnsi="Arial"/>
          <w:sz w:val="17"/>
          <w:szCs w:val="17"/>
          <w:color w:val="auto"/>
        </w:rPr>
        <w:t>.”</w:t>
      </w:r>
    </w:p>
    <w:p>
      <w:pPr>
        <w:spacing w:after="0" w:line="158" w:lineRule="exact"/>
        <w:rPr>
          <w:sz w:val="20"/>
          <w:szCs w:val="20"/>
          <w:color w:val="auto"/>
        </w:rPr>
      </w:pPr>
    </w:p>
    <w:p>
      <w:pPr>
        <w:sectPr>
          <w:pgSz w:w="11900" w:h="16838" w:orient="portrait"/>
          <w:cols w:equalWidth="0" w:num="2">
            <w:col w:w="3520" w:space="260"/>
            <w:col w:w="52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960" w:type="dxa"/>
            <w:vAlign w:val="bottom"/>
          </w:tcPr>
          <w:p>
            <w:pPr>
              <w:ind w:left="80"/>
              <w:spacing w:after="0"/>
              <w:rPr>
                <w:sz w:val="20"/>
                <w:szCs w:val="20"/>
                <w:color w:val="auto"/>
              </w:rPr>
            </w:pPr>
            <w:r>
              <w:rPr>
                <w:rFonts w:ascii="Arial" w:cs="Arial" w:eastAsia="Arial" w:hAnsi="Arial"/>
                <w:sz w:val="18"/>
                <w:szCs w:val="18"/>
                <w:i w:val="1"/>
                <w:iCs w:val="1"/>
                <w:color w:val="auto"/>
              </w:rPr>
              <w:t>Conflict of Interest</w:t>
            </w:r>
          </w:p>
        </w:tc>
        <w:tc>
          <w:tcPr>
            <w:tcW w:w="5140" w:type="dxa"/>
            <w:vAlign w:val="bottom"/>
          </w:tcPr>
          <w:p>
            <w:pPr>
              <w:ind w:left="360"/>
              <w:spacing w:after="0"/>
              <w:rPr>
                <w:sz w:val="20"/>
                <w:szCs w:val="20"/>
                <w:color w:val="auto"/>
              </w:rPr>
            </w:pPr>
            <w:r>
              <w:rPr>
                <w:rFonts w:ascii="Arial" w:cs="Arial" w:eastAsia="Arial" w:hAnsi="Arial"/>
                <w:sz w:val="18"/>
                <w:szCs w:val="18"/>
                <w:color w:val="auto"/>
                <w:w w:val="99"/>
              </w:rPr>
              <w:t>Cantor is an affiliate of Cantor Fitzgerald &amp; Co. (“CF&amp;CO”) a</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FINRA member. CF&amp;CO is expected to act as an executing</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w w:val="95"/>
              </w:rPr>
              <w:t>broker for the sale of the shares of our Class A Common Stock</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sold  by  Cantor  pursuant  to  the  Facility.  See  “</w:t>
            </w:r>
            <w:r>
              <w:rPr>
                <w:rFonts w:ascii="Arial" w:cs="Arial" w:eastAsia="Arial" w:hAnsi="Arial"/>
                <w:sz w:val="18"/>
                <w:szCs w:val="18"/>
                <w:i w:val="1"/>
                <w:iCs w:val="1"/>
                <w:color w:val="auto"/>
              </w:rPr>
              <w:t>Plan  of</w:t>
            </w:r>
          </w:p>
        </w:tc>
      </w:tr>
      <w:tr>
        <w:trPr>
          <w:trHeight w:val="230"/>
        </w:trPr>
        <w:tc>
          <w:tcPr>
            <w:tcW w:w="296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i w:val="1"/>
                <w:iCs w:val="1"/>
                <w:color w:val="auto"/>
              </w:rPr>
              <w:t>Distribution (Conflict of Interest)</w:t>
            </w:r>
            <w:r>
              <w:rPr>
                <w:rFonts w:ascii="Arial" w:cs="Arial" w:eastAsia="Arial" w:hAnsi="Arial"/>
                <w:sz w:val="18"/>
                <w:szCs w:val="18"/>
                <w:color w:val="auto"/>
              </w:rPr>
              <w:t>.”</w:t>
            </w:r>
          </w:p>
        </w:tc>
      </w:tr>
      <w:tr>
        <w:trPr>
          <w:trHeight w:val="391"/>
        </w:trPr>
        <w:tc>
          <w:tcPr>
            <w:tcW w:w="2960" w:type="dxa"/>
            <w:vAlign w:val="bottom"/>
          </w:tcPr>
          <w:p>
            <w:pPr>
              <w:spacing w:after="0"/>
              <w:rPr>
                <w:sz w:val="24"/>
                <w:szCs w:val="24"/>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w w:val="92"/>
              </w:rPr>
              <w:t>The receipt by Cantor of all the proceeds from sales of shares of</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w w:val="93"/>
              </w:rPr>
              <w:t>our Class A Common Stock to the public made through CF&amp;CO</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results in a “conflict of interest” under Rule 5121 of the</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Financial  Industry  Regulatory  Authority,  Inc.  (“FINRA”).</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w w:val="98"/>
              </w:rPr>
              <w:t>Accordingly, such sales will be conducted in compliance with</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FINRA Rule 5121. See “</w:t>
            </w:r>
            <w:r>
              <w:rPr>
                <w:rFonts w:ascii="Arial" w:cs="Arial" w:eastAsia="Arial" w:hAnsi="Arial"/>
                <w:sz w:val="18"/>
                <w:szCs w:val="18"/>
                <w:i w:val="1"/>
                <w:iCs w:val="1"/>
                <w:color w:val="auto"/>
              </w:rPr>
              <w:t>Plan  of  Distribution  (Conflict  of</w:t>
            </w:r>
          </w:p>
        </w:tc>
      </w:tr>
      <w:tr>
        <w:trPr>
          <w:trHeight w:val="230"/>
        </w:trPr>
        <w:tc>
          <w:tcPr>
            <w:tcW w:w="296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w:t>
            </w:r>
          </w:p>
        </w:tc>
      </w:tr>
      <w:tr>
        <w:trPr>
          <w:trHeight w:val="391"/>
        </w:trPr>
        <w:tc>
          <w:tcPr>
            <w:tcW w:w="2960" w:type="dxa"/>
            <w:vAlign w:val="bottom"/>
          </w:tcPr>
          <w:p>
            <w:pPr>
              <w:ind w:left="80"/>
              <w:spacing w:after="0"/>
              <w:rPr>
                <w:sz w:val="20"/>
                <w:szCs w:val="20"/>
                <w:color w:val="auto"/>
              </w:rPr>
            </w:pPr>
            <w:r>
              <w:rPr>
                <w:rFonts w:ascii="Arial" w:cs="Arial" w:eastAsia="Arial" w:hAnsi="Arial"/>
                <w:sz w:val="18"/>
                <w:szCs w:val="18"/>
                <w:i w:val="1"/>
                <w:iCs w:val="1"/>
                <w:color w:val="auto"/>
              </w:rPr>
              <w:t>Risk Factors</w:t>
            </w:r>
          </w:p>
        </w:tc>
        <w:tc>
          <w:tcPr>
            <w:tcW w:w="5140" w:type="dxa"/>
            <w:vAlign w:val="bottom"/>
          </w:tcPr>
          <w:p>
            <w:pPr>
              <w:ind w:left="360"/>
              <w:spacing w:after="0"/>
              <w:rPr>
                <w:sz w:val="20"/>
                <w:szCs w:val="20"/>
                <w:color w:val="auto"/>
              </w:rPr>
            </w:pPr>
            <w:r>
              <w:rPr>
                <w:rFonts w:ascii="Arial" w:cs="Arial" w:eastAsia="Arial" w:hAnsi="Arial"/>
                <w:sz w:val="18"/>
                <w:szCs w:val="18"/>
                <w:color w:val="auto"/>
                <w:w w:val="99"/>
              </w:rPr>
              <w:t>See “</w:t>
            </w:r>
            <w:r>
              <w:rPr>
                <w:rFonts w:ascii="Arial" w:cs="Arial" w:eastAsia="Arial" w:hAnsi="Arial"/>
                <w:sz w:val="18"/>
                <w:szCs w:val="18"/>
                <w:i w:val="1"/>
                <w:iCs w:val="1"/>
                <w:color w:val="auto"/>
                <w:w w:val="99"/>
              </w:rPr>
              <w:t>Risk Factors</w:t>
            </w:r>
            <w:r>
              <w:rPr>
                <w:rFonts w:ascii="Arial" w:cs="Arial" w:eastAsia="Arial" w:hAnsi="Arial"/>
                <w:sz w:val="18"/>
                <w:szCs w:val="18"/>
                <w:color w:val="auto"/>
                <w:w w:val="99"/>
              </w:rPr>
              <w:t>” and the other information included in this</w:t>
            </w:r>
          </w:p>
        </w:tc>
      </w:tr>
      <w:tr>
        <w:trPr>
          <w:trHeight w:val="216"/>
        </w:trPr>
        <w:tc>
          <w:tcPr>
            <w:tcW w:w="296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prospectus for a discussion of factors you should consider</w:t>
            </w:r>
          </w:p>
        </w:tc>
      </w:tr>
      <w:tr>
        <w:trPr>
          <w:trHeight w:val="230"/>
        </w:trPr>
        <w:tc>
          <w:tcPr>
            <w:tcW w:w="296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before investing in our securities.</w:t>
            </w:r>
          </w:p>
        </w:tc>
      </w:tr>
      <w:tr>
        <w:trPr>
          <w:trHeight w:val="391"/>
        </w:trPr>
        <w:tc>
          <w:tcPr>
            <w:tcW w:w="2960" w:type="dxa"/>
            <w:vAlign w:val="bottom"/>
          </w:tcPr>
          <w:p>
            <w:pPr>
              <w:ind w:left="80"/>
              <w:spacing w:after="0"/>
              <w:rPr>
                <w:sz w:val="20"/>
                <w:szCs w:val="20"/>
                <w:color w:val="auto"/>
              </w:rPr>
            </w:pPr>
            <w:r>
              <w:rPr>
                <w:rFonts w:ascii="Arial" w:cs="Arial" w:eastAsia="Arial" w:hAnsi="Arial"/>
                <w:sz w:val="18"/>
                <w:szCs w:val="18"/>
                <w:i w:val="1"/>
                <w:iCs w:val="1"/>
                <w:color w:val="auto"/>
              </w:rPr>
              <w:t>Market for Class A Common Stock</w:t>
            </w:r>
          </w:p>
        </w:tc>
        <w:tc>
          <w:tcPr>
            <w:tcW w:w="5140" w:type="dxa"/>
            <w:vAlign w:val="bottom"/>
          </w:tcPr>
          <w:p>
            <w:pPr>
              <w:ind w:left="360"/>
              <w:spacing w:after="0"/>
              <w:rPr>
                <w:sz w:val="20"/>
                <w:szCs w:val="20"/>
                <w:color w:val="auto"/>
              </w:rPr>
            </w:pPr>
            <w:r>
              <w:rPr>
                <w:rFonts w:ascii="Arial" w:cs="Arial" w:eastAsia="Arial" w:hAnsi="Arial"/>
                <w:sz w:val="18"/>
                <w:szCs w:val="18"/>
                <w:color w:val="auto"/>
                <w:w w:val="96"/>
              </w:rPr>
              <w:t>Our Class A Common Stock is currently traded on the Nasdaq</w:t>
            </w:r>
          </w:p>
        </w:tc>
      </w:tr>
      <w:tr>
        <w:trPr>
          <w:trHeight w:val="230"/>
        </w:trPr>
        <w:tc>
          <w:tcPr>
            <w:tcW w:w="296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Global Market under the symbol “SOUN.”</w:t>
            </w:r>
          </w:p>
        </w:tc>
      </w:tr>
      <w:tr>
        <w:trPr>
          <w:trHeight w:val="415"/>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388"/>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Committed Equity Financing</w:t>
      </w:r>
    </w:p>
    <w:p>
      <w:pPr>
        <w:spacing w:after="0" w:line="229"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It is not possible to predict the actual number of shares of Class A Common Stock, if any, we will sell under the Purchase Agreement to Cantor, or the actual gross proceeds resulting from those sales.</w:t>
      </w:r>
    </w:p>
    <w:p>
      <w:pPr>
        <w:spacing w:after="0" w:line="5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On August 16, 2022, we entered into the Purchase Agreement with Cantor, pursuant to which Cantor has committed to purchase up to 25,000,000 shares of our Class A Common Stock, subject to certain limitations and conditions set forth in the Purchase Agreement (to date 10,698,552 shares have been sold to Cantor under the Facility). The shares of Class A Common Stock that may be issued under the Purchase Agreement may be sold by us to Cantor at our discretion from time to time until the first day of the month next following the 36-month period commencing on the date of this prospectus.</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spacing w:after="0" w:line="12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spacing w:after="0" w:line="18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Investors who buy shares of Class A Common Stock from the Holder at different times will likely pay different prices.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14,301,448 Class A Shares offered for resale by Cantor under this prospectus were issued and outstanding as of March 23, 2023, such Class A Shares would represent approximately 7.4% of the total number of our Class A Shares outstanding, after giving effect to such issuance.</w:t>
      </w:r>
    </w:p>
    <w:p>
      <w:pPr>
        <w:spacing w:after="0" w:line="12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In addition to this prospectus covering the resale by Cantor of up to 14,301,448 shares of Class A Common Stock, we currently have an effective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3,457,996 Class A Shares upon the exercise of outstanding warrants to purchase our Class A Shares at an exercise price of $11.50, which were originally issued as part of the units in connection with ATSP’s IPO at a price of $10.00 per unit. We also recently closed the Transaction and issued shares of Series A Preferred Stock which are currently convertible into shares of Class A Common Stock equal to approximately 15% of the total shares of common stock outstanding prior to the Transaction (including shares of Class B Common Stock) and which can be convertible into a greater number of shares of Class A Common Stock as the shares of Series A Preferred Stock accrue dividends.</w:t>
      </w:r>
    </w:p>
    <w:p>
      <w:pPr>
        <w:spacing w:after="0" w:line="31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connection with the Business Combination, our chief executive officer and certain of our other stockholders agreed that, subject to certain exceptions, they will not, during the period beginning at the effective time of the Business Combination and the date that is 1 year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Upon the expiration or waiver of the lock-up described above, shares held by these stockholders will be eligible for resale, potentially subject to, in the case of stockholders who are our affiliates, volume, manner of sale, and other limitations under Rule 144 promulgated under the Securities Act.</w:t>
      </w:r>
    </w:p>
    <w:p>
      <w:pPr>
        <w:spacing w:after="0" w:line="9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issued or reserved for future issuance under SoundHound AI, Inc. 2022 Incentive Award Plan and SoundHound AI, Inc. 2022 ESPP may become available for sale in future.</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use proceeds from sales of shares of our Class A Common Stock made pursuant to the Purchase Agreement in ways with which you may not agree or in ways which may not yield a significant return.</w:t>
      </w:r>
    </w:p>
    <w:p>
      <w:pPr>
        <w:spacing w:after="0" w:line="4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will have broad discretion over the use of proceeds from sales of shares of our Class A Common Stock made pursuant to the Purchase Agreement, as described in the section entitled “</w:t>
      </w:r>
      <w:r>
        <w:rPr>
          <w:rFonts w:ascii="Arial" w:cs="Arial" w:eastAsia="Arial" w:hAnsi="Arial"/>
          <w:sz w:val="18"/>
          <w:szCs w:val="18"/>
          <w:i w:val="1"/>
          <w:iCs w:val="1"/>
          <w:color w:val="auto"/>
        </w:rPr>
        <w:t>Use of Proceeds</w:t>
      </w:r>
      <w:r>
        <w:rPr>
          <w:rFonts w:ascii="Arial" w:cs="Arial" w:eastAsia="Arial" w:hAnsi="Arial"/>
          <w:sz w:val="18"/>
          <w:szCs w:val="18"/>
          <w:color w:val="auto"/>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SoundHound AI’s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in which SoundHound AI operates is highly competitive and rapidly changing and SoundHound AI may be unable to compete successfully.</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1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9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Adverse conditions in the Voice AI market or the global economy more generally could have adverse effects on SoundHound AI’s results of operations.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17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Pricing pressures from SoundHound AI’s customers may adversely affect its results of operations.</w:t>
      </w:r>
    </w:p>
    <w:p>
      <w:pPr>
        <w:spacing w:after="0" w:line="16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7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AI’s operating results could be materially and adversely affected if it loses any of its largest customers.</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87"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During the years ended December 31, 2022 and 2021, three customers accounted for the following approximate percentages of SoundHound AI’s total revenues during the respective applicable period: 67% and 61%. Accounts receivable balances due from two customers collectively totaling 75% of the Company’s consolidated accounts receivable balance at December 31, 2022. Accounts receivable balances due from five customers collectively totaling 86% of the Company’s condensed accounts receivable balance at December 31, 2021.</w:t>
      </w:r>
    </w:p>
    <w:p>
      <w:pPr>
        <w:spacing w:after="0" w:line="125"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Adverse economic conditions or reduced technology spending may adversely impact SoundHound’s business.</w:t>
      </w:r>
    </w:p>
    <w:p>
      <w:pPr>
        <w:spacing w:after="0" w:line="19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business depends on the overall demand for technology and on the economic performance of our current and prospective customers. In general, worldwide economic conditions may remain unstable, including inflation,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 could adversely impact our business and results of operations in a number of ways, including longer sales cycles, lower demand or prices for our platform, fewer subscriptions and lower</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or no growth. For example, increased inflation in recent months, the residual effects of the collapse of Silicon Valley Bank and other financial institutions in March 2023, and related instability in the global financial markets, may cause difficulties for our customers, resulting in reduced spending by them on our business.</w:t>
      </w:r>
    </w:p>
    <w:p>
      <w:pPr>
        <w:spacing w:after="0" w:line="14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 AI’s operating results may fluctuate significantly from period to period, and this may cause its stock price to decline.</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19"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timing and fulfillment of large customer contracts;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renewals of existing customer contracts and wins of new customer programs;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expenditures incurred pursuing new product or market opportunities;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royalty reports;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fluctuating sales by SoundHound AI’s customers to their end-users;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contractual counterparties failing to meet their contractual commitments to SoundHound AI;</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of new products by SoundHound AI or its competitors;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cybersecurity or data breaches;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 in the prices of SoundHound AI’s products in response to competition, market conditions or contractual obligations;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to raise cash in the market place, including increased borrowing costs as a result of inflation;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receivable that are not collectible;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higher than anticipated costs related to fixed-price contracts with SoundHound AI’s customers;</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in costs due to regulatory or trade restrictions;</w:t>
      </w:r>
    </w:p>
    <w:p>
      <w:pPr>
        <w:spacing w:after="0" w:line="144"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in litigation matters, whether initiated by SoundHound AI or brought by third-parties against SoundHound AI, and settlements or judgments it is required to pay in connection with disputes;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trends as they affect the customer bases into which SoundHound AI and its customers sell and operate.</w:t>
      </w:r>
    </w:p>
    <w:p>
      <w:pPr>
        <w:spacing w:after="0" w:line="89"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7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AI has generated substantial net losses and negative operating cash flows since its inception and expects to continue to do so for the foreseeable future.</w:t>
      </w:r>
    </w:p>
    <w:p>
      <w:pPr>
        <w:spacing w:after="0" w:line="10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To date, SoundHound AI has generated substantial net losses and negative cash flows from operating activities. SoundHound AI is continuing to implement its Restructuring Plan in an effort to reduce such losses and accelerate a pathway to profitability, however there is no guarantee that the Restructuring Plan will be successful. If such Restructuring Plan is unsuccessful, SoundHound AI expects that its net losses and its negative operating cash flows will continue for the foreseeable future. Even if the Restructuring Plan is successful, SoundHound AI may continue to have net losses and negative operating cash flows as SoundHound AI continues to invest in its development activities, and in sales and marketing. SoundHound AI also expects to incur the incremental costs of operating as a public company, contributing to SoundHound AI’s losses and operating uses of cash. SoundHound AI’s costs may also increase due to</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such factors as higher than anticipated financing and other costs; increases in the costs of labor or infrastructure, in particular, following the implementation of the Restructuring Plan; and major incidents or catastrophic events. If any of these or similar factors occur, SoundHound AI’s net losses and accumulated deficit could increase significantly and the price of shares of its Class A Common Stock could decline.</w:t>
      </w:r>
    </w:p>
    <w:p>
      <w:pPr>
        <w:spacing w:after="0" w:line="171" w:lineRule="exact"/>
        <w:rPr>
          <w:sz w:val="20"/>
          <w:szCs w:val="20"/>
          <w:color w:val="auto"/>
        </w:rPr>
      </w:pPr>
    </w:p>
    <w:p>
      <w:pPr>
        <w:jc w:val="both"/>
        <w:ind w:left="460" w:right="459"/>
        <w:spacing w:after="0" w:line="375" w:lineRule="auto"/>
        <w:rPr>
          <w:sz w:val="20"/>
          <w:szCs w:val="20"/>
          <w:color w:val="auto"/>
        </w:rPr>
      </w:pPr>
      <w:r>
        <w:rPr>
          <w:rFonts w:ascii="Arial" w:cs="Arial" w:eastAsia="Arial" w:hAnsi="Arial"/>
          <w:sz w:val="15"/>
          <w:szCs w:val="15"/>
          <w:b w:val="1"/>
          <w:bCs w:val="1"/>
          <w:i w:val="1"/>
          <w:iCs w:val="1"/>
          <w:color w:val="auto"/>
        </w:rPr>
        <w:t>SoundHound AI will require additional capital to continue its planned business operations but may not be able to obtain such capital when desired on favorable terms, if at all, or without dilution to its stockholders.</w:t>
      </w:r>
    </w:p>
    <w:p>
      <w:pPr>
        <w:spacing w:after="0" w:line="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AI will require additional capital to continue its planned business operations. SoundHound AI implemented its Restructuring Plan to reduce the amount of capital required to meet its current business needs, but anticipates that current cash, cash equivalents, cash provided by operating activities and funds available through SoundHound AI’s equity line of credit, will not be sufficient to meet its future capital needs. SoundHound AI operates in an emerging market, however, which makes SoundHound AI’s prospects difficult to evaluate and SoundHound AI may not generate sufficient cash flow from operations or otherwise have the capital resources to meet SoundHound AI’s future capital needs. If this occurs, SoundHound AI will need additional financing to execute on its current or future business strategies, including to:</w:t>
      </w:r>
    </w:p>
    <w:p>
      <w:pPr>
        <w:spacing w:after="0" w:line="57" w:lineRule="exact"/>
        <w:rPr>
          <w:sz w:val="20"/>
          <w:szCs w:val="20"/>
          <w:color w:val="auto"/>
        </w:rPr>
      </w:pPr>
    </w:p>
    <w:p>
      <w:pPr>
        <w:ind w:left="1320" w:right="459" w:hanging="434"/>
        <w:spacing w:after="0" w:line="277"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hire additional software engineers, sales and marketing professionals, and other personnel as needed following implementation of the Restructuring Plan;</w:t>
      </w:r>
    </w:p>
    <w:p>
      <w:pPr>
        <w:spacing w:after="0" w:line="62" w:lineRule="exact"/>
        <w:rPr>
          <w:rFonts w:ascii="Arial" w:cs="Arial" w:eastAsia="Arial" w:hAnsi="Arial"/>
          <w:sz w:val="18"/>
          <w:szCs w:val="18"/>
          <w:color w:val="auto"/>
        </w:rPr>
      </w:pP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SoundHound AI’s operating infrastructure;</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If SoundHound AI raises additional funds through the issuance of equity, including under this Facility,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particularly in light of inflationary pressures and resulting increases in the cost of borrowing.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6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7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6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Additionally, if any of SoundHound AI’s key management team members or other employees were to leave, SoundHound AI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as needed (with consideration to the Restructuring Plan)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SoundHound AI depends on skilled employees and could be impacted by a shortage of critical skills.</w:t>
      </w:r>
    </w:p>
    <w:p>
      <w:pPr>
        <w:spacing w:after="0" w:line="14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9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Cybersecurity and data privacy incidents or breaches may damage client relations and inhibit SoundHound AI’s growth.</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90" w:lineRule="exact"/>
        <w:rPr>
          <w:sz w:val="20"/>
          <w:szCs w:val="20"/>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resulting from the operational disruption;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or increased bad debt expense due to the inability to invoice properly or to customer dissatisfaction resulting in collection issues;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due to loss of customers;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remediation costs to recreate or restore systems;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investments in new or enhanced systems in order to enhance SoundHound AI’s information security posture;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of incentives offered to customers to restore confidence and maintain business relationships;</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reputational damage resulting in the failure to retain or attract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potential litigation or governmental investigations;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any required notices of a data breach;</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potential loss of critical business data;</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enhancing or creating new products due to loss of data or data integrity issues; and</w:t>
      </w:r>
    </w:p>
    <w:p>
      <w:pPr>
        <w:spacing w:after="0" w:line="169" w:lineRule="exact"/>
        <w:rPr>
          <w:rFonts w:ascii="Arial" w:cs="Arial" w:eastAsia="Arial" w:hAnsi="Arial"/>
          <w:sz w:val="17"/>
          <w:szCs w:val="17"/>
          <w:color w:val="auto"/>
        </w:rPr>
      </w:pPr>
    </w:p>
    <w:p>
      <w:pPr>
        <w:ind w:left="1320" w:right="479" w:hanging="434"/>
        <w:spacing w:after="0" w:line="342" w:lineRule="auto"/>
        <w:tabs>
          <w:tab w:leader="none" w:pos="1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consequences of which SoundHound AI is not currently aware but would discover through the process of remediating any cybersecurity or data privacy incidents or breaches that may occur.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AI’s business is subject to a variety of domestic and international laws, rules, policies and other obligations, including data protection and anticorruption.</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 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10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11"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0" w:lineRule="exact"/>
        <w:rPr>
          <w:sz w:val="20"/>
          <w:szCs w:val="20"/>
          <w:color w:val="auto"/>
        </w:rPr>
      </w:pP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SoundHound AI’s customers to lose confidence in its solutions;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harm SoundHound AI’s reputation;</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expose SoundHound AI to litigation, regulatory investigations and to resulting liabilities including reimbursement of customer costs, damages penalties or fines imposed by regulatory agencies; and</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SoundHound AI to incur significant expenses for remediation.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6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11" w:lineRule="exact"/>
        <w:rPr>
          <w:sz w:val="20"/>
          <w:szCs w:val="20"/>
          <w:color w:val="auto"/>
        </w:rPr>
      </w:pPr>
    </w:p>
    <w:p>
      <w:pPr>
        <w:ind w:left="1320" w:right="479" w:hanging="434"/>
        <w:spacing w:after="0" w:line="277"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political and economic conditions, or changes to such conditions, in a specific region or country;</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protection measures, including tariffs and import/export controls, imposed by the United States and/or by other countries or regional authorities such as China, Canada or the European Union;</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impact on local and global economies of the United Kingdom leaving the European Union;</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foreign currency exchange rates or the lack of ability to hedge certain foreign currencies;</w:t>
      </w:r>
    </w:p>
    <w:p>
      <w:pPr>
        <w:spacing w:after="0" w:line="167"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laws and regulations in many countries and any subsequent changes in such laws and regulations;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turmoil, including terrorism and war;</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data privacy regulations and customer requirements to locate data centers in certain jurisdictions;</w:t>
      </w:r>
    </w:p>
    <w:p>
      <w:pPr>
        <w:spacing w:after="0" w:line="89" w:lineRule="exact"/>
        <w:rPr>
          <w:rFonts w:ascii="Arial" w:cs="Arial" w:eastAsia="Arial" w:hAnsi="Arial"/>
          <w:sz w:val="18"/>
          <w:szCs w:val="18"/>
          <w:color w:val="auto"/>
        </w:rPr>
      </w:pPr>
    </w:p>
    <w:p>
      <w:pPr>
        <w:jc w:val="both"/>
        <w:ind w:left="1320" w:right="459" w:hanging="434"/>
        <w:spacing w:after="0" w:line="311" w:lineRule="auto"/>
        <w:tabs>
          <w:tab w:leader="none" w:pos="13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1" w:lineRule="exact"/>
        <w:rPr>
          <w:rFonts w:ascii="Arial" w:cs="Arial" w:eastAsia="Arial" w:hAnsi="Arial"/>
          <w:sz w:val="16"/>
          <w:szCs w:val="16"/>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applicable tax laws;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multiple locations in many countries;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longer payment cycles of foreign customers and timing of collections in foreign jurisdictions; and</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than in the United States.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 AI’s business in China is subject to aggressive competition and is sensitive to economic, market and political conditions.</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 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8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9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9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6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6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7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During the years ended December 31, 2022 and 2021, SoundHound AI derived approximately 89% and 81%,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Other risks and uncertainties SoundHound AI faces from its global operations include, but are not limited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w:t>
      </w:r>
    </w:p>
    <w:p>
      <w:pPr>
        <w:spacing w:after="0" w:line="143" w:lineRule="exact"/>
        <w:rPr>
          <w:sz w:val="20"/>
          <w:szCs w:val="20"/>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protection for the enforcement of contract and intellectual property rights in certain countries where SoundHound AI may sell SoundHound AI’s solutions or work with suppliers or other third parties;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longer sales and payment cycles and potentially greater difficulties in collecting accounts receivable;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difficulties of customizing solutions for foreign countries;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providing solutions across a significant distance, in different languages and among different cultures;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competition;</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subject to a wide variety of complex foreign laws, treaties and regulations and adjusting to any unexpected changes in such laws, treaties and regulations;</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analysis of regulatory, legal and tax issues across various countries, such as different interpretations of antitrust and competition laws;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and resultant political, financial and market instability arising from the United Kingdom’s exit from the European Union;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laws affecting activities of U.S. companies abroad, including the U.S. Foreign Corrupt Practices Act;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geopolitical risks, including the relationship between the U.S. government and the government of other nations;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trade barriers and other regulatory or contractual limitations on SoundHound AI’s ability to sell or develop its solutions in certain foreign markets;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in countries with a higher incidence of corruption and fraudulent business practices;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including export controls, tariffs and embargoes, other trade restrictions, competition, corporate practices and data privacy concerns;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adverse tax consequences arising from global operations;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reductions in business activity in certain parts of the world, particularly during the summer months in Europe and at year-end globally;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rapid changes in government, economic and political policies and conditions;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or civil unrest or instability, terrorism or epidemics or pandemics (including any risks related to or resulting from COVID-19) and other similar outbreaks or events.</w:t>
      </w:r>
    </w:p>
    <w:p>
      <w:pPr>
        <w:spacing w:after="0" w:line="89"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24"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6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10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8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16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5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7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116"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20" w:lineRule="exact"/>
        <w:rPr>
          <w:sz w:val="20"/>
          <w:szCs w:val="20"/>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establish and protect SoundHound AI’s brand in international markets;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localize and adapt SoundHound AI’s products for specific countries, including translation into foreign languages and associated costs and expenses;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particularly hiring and training qualified sales and service personnel;</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implement and offer customer care in various languages;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pricing environments, longer sales and accounts receivable payment cycles and collections issues;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U.S. and practical difficulties in enforcing intellectual property and other rights outside of the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5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privacy and data protection laws and regulations that are complex, expensive to comply with and may require that customer data be stored and processed in a designated territory;</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risk of piracy, counterfeiting and other misappropriation of SoundHound AI’s intellectual property in its locations outside the U.S.;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in international markets;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risk of international telecom fraud;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jc w:val="both"/>
        <w:ind w:left="1320" w:right="459" w:hanging="434"/>
        <w:spacing w:after="0" w:line="275" w:lineRule="auto"/>
        <w:tabs>
          <w:tab w:leader="none" w:pos="13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95" w:lineRule="exact"/>
        <w:rPr>
          <w:rFonts w:ascii="Arial" w:cs="Arial" w:eastAsia="Arial" w:hAnsi="Arial"/>
          <w:sz w:val="17"/>
          <w:szCs w:val="17"/>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or taxes on the transfer of funds;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unstable economic and political conditions and potential accompanying shifts in laws and regulations.</w:t>
      </w:r>
    </w:p>
    <w:p>
      <w:pPr>
        <w:spacing w:after="0" w:line="103"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These risks could harm SoundHound AI’s international operations, increase its operating costs and hinder its ability to grow its international business and, consequently, its overall business and results of operations.</w:t>
      </w:r>
    </w:p>
    <w:p>
      <w:pPr>
        <w:spacing w:after="0" w:line="5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6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Tax matters may cause significant variability in SoundHound AI’s operating results and may impact its overall financial condition.</w:t>
      </w:r>
    </w:p>
    <w:p>
      <w:pPr>
        <w:spacing w:after="0" w:line="8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120" w:lineRule="exact"/>
        <w:rPr>
          <w:sz w:val="20"/>
          <w:szCs w:val="20"/>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levels of taxable income;</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pre-tax income being lower than anticipated in countries with lower statutory rates or higher than anticipated in countries with higher statutory rates;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or decreases to valuation allowances recorded against deferred tax assets;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audits conducted and settled by various tax authorities;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to income taxes upon finalization of income tax returns;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claim foreign tax credits;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repatriation of non-U.S. earnings for which SoundHound AI has not previously provided for income taxes;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laws and their interpretations in countries in which SoundHound AI is subject to taxation.</w:t>
      </w:r>
    </w:p>
    <w:p>
      <w:pPr>
        <w:spacing w:after="0" w:line="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6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2"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68"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New products, as well as enhancements to its existing products, could fail to attain sufficient market acceptance for many reasons, including:</w:t>
      </w:r>
    </w:p>
    <w:p>
      <w:pPr>
        <w:spacing w:after="0" w:line="103" w:lineRule="exact"/>
        <w:rPr>
          <w:sz w:val="20"/>
          <w:szCs w:val="20"/>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releasing new products, or product enhancements;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market demand and to supply products that meet this demand in a timely fashion;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defects in its products, errors or failures of its products;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or perceptions about the performance or effectiveness of products;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or technologies by its competitors;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installation, configuration or usage errors by its customers.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19"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If SoundHound AI spends significant time and effort on research and development and is unable to generate an adequate return on its investment, its results of operations may be materially and adversely affected.</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AI’s brand, reputation and ability to attract, retain and serve its customers are dependent in part upon the reliable performance of its products and technologies.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10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9"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SoundHound AI is unable to maintain and enhance its brand or reputation as an industry leader, its operating results may be adversely affected.</w:t>
      </w:r>
    </w:p>
    <w:p>
      <w:pPr>
        <w:spacing w:after="0" w:line="8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SoundHound AI’s Intellectual Property and Technology</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AI’s use of open source technology could impose limitations on its ability to commercialize its software.</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0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Arial" w:cs="Arial" w:eastAsia="Arial" w:hAnsi="Arial"/>
          <w:sz w:val="17"/>
          <w:szCs w:val="17"/>
          <w:b w:val="1"/>
          <w:bCs w:val="1"/>
          <w:i w:val="1"/>
          <w:iCs w:val="1"/>
          <w:color w:val="auto"/>
        </w:rPr>
        <w:t>.</w:t>
      </w:r>
    </w:p>
    <w:p>
      <w:pPr>
        <w:spacing w:after="0" w:line="17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8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Unauthorized use of SoundHound AI’s proprietary technology and intellectual property could adversely affect its business and results of operations.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6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 AI’s software products may have bugs, which could result in delayed or lost revenue, expensive correction, liability to its customers and claims against us.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8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SoundHound AI’s Class A Common Stock and the Securities Market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SoundHound AI’s stock price and trading volume may fluctuate significantly.</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market price and trading volume of SoundHound AI’s Class A Common Stock has fluctuated widely and may continue to fluctuate widely, depending on many factors, some of which may be beyond our control, including:</w:t>
      </w:r>
    </w:p>
    <w:p>
      <w:pPr>
        <w:spacing w:after="0" w:line="116" w:lineRule="exact"/>
        <w:rPr>
          <w:sz w:val="20"/>
          <w:szCs w:val="20"/>
          <w:color w:val="auto"/>
        </w:rPr>
      </w:pPr>
    </w:p>
    <w:p>
      <w:pPr>
        <w:ind w:left="1320" w:hanging="434"/>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 due to factors related to our business;</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 or failure of our business strategies;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 industry capacity;</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interest rates and other factors that affect earnings and cash flow;</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level of indebtedness, our ability to make payments on or service our indebtedness and our ability to obtain financing as needed;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and recruit qualified personnel, particularly following implementation of the Restructuring Plan;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securities analysts to cover, or positively cover, our Class A Common Stock;</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 perception of the Company and its industry;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market fluctuations unrelated to our operating performance;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 investigation;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laws and regulations (including tax laws and regulations) affecting our business;</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capital gains taxes and taxes on dividends affecting stockholders;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Low trading volume for SoundHound AI’s Class A Common Stock, which may occur if an active trading market does not develop, among other reasons, would amplify the effect of the above factors on stock price volatility.</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addition, over the last few years, the stock market more broadly has experienced price and volume fluctuations, including due to factors relating to the ongoing outbreak of COVID-19 and the war in Ukraine,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 effects of COVID-19 or the war in Ukraine,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Your percentage ownership in SoundHound AI may be diluted in the future.</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Stockholders’ percentage ownership in SoundHound AI may be diluted in the future because of equity issuances for acquisitions, capital market transactions (including, upon conversion of securities issued in financings such as the Transaction)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2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issuance of additional shares of Class A Common Stock or convertible securities may dilute your ownership and could adversely affect the stock price.</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From time to time in the future, SoundHound AI may issue additional shares of Class A Common Stock or securities convertible into Class A Common Stock pursuant to a variety of transactions, including acquisitions and financings. Additional shares of Class A Common Stock may also be issued upon conversion of our Series A Preferred Stock,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spacing w:after="0" w:line="8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 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spacing w:after="0" w:line="18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Global Market could result in a de-listing of our Class A Common Stock.</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While we are currently in compliance with Nasdaq’s continued listing requirements, including the requirement that we maintain a $1 bid price, there is no guarantee that we will be able to continue to meet the continued listing requirements of Nasdaq. In the event we are unable to do so, our securities may be delisted from The Nasdaq Stock Market. Such a delisting would likely have a negative effect on the price and trading volume of our Class A Common Stock and would impair your ability to sell or purchase our Class A Common Stock when you wish to do so. In the event of a delisting, we would expect to take actions to restore our compliance with Nasdaq Marketplace Rules, but our Class A Common Stock may not be listed again, stabilize the market price or improve the liquidity of our Class A Common Stock, prevent our Class A Common Stock from dropping below the Nasdaq minimum bid price requirement or prevent future non-compliance with the Nasdaq Marketplace Rules.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5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9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 AI may be subject to securities litigation, which is expensive and could divert management attention.</w:t>
      </w:r>
    </w:p>
    <w:p>
      <w:pPr>
        <w:spacing w:after="0" w:line="8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Applicable to a Dual Class Common Stock Structure</w:t>
      </w:r>
    </w:p>
    <w:p>
      <w:pPr>
        <w:spacing w:after="0" w:line="22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SoundHound AI has a dual class common stock structure and the holders of SoundHound AI Class B Common Stock have ten votes per share. SoundHound Founders own shares of Class B Common Stock representing approximately 72%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1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9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77"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6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6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charter documents could make a merger, tender offer, or proxy contest difficult, thereby depressing the trading price of our Class A Common Stock.</w:t>
      </w:r>
    </w:p>
    <w:p>
      <w:pPr>
        <w:spacing w:after="0" w:line="10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76" w:lineRule="exact"/>
        <w:rPr>
          <w:sz w:val="20"/>
          <w:szCs w:val="20"/>
          <w:color w:val="auto"/>
        </w:rPr>
      </w:pPr>
    </w:p>
    <w:p>
      <w:pPr>
        <w:ind w:left="1320" w:right="47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the Board to establish the number of directors and fill any vacancies and newly created directorships;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eliminates the ability of our stockholders to call special meetings of stockholders, except to the extent otherwise provided in the Amended Bylaws;</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except to the extent otherwise provided in the Amended Bylaws, which requires all stockholder actions to be taken at a meeting of our stockholders;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that the Board is expressly authorized to make, alter, or repeal our Amended Bylaws; and</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1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U.S. and International Taxation Generally</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affect SoundHound AI’s future profitability.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Factors that could materially affect SoundHound AI’s future effective tax rates include but are not limited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w:t>
      </w:r>
    </w:p>
    <w:p>
      <w:pPr>
        <w:spacing w:after="0" w:line="130" w:lineRule="exact"/>
        <w:rPr>
          <w:sz w:val="20"/>
          <w:szCs w:val="20"/>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 or the regulatory environment;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and tax standards or practices;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composition of operating income by tax jurisdiction;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SoundHound AI’s operating results before taxes.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2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 AI’s provision for income taxes because SoundHound AI has incurred annual losses in the U.S. to date and management set up a full valuation allowance against its U.S. federal and states deferred tax assets.</w:t>
      </w:r>
    </w:p>
    <w:p>
      <w:pPr>
        <w:spacing w:after="0" w:line="8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8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AI’s ability to use its net operating loss carryforwards and certain other tax attributes may be limited.</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of December 31, 2022, SoundHound AI had $344.6 million of U.S. federal and $106.9 million of state net operating loss carryforwards available to reduce future taxable income. Of the U.S. federal net operating loss carryforwards, $256.0 million will be carried forward indefinitely for U.S. federal tax purposes and $88.6 million will begin to expire in 2025.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7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16" w:lineRule="exact"/>
        <w:rPr>
          <w:sz w:val="20"/>
          <w:szCs w:val="20"/>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5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COMMITTED EQUITY FINANCING</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August 16, 2022, we entered into the Purchase Agreement with Cantor establishing the Facility. On February 14, 2023 (the “Initial Commencement Date”), following the satisfaction of the initial conditions to Cantor’s obligation to purchase Class A Shares set forth in the Purchase Agreement, we began to sell Class A Shares to Cantor under the Facility. Between February 17, 2023 and March 28, 2023, we sold to Cantor 10,698,552 Class A Shares for net proceeds of $28,681,447. Upon the filing of our Annual Report on Form 10-K, we ceased sales under the Facility. Upon satisfaction of the conditions to Cantor’s obligation to purchase Class A Shares set forth in the Purchase Agreement (the “Second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Common Stock and (ii) the Exchange Cap (as defined below), subject to certain limitations and conditions set forth in the Purchase Agreement (the “Committed Equity Financing”).</w:t>
      </w:r>
    </w:p>
    <w:p>
      <w:pPr>
        <w:spacing w:after="0" w:line="111"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spacing w:after="0" w:line="12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connection with the execution of the Purchase Agreement, the Company also issued to the Holder 250,000 shares of Class A Common Stock (the “Commitment Shares”) as consideration for its irrevocable commitment to purchase the shares of Class A Common Stock upon the terms and subject to the satisfaction of the conditions set forth in the Purchase Agreement which Commitment Shares have been sold. Pursuant to a separate side letter agreement between the Company and the Holder, the Company and the Holder have agreed that the Company will make a cash payment of $250,000 to the Holder within 120 days after the Initial Commencement Date. Unless earlier terminated, the Purchase Agreement will remain in effect until the first day of the month next following the 36-month period commencing on the Initial Commencement Date.</w:t>
      </w:r>
    </w:p>
    <w:p>
      <w:pPr>
        <w:spacing w:after="0" w:line="8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32,052,092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spacing w:after="0" w:line="10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 The purpose of this limitation is to ensure that the Holder is not at any time deemed to own 5% of greater of the outstanding shares of our Class A Common Stock. For clarity, the Beneficial Ownership Cap does not preclude the Holder from acquiring, in the aggregate, more than 4.99% of our outstanding shares of Class A Common Stock, it only precludes the Holder from owning more than 4.99% of our outstanding shares of Class A Common Stock at any given time.</w:t>
      </w:r>
    </w:p>
    <w:p>
      <w:pPr>
        <w:spacing w:after="0" w:line="127"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We also entered into a Registration Rights Agreement (the “Registration Rights Agreement”) with Cantor, pursuant to which we filed the registration statement of which this prospectus forms a part.</w:t>
      </w:r>
    </w:p>
    <w:p>
      <w:pPr>
        <w:spacing w:after="0" w:line="65"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VWAP Purchase of Shares Under the Purchase Agreement</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From and after the Second Commencement Date, subject to certain conditions, including relating to the then current market price of our Class A Common Stock, we will have the right, but not the obligation, from time to time at our sole discretion, until the first day of the month next following the 36-month period from the Initial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spacing w:after="0" w:line="11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purchase price per share to be purchased by Cantor in such VWAP Purchase on such VWAP Purchase Date equal to 97.0% of the VWAP over normal trading hours on such VWAP Purchase Date for such VWAP Purchase (the “VWAP Purchase Price”). Notwithstanding anything in the Purchase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Conditions Precedent to Commencement and Each VWAP Purchase</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spacing w:after="0" w:line="107" w:lineRule="exact"/>
        <w:rPr>
          <w:sz w:val="20"/>
          <w:szCs w:val="20"/>
          <w:color w:val="auto"/>
        </w:rPr>
      </w:pPr>
    </w:p>
    <w:p>
      <w:pPr>
        <w:jc w:val="both"/>
        <w:ind w:left="1320" w:right="479" w:hanging="434"/>
        <w:spacing w:after="0" w:line="263"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accuracy (in all material respects, if not qualified by materiality or Material Adverse Effect (as defined in the Purchase Agreement)) of the representations and warranties of the Company and Cantor included in the Purchase Agreement;</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having performed, satisfied and complied in all material respects with all covenants, agreements and conditions required by the Purchase Agreement to be performed, satisfied or complied with by the Company;</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Cantor nor any affiliate of Cantor, in the prior 30 calendar days, having published or distributed any research report concerning us;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59" w:lineRule="auto"/>
        <w:tabs>
          <w:tab w:leader="none" w:pos="1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spacing w:after="0" w:line="119" w:lineRule="exact"/>
        <w:rPr>
          <w:rFonts w:ascii="Arial" w:cs="Arial" w:eastAsia="Arial" w:hAnsi="Arial"/>
          <w:sz w:val="18"/>
          <w:szCs w:val="18"/>
          <w:color w:val="auto"/>
        </w:rPr>
      </w:pPr>
    </w:p>
    <w:p>
      <w:pPr>
        <w:jc w:val="both"/>
        <w:ind w:left="1320" w:right="459" w:hanging="434"/>
        <w:spacing w:after="0" w:line="287" w:lineRule="auto"/>
        <w:tabs>
          <w:tab w:leader="none" w:pos="13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spacing w:after="0" w:line="104" w:lineRule="exact"/>
        <w:rPr>
          <w:rFonts w:ascii="Arial" w:cs="Arial" w:eastAsia="Arial" w:hAnsi="Arial"/>
          <w:sz w:val="16"/>
          <w:szCs w:val="16"/>
          <w:color w:val="auto"/>
        </w:rPr>
      </w:pPr>
    </w:p>
    <w:p>
      <w:pPr>
        <w:jc w:val="both"/>
        <w:ind w:left="1320" w:right="459" w:hanging="434"/>
        <w:spacing w:after="0" w:line="263" w:lineRule="auto"/>
        <w:tabs>
          <w:tab w:leader="none" w:pos="1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reports, schedules, registrations, forms, statements, information and other documents required to have been filed by the Company with the SEC pursuant to the reporting requirements of the Exchange Act having been filed with the SEC;</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spacing w:after="0" w:line="119" w:lineRule="exact"/>
        <w:rPr>
          <w:rFonts w:ascii="Arial" w:cs="Arial" w:eastAsia="Arial" w:hAnsi="Arial"/>
          <w:sz w:val="18"/>
          <w:szCs w:val="18"/>
          <w:color w:val="auto"/>
        </w:rPr>
      </w:pPr>
    </w:p>
    <w:p>
      <w:pPr>
        <w:ind w:left="1320" w:right="479" w:hanging="434"/>
        <w:spacing w:after="0" w:line="342" w:lineRule="auto"/>
        <w:tabs>
          <w:tab w:leader="none" w:pos="13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receipt by Cantor of customary legal opinions and auditor comfort letters, and customary bring-down legal opinions and auditor comfort letters, as required under the Purchase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Termination of the Purchase Agreement</w:t>
      </w:r>
    </w:p>
    <w:p>
      <w:pPr>
        <w:spacing w:after="0" w:line="162"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Unless earlier terminated as provided in the Purchase Agreement, the Purchase Agreement will terminate automatically on the earliest to occur of:</w:t>
      </w:r>
    </w:p>
    <w:p>
      <w:pPr>
        <w:spacing w:after="0" w:line="89" w:lineRule="exact"/>
        <w:rPr>
          <w:sz w:val="20"/>
          <w:szCs w:val="20"/>
          <w:color w:val="auto"/>
        </w:rPr>
      </w:pPr>
    </w:p>
    <w:p>
      <w:pPr>
        <w:ind w:left="1320" w:right="479" w:hanging="434"/>
        <w:spacing w:after="0" w:line="277" w:lineRule="auto"/>
        <w:tabs>
          <w:tab w:leader="none" w:pos="1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day of the month next following the 36-month anniversary of the date of the Initial Commencement Date;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Cantor shall have purchased 25,000,000 shares of our Class A Common Stock under the Purchase Agreement;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our Class A Common Stock shall have failed to be listed or quoted on Nasdaq or any alternative market; and</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we commence a voluntary bankruptcy case or any person commences a proceeding against us, a custodian is appointed for us or for all or substantially all of our property, or we make a general assignment for the benefit of its creditors.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Pursuant to the Purchase Agreement, we may terminate the agreement after the Initial Commencement Date effective upon three trading days’ prior written notice to Cantor in accordance with the Purchase Agreement.</w:t>
      </w:r>
    </w:p>
    <w:p>
      <w:pPr>
        <w:spacing w:after="0" w:line="11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Purchase Agreement may be terminated at any time by the mutual written consent of the parties, effective as of the date of such mutual written consent unless otherwise provided in such written consent.</w:t>
      </w:r>
    </w:p>
    <w:p>
      <w:pPr>
        <w:spacing w:after="0" w:line="65"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pursuant to the Registration Rights Agreement, the effectiveness of the registration statement lapses for any reason (including,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Short-Selling or Hedging by Cantor</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Prohibition on Similar Transactions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Sales of Our Shares under the Purchase Agreement on Our Stockholders</w:t>
      </w:r>
    </w:p>
    <w:p>
      <w:pPr>
        <w:spacing w:after="0" w:line="14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shares of Class A Common Stock being registered for resale in this offering may be issued and sold by us to Cantor from time to time at our discretion over a period until the first day of the month next following the 36-month anniversary of the Initial Commencement Date,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Risks Related to the Committed Equity Financing — Investors who buy shares of our Class A Common Stock from Cantor at different times will likely pay different prices.</w:t>
      </w:r>
      <w:r>
        <w:rPr>
          <w:rFonts w:ascii="Arial" w:cs="Arial" w:eastAsia="Arial" w:hAnsi="Arial"/>
          <w:sz w:val="16"/>
          <w:szCs w:val="16"/>
          <w:color w:val="auto"/>
        </w:rPr>
        <w:t>”</w:t>
      </w:r>
    </w:p>
    <w:p>
      <w:pPr>
        <w:spacing w:after="0" w:line="10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9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March 23, 2023, 180,173,708 shares of our Class A Common Stock are issued and outstanding.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all of the 14,301,448 shares of our Class A Common Stock offered for resale by Cantor under this prospectus were issued and outstanding as of March 23, 2023, such shares would represent approximately 7.4% of the total number of our Class A Common Stock outstanding.</w:t>
      </w:r>
    </w:p>
    <w:p>
      <w:pPr>
        <w:spacing w:after="0" w:line="11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spacing w:after="0" w:line="9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information at varying purchase prices assuming we sell to Cantor under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Agreement all 14,301,448 remaining shares of Class A Common Stock at that price:</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Outstanding Class A</w:t>
            </w:r>
          </w:p>
        </w:tc>
        <w:tc>
          <w:tcPr>
            <w:tcW w:w="120" w:type="dxa"/>
            <w:vAlign w:val="bottom"/>
          </w:tcPr>
          <w:p>
            <w:pPr>
              <w:spacing w:after="0"/>
              <w:rPr>
                <w:sz w:val="17"/>
                <w:szCs w:val="17"/>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Aggregate Purchase</w:t>
            </w:r>
          </w:p>
        </w:tc>
        <w:tc>
          <w:tcPr>
            <w:tcW w:w="0" w:type="dxa"/>
            <w:vAlign w:val="bottom"/>
          </w:tcPr>
          <w:p>
            <w:pPr>
              <w:spacing w:after="0"/>
              <w:rPr>
                <w:sz w:val="1"/>
                <w:szCs w:val="1"/>
                <w:color w:val="auto"/>
              </w:rPr>
            </w:pPr>
          </w:p>
        </w:tc>
      </w:tr>
      <w:tr>
        <w:trPr>
          <w:trHeight w:val="203"/>
        </w:trPr>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Assumed Trading</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Number of Shares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 Stock After</w:t>
            </w:r>
          </w:p>
        </w:tc>
        <w:tc>
          <w:tcPr>
            <w:tcW w:w="1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Price for Class A</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Price of Class A</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Sold Under the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Giving Effect to</w:t>
            </w:r>
          </w:p>
        </w:tc>
        <w:tc>
          <w:tcPr>
            <w:tcW w:w="1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Common Stock Sold</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Facility</w:t>
            </w:r>
            <w:r>
              <w:rPr>
                <w:rFonts w:ascii="Arial" w:cs="Arial" w:eastAsia="Arial" w:hAnsi="Arial"/>
                <w:sz w:val="18"/>
                <w:szCs w:val="18"/>
                <w:b w:val="1"/>
                <w:bCs w:val="1"/>
                <w:color w:val="auto"/>
                <w:w w:val="91"/>
                <w:vertAlign w:val="superscript"/>
              </w:rPr>
              <w:t>(1)</w:t>
            </w:r>
          </w:p>
        </w:tc>
        <w:tc>
          <w:tcPr>
            <w:tcW w:w="1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Commitment Shares</w:t>
            </w:r>
            <w:r>
              <w:rPr>
                <w:rFonts w:ascii="Arial" w:cs="Arial" w:eastAsia="Arial" w:hAnsi="Arial"/>
                <w:sz w:val="18"/>
                <w:szCs w:val="18"/>
                <w:b w:val="1"/>
                <w:bCs w:val="1"/>
                <w:color w:val="auto"/>
                <w:w w:val="90"/>
                <w:vertAlign w:val="superscript"/>
              </w:rPr>
              <w:t>(2)</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Issuances to Cantor</w:t>
            </w:r>
            <w:r>
              <w:rPr>
                <w:rFonts w:ascii="Arial" w:cs="Arial" w:eastAsia="Arial" w:hAnsi="Arial"/>
                <w:sz w:val="18"/>
                <w:szCs w:val="18"/>
                <w:b w:val="1"/>
                <w:bCs w:val="1"/>
                <w:color w:val="auto"/>
                <w:w w:val="88"/>
                <w:vertAlign w:val="superscript"/>
              </w:rPr>
              <w:t>(3)</w:t>
            </w:r>
          </w:p>
        </w:tc>
        <w:tc>
          <w:tcPr>
            <w:tcW w:w="120" w:type="dxa"/>
            <w:vAlign w:val="bottom"/>
          </w:tcPr>
          <w:p>
            <w:pPr>
              <w:spacing w:after="0"/>
              <w:rPr>
                <w:sz w:val="21"/>
                <w:szCs w:val="21"/>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Under the Facility</w:t>
            </w:r>
            <w:r>
              <w:rPr>
                <w:rFonts w:ascii="Arial" w:cs="Arial" w:eastAsia="Arial" w:hAnsi="Arial"/>
                <w:sz w:val="18"/>
                <w:szCs w:val="18"/>
                <w:b w:val="1"/>
                <w:bCs w:val="1"/>
                <w:color w:val="auto"/>
                <w:w w:val="91"/>
                <w:vertAlign w:val="superscript"/>
              </w:rPr>
              <w:t>(4)</w:t>
            </w:r>
          </w:p>
        </w:tc>
        <w:tc>
          <w:tcPr>
            <w:tcW w:w="0" w:type="dxa"/>
            <w:vAlign w:val="bottom"/>
          </w:tcPr>
          <w:p>
            <w:pPr>
              <w:spacing w:after="0"/>
              <w:rPr>
                <w:sz w:val="1"/>
                <w:szCs w:val="1"/>
                <w:color w:val="auto"/>
              </w:rPr>
            </w:pPr>
          </w:p>
        </w:tc>
      </w:tr>
      <w:tr>
        <w:trPr>
          <w:trHeight w:val="270"/>
        </w:trPr>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20"/>
                <w:szCs w:val="20"/>
                <w:color w:val="auto"/>
                <w:vertAlign w:val="superscript"/>
              </w:rPr>
              <w:t>(5)</w:t>
            </w: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14,301,448</w:t>
            </w:r>
          </w:p>
        </w:tc>
        <w:tc>
          <w:tcPr>
            <w:tcW w:w="8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13,872,404.56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r>
              <w:rPr>
                <w:rFonts w:ascii="Arial" w:cs="Arial" w:eastAsia="Arial" w:hAnsi="Arial"/>
                <w:sz w:val="20"/>
                <w:szCs w:val="20"/>
                <w:color w:val="auto"/>
                <w:vertAlign w:val="superscript"/>
              </w:rPr>
              <w:t>(6)</w:t>
            </w:r>
          </w:p>
        </w:tc>
        <w:tc>
          <w:tcPr>
            <w:tcW w:w="100" w:type="dxa"/>
            <w:vAlign w:val="bottom"/>
          </w:tcPr>
          <w:p>
            <w:pPr>
              <w:spacing w:after="0"/>
              <w:rPr>
                <w:sz w:val="23"/>
                <w:szCs w:val="23"/>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14,301,448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29,132,049.58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14,301,448</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41,617,213.68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14,301,448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69,362,022.80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14,301,448</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97,106,831.92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14,301,448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138,724,045.60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79" w:hanging="426"/>
        <w:spacing w:after="0" w:line="283"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spacing w:after="0" w:line="1" w:lineRule="exact"/>
        <w:rPr>
          <w:rFonts w:ascii="Arial" w:cs="Arial" w:eastAsia="Arial" w:hAnsi="Arial"/>
          <w:sz w:val="15"/>
          <w:szCs w:val="15"/>
          <w:color w:val="auto"/>
        </w:rPr>
      </w:pPr>
    </w:p>
    <w:p>
      <w:pPr>
        <w:jc w:val="both"/>
        <w:ind w:left="880" w:right="459" w:hanging="426"/>
        <w:spacing w:after="0" w:line="264"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Commitment Shares, which are the 250,000 Class A Shares we issued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 which have subsequently been sold.</w:t>
      </w:r>
    </w:p>
    <w:p>
      <w:pPr>
        <w:jc w:val="both"/>
        <w:ind w:left="880" w:right="459" w:hanging="426"/>
        <w:spacing w:after="0" w:line="281"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denominator used to calculate the percentages in this column is based on 180,173,708 shares of our Class A Common Stock outstanding as of March 23, 2023 (inclusive of the Commitment Shares which were issued prior to the date hereof), adjusted to include the shares issued and sold to the Holder under the Facility.</w:t>
      </w:r>
    </w:p>
    <w:p>
      <w:pPr>
        <w:spacing w:after="0" w:line="1" w:lineRule="exact"/>
        <w:rPr>
          <w:rFonts w:ascii="Arial" w:cs="Arial" w:eastAsia="Arial" w:hAnsi="Arial"/>
          <w:sz w:val="15"/>
          <w:szCs w:val="15"/>
          <w:color w:val="auto"/>
        </w:rPr>
      </w:pPr>
    </w:p>
    <w:p>
      <w:pPr>
        <w:jc w:val="both"/>
        <w:ind w:left="880" w:right="459" w:hanging="426"/>
        <w:spacing w:after="0" w:line="281"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spacing w:after="0" w:line="2" w:lineRule="exact"/>
        <w:rPr>
          <w:rFonts w:ascii="Arial" w:cs="Arial" w:eastAsia="Arial" w:hAnsi="Arial"/>
          <w:sz w:val="15"/>
          <w:szCs w:val="15"/>
          <w:color w:val="auto"/>
        </w:rPr>
      </w:pPr>
    </w:p>
    <w:p>
      <w:pPr>
        <w:ind w:left="880" w:right="479" w:hanging="426"/>
        <w:spacing w:after="0" w:line="264"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lowest price at which shares of our Class A Common Stock may be sold to the Holder under the Purchase Agreement.</w:t>
      </w:r>
    </w:p>
    <w:p>
      <w:pPr>
        <w:ind w:left="880" w:hanging="426"/>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closing price of our Class A Common Stock on Nasdaq on March 24, 2023.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Any sales of shares of Class A Common Stock by the Holder pursuant to this prospectus will be solely for the Holder’s account. The Company will not receive any proceeds from any such sales. However, we will receive proceeds from our sale to the Holder of up to 14,301,448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Arial" w:cs="Arial" w:eastAsia="Arial" w:hAnsi="Arial"/>
          <w:sz w:val="17"/>
          <w:szCs w:val="17"/>
          <w:i w:val="1"/>
          <w:iCs w:val="1"/>
          <w:color w:val="auto"/>
        </w:rPr>
        <w:t>Plan of Distribution (Conflict of Interest)</w:t>
      </w:r>
      <w:r>
        <w:rPr>
          <w:rFonts w:ascii="Arial" w:cs="Arial" w:eastAsia="Arial" w:hAnsi="Arial"/>
          <w:sz w:val="17"/>
          <w:szCs w:val="17"/>
          <w:color w:val="auto"/>
        </w:rPr>
        <w:t>” and “</w:t>
      </w:r>
      <w:r>
        <w:rPr>
          <w:rFonts w:ascii="Arial" w:cs="Arial" w:eastAsia="Arial" w:hAnsi="Arial"/>
          <w:sz w:val="17"/>
          <w:szCs w:val="17"/>
          <w:i w:val="1"/>
          <w:iCs w:val="1"/>
          <w:color w:val="auto"/>
        </w:rPr>
        <w:t>The Committed Equity</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w:t>
      </w:r>
      <w:r>
        <w:rPr>
          <w:rFonts w:ascii="Arial" w:cs="Arial" w:eastAsia="Arial" w:hAnsi="Arial"/>
          <w:sz w:val="17"/>
          <w:szCs w:val="17"/>
          <w:color w:val="auto"/>
        </w:rPr>
        <w:t>” elsewhere in this prospectus for more information.</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use any proceeds from the Facility for working capital and general corporate purposes. We will have broad discretion in the way we use these proceeds. See “</w:t>
      </w:r>
      <w:r>
        <w:rPr>
          <w:rFonts w:ascii="Arial" w:cs="Arial" w:eastAsia="Arial" w:hAnsi="Arial"/>
          <w:sz w:val="18"/>
          <w:szCs w:val="18"/>
          <w:i w:val="1"/>
          <w:iCs w:val="1"/>
          <w:color w:val="auto"/>
        </w:rPr>
        <w:t>Risk Factors — Risks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Committed Equity Financing — We may use proceeds from sales of shares of our Class A Common Stock made pursuant to the Purchase Agreement in ways with which you may not agree or in ways which may not yield a significant return</w:t>
      </w:r>
      <w:r>
        <w:rPr>
          <w:rFonts w:ascii="Arial" w:cs="Arial" w:eastAsia="Arial" w:hAnsi="Arial"/>
          <w:sz w:val="18"/>
          <w:szCs w:val="18"/>
          <w:color w:val="auto"/>
        </w:rPr>
        <w:t>.”</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cannot currently determine the price or prices at which the shares of Class A Common Stock may be sold by the Holder under this prospectus.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INFORMATION FOR CLASS A COMMON STOCK AND WARRANTS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DIVIDEND POLICY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Class A Common Stock and Warrants are currently listed on Nasdaq under the symbols “SOUN” and “SOUNW,” respectively. As of March 23, 2023, there were 119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SOUNDHOUND AI</w:t>
      </w:r>
    </w:p>
    <w:p>
      <w:pPr>
        <w:spacing w:after="0" w:line="13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17 years, our advanced Voice AI platform provides exceptional speed and accuracy and enables humans to interact with products and services like they interact with each other — by speaking naturally.</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SoundHound AI’s technology is live in production and at scale with companies around the globe, including Hyundai, Mercedes-Benz, Pandora, Snap, VIZIO, KIA and Stellantis. As a testament to its capabilities, the Houndify platform surpassed 1 billion annual queries in 2021 and experienced over 85% growth during 2022.</w:t>
      </w:r>
    </w:p>
    <w:p>
      <w:pPr>
        <w:spacing w:after="0" w:line="9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current partners span multiple industries and geographies, and together have a combined reach of over 2 billion end users. By growing these strategic relationships, our year-over-year revenues have grown by more than 45% over the past four years.</w:t>
      </w:r>
    </w:p>
    <w:p>
      <w:pPr>
        <w:spacing w:after="0" w:line="8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by 2026.</w:t>
      </w:r>
    </w:p>
    <w:p>
      <w:pPr>
        <w:spacing w:after="0" w:line="7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0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07"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0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contributed to our revenues during the years ended December 31, 2022 and 2021. While the majority of the contribution is currently from our first pillar of royalties, over time, the subscription and monetization portions are expected to grow and make a bigger contribution to our overall revenue.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Line of Credit</w:t>
      </w:r>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On August 16, 2022, the Company entered into the Purchase Agreement with Cantor establishing the Facility. Through March 17, 2023, the Company has sold approximately 8.8 million shares under the Facility for aggregate proceeds of approximately $24.9 million. The Company has also agreed to make a cash payment of $250,000 within 120 days after the Initial Commencement Date of the offering and to reimburse CFPI of up to $75,000 of expenses. See </w:t>
      </w:r>
      <w:r>
        <w:rPr>
          <w:rFonts w:ascii="Arial" w:cs="Arial" w:eastAsia="Arial" w:hAnsi="Arial"/>
          <w:sz w:val="17"/>
          <w:szCs w:val="17"/>
          <w:i w:val="1"/>
          <w:iCs w:val="1"/>
          <w:color w:val="auto"/>
        </w:rPr>
        <w:t>The Committed Equity Financing</w:t>
      </w:r>
      <w:r>
        <w:rPr>
          <w:rFonts w:ascii="Arial" w:cs="Arial" w:eastAsia="Arial" w:hAnsi="Arial"/>
          <w:sz w:val="17"/>
          <w:szCs w:val="17"/>
          <w:color w:val="auto"/>
        </w:rPr>
        <w:t xml:space="preserve"> elsewhere in this prospectus.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of Preferred Stock</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or around January 20, 2023, the Company entered into Preferred Stock Purchase Agreements (the “PS Purchase Agreements”) with certain investors (the “PS Investors”) pursuant to which the Company issued and sold to the PS Investors an aggregate of 835,011 shares of its newly designated Series A Preferred Stock for an aggregate issue price of approximately $25.0 million. The PS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Restructuring Plan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On January 5, 2023, SoundHound AI announced a Restructuring Plan intended to reduce operating costs, improve operating margins, improve cash flows and accelerate SoundHound AI’s path to profitability. The Restructuring Plan included a reduction of SoundHound AI’s current workforce by approximately 40%.</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SoundHound AI estimates that it will incur approximately $4.5 million to $5.5 million in charges in connection with the Restructuring Plan, of which the majority is expected to be incurred in the first quarter of 2023 and consists of severance payments, employee benefits and share-based compensation. Of the aggregate amount of charges that SoundHound AI estimates it will incur in connection with the Restructuring Plan, SoundHound AI expects that approximately $2.0 million to $3.0 million will be in cash expenditures.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ATSP Merger</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11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Impact of the Business Combination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Known Trends, Demands, Commitments, Events or Uncertainties Impacting Our Business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89" w:lineRule="exact"/>
        <w:rPr>
          <w:sz w:val="20"/>
          <w:szCs w:val="20"/>
          <w:color w:val="auto"/>
        </w:rPr>
      </w:pPr>
    </w:p>
    <w:p>
      <w:pPr>
        <w:jc w:val="both"/>
        <w:ind w:left="1320" w:right="459" w:hanging="434"/>
        <w:spacing w:after="0" w:line="273" w:lineRule="auto"/>
        <w:tabs>
          <w:tab w:leader="none" w:pos="1315"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84" w:lineRule="auto"/>
        <w:tabs>
          <w:tab w:leader="none" w:pos="1315"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Revenue Growth. </w:t>
      </w:r>
      <w:r>
        <w:rPr>
          <w:rFonts w:ascii="Arial" w:cs="Arial" w:eastAsia="Arial" w:hAnsi="Arial"/>
          <w:sz w:val="16"/>
          <w:szCs w:val="16"/>
          <w:color w:val="auto"/>
        </w:rPr>
        <w:t>Our commercial success, including acceptance and use of our applications,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December 31, 2022 was at least 80%.</w:t>
      </w:r>
    </w:p>
    <w:p>
      <w:pPr>
        <w:spacing w:after="0" w:line="109" w:lineRule="exact"/>
        <w:rPr>
          <w:rFonts w:ascii="Arial" w:cs="Arial" w:eastAsia="Arial" w:hAnsi="Arial"/>
          <w:sz w:val="16"/>
          <w:szCs w:val="16"/>
          <w:b w:val="1"/>
          <w:bCs w:val="1"/>
          <w:i w:val="1"/>
          <w:iCs w:val="1"/>
          <w:color w:val="auto"/>
        </w:rPr>
      </w:pPr>
    </w:p>
    <w:p>
      <w:pPr>
        <w:jc w:val="both"/>
        <w:ind w:left="1320" w:right="459" w:hanging="434"/>
        <w:spacing w:after="0" w:line="272" w:lineRule="auto"/>
        <w:tabs>
          <w:tab w:leader="none" w:pos="1315"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Cost of Revenues. </w:t>
      </w:r>
      <w:r>
        <w:rPr>
          <w:rFonts w:ascii="Arial" w:cs="Arial" w:eastAsia="Arial" w:hAnsi="Arial"/>
          <w:sz w:val="17"/>
          <w:szCs w:val="17"/>
          <w:color w:val="auto"/>
        </w:rPr>
        <w:t>The results of our business will depend in part on our ability to establish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9" w:lineRule="exact"/>
        <w:rPr>
          <w:rFonts w:ascii="Arial" w:cs="Arial" w:eastAsia="Arial" w:hAnsi="Arial"/>
          <w:sz w:val="17"/>
          <w:szCs w:val="17"/>
          <w:color w:val="auto"/>
        </w:rPr>
      </w:pPr>
    </w:p>
    <w:p>
      <w:pPr>
        <w:jc w:val="both"/>
        <w:ind w:left="1320" w:right="459" w:hanging="434"/>
        <w:spacing w:after="0" w:line="257" w:lineRule="auto"/>
        <w:tabs>
          <w:tab w:leader="none" w:pos="1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Our ability to accurately forecast demand for our technology could be negatively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06"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International Markets. </w:t>
      </w:r>
      <w:r>
        <w:rPr>
          <w:rFonts w:ascii="Arial" w:cs="Arial" w:eastAsia="Arial" w:hAnsi="Arial"/>
          <w:sz w:val="18"/>
          <w:szCs w:val="18"/>
          <w:color w:val="auto"/>
        </w:rPr>
        <w:t>We have rapidly expanded our capabilities and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We have globalized our solution from 1 to 25 languages. We view opportunities for conversational Voice AI to be global in reach, and we expect our growth to be fueled across multiple geographies.</w:t>
      </w:r>
    </w:p>
    <w:p>
      <w:pPr>
        <w:spacing w:after="0" w:line="119" w:lineRule="exact"/>
        <w:rPr>
          <w:rFonts w:ascii="Arial" w:cs="Arial" w:eastAsia="Arial" w:hAnsi="Arial"/>
          <w:sz w:val="18"/>
          <w:szCs w:val="18"/>
          <w:color w:val="auto"/>
        </w:rPr>
      </w:pPr>
    </w:p>
    <w:p>
      <w:pPr>
        <w:jc w:val="both"/>
        <w:ind w:left="1320" w:right="479" w:hanging="434"/>
        <w:spacing w:after="0" w:line="287" w:lineRule="auto"/>
        <w:tabs>
          <w:tab w:leader="none" w:pos="1315"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Industry Risks. </w:t>
      </w:r>
      <w:r>
        <w:rPr>
          <w:rFonts w:ascii="Arial" w:cs="Arial" w:eastAsia="Arial" w:hAnsi="Arial"/>
          <w:sz w:val="16"/>
          <w:szCs w:val="16"/>
          <w:color w:val="auto"/>
        </w:rPr>
        <w:t>In addition to the COVID-19 pandemic as addressed herein, the military conflict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20" w:lineRule="exact"/>
        <w:rPr>
          <w:sz w:val="20"/>
          <w:szCs w:val="20"/>
          <w:color w:val="auto"/>
        </w:rPr>
      </w:pPr>
    </w:p>
    <w:p>
      <w:pPr>
        <w:jc w:val="both"/>
        <w:ind w:left="460" w:right="479" w:firstLine="432"/>
        <w:spacing w:after="0" w:line="290" w:lineRule="auto"/>
        <w:rPr>
          <w:sz w:val="20"/>
          <w:szCs w:val="20"/>
          <w:color w:val="auto"/>
        </w:rPr>
      </w:pPr>
      <w:r>
        <w:rPr>
          <w:rFonts w:ascii="Arial" w:cs="Arial" w:eastAsia="Arial" w:hAnsi="Arial"/>
          <w:sz w:val="16"/>
          <w:szCs w:val="16"/>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$20.7 million as of December 31,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for the year ended December 31, 2022 included elsewhere in this prospectus for more information.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 Although we expect our operating expenses in these categories to moderate significantly as a result of the Restructuring Plan, we plan to continue investing to support our go-to-market strategies and customer engagement, develop our current and future applications and support our operations as a public company.</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3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General and administrative expenses consist of personnel-related costs, accounting and legal expenses, third-party consulting costs, insurance and allocated overhead including rent, depreciation and utilities.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06"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have historically accounted for certain warrants and conversion features as liabilities at fair value and adjusted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as applicable, is recognized in the Company’s consolidated statement of operations and comprehensive loss as other expense, net.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Other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Income tax expense includes federal, state and foreign taxes and is based on reported income before income taxes. We are in a cumulative loss position for tax purposes based on historical earnings. 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 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spacing w:after="0" w:line="12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the significant components of our results of operations ($ in thousands):</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4"/>
              </w:rPr>
              <w:t>Year Ended December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9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31,129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21,197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9,932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16,127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29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30,178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16,521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13,657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136,536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(105,407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(7,077</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(13,757</w:t>
            </w:r>
          </w:p>
        </w:tc>
        <w:tc>
          <w:tcPr>
            <w:tcW w:w="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Loss before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(112,484)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tables summarize our revenues by type and geographic regions ($ in thousands):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4"/>
              </w:rPr>
              <w:t>Year Ended December 31,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3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Royalties</w:t>
            </w: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Service Subscriptions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1,550</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43"/>
        </w:trPr>
        <w:tc>
          <w:tcPr>
            <w:tcW w:w="2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21,197</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9"/>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4"/>
              </w:rPr>
              <w:t>Year Ended December 31,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3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Korea</w:t>
            </w: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12,070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Germany</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4,134</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7,526</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4,030</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Japan</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3,866</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3,797</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2,616</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Total revenues increased by $9.9 million, or 47%, in 2022 compared to 2021. Product Royalties revenue increased by $10.1 million, or 55%, during 2022 compared to 2021. The increase is primarily attributable to $7.6 million of licensing revenue from our Houndify Edge solution, which we delivered to a customer during the second half of 2022, related to minimum guarantee units to be utilized over the life of the contract and resulted in a corresponding increase in our contract assets balance. The increase is also due to the scaling of our Houndify Products with large automotive partners in Korea, Germany and France. The increases are partially offset by the recognition of $4.3 million in nonrecurring royalties revenue as a result of a contract modification to end a distinct professional service contract prior to completion with a customer in Germany during the second quarter of 2021. Service Subscriptions revenue increased by $0.3 million, or 19%, during 2022 compared to 2021 primarily due to the completion of a non-recurring engineering service for a specific customer during 2022. Monetization revenue decreased by $0.4 million, or 35%, during 2022 compared to 2021 primarily due to a decrease in advertising revenue through decreased user impressions on the SoundHound music application.</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addition to the revenue growth experienced in Korea due to the $7.6 million Houndify Edge licensing agreement, we benefited from revenue growth in Korea and France from scaling our Houndify Products with large automotive and device makers of $4.0 million and $1.0 million, respectively, during 2022 compared to 2021. We experienced a $3.4 million decrease in revenue from Germany during 2022 compared to 2021. The decrease is primarily due to a one-time contract modification from a customer in Germany to end a distinct professional service contract prior to completion during the second quarter of 2021 and was partially offset by an increase in revenue of $2.1 million from scaling our Houndify Products with large automotive and device makers in Germany during 2022. Revenue in both periods came principally from customers across the automotive and IoT sectors, with less significant amounts derived from other industry verticals.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Cost of revenues increased by $3.0 million, or 46%, in 2022 compared to 2021. The increase is primarily related to incurring additional data center and hosting costs due to system migrations in order to support our revenue growth. Gross margin was consistent at 69% during 2022 and 2021. Gross margin in 2022 benefited from increased margins on the Houndify Edge solution delivered to a customer during the second half of 2022. Gross margin in 2021 benefited from increased margins due to the one-time contract modification to end the distinct professional service contract prior to completion with a customer in Germany during the second quarter of 2021. While our gross margin may fluctuate in the near-term due to revenue contributions from varying product mixes, we expect it will stabilize as we look to expand our revenue from subscriptions and monetization.</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Sales and marketing expenses increased by $16.1 million, or 380%, in 2022 compared to 2021. The increase is primarily due to increased program spend to support a greater investment in go-to-market strategies and customer engagement and drive growth in our revenue from subscriptions and monetization. Sales and marketing headcount increased by approximately 142% on average during 2022 compared to 2021 and was accompanied by an additional $11.4 million in compensation and other benefits expense, including an additional $2.3 million of stock-based compensation expense. Additionally, marketing and advertising expense increased by $1.5 million during 2022 compared to 2021.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Research and development expenses increased by $17.2 million, or 29%, in 2022 compared to 2021. The increase is primarily due to our investment in technology and engineering and increasing our full-time engineer headcount to ensure we remain at the forefront of innovation, while also helping to develop and scale new products and services. Research and development headcount increased by approximately 14% on average during 2022 compared to 2021 and was accompanied by an additional $12.0 million in compensation and other benefits expense, including an additional $9.6 million of stock-based compensation expense.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General and administrative expenses increased by $13.7 million, or 83%, in 2022 compared to 2021. The increase represents investments in our human resources, finance and legal functions, including increased personnel-related expenses in 2022 as we prepared and began to function as a public entity. General and administrative headcount increased by approximately 70% on average during 2022 compared to 2021 and was accompanied by higher salaries and compensation packages and an additional $10.5 million of stock-based compensation expense. Our expansion efforts, focused both on geographical reach and service compatibility, led to an increase in operational costs. Expenses related to the Business Combination also contributed to an increase in costs related to third-party specialists in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growth as we scale as a new public company.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Interest expense decreased by $1.4 million, or 17%, in 2022 compared to 2021. The decrease in interest expense is primarily attributable to the conversion of the SNAP June 2020 Note into shares of our Class A Common Stock during the second quarter of 2022 and largely offset by the issuances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2022 compared to 2021.61</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other expense, net, by type ($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4"/>
              </w:rPr>
              <w:t>Year Ended December 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2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3"/>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
        </w:trPr>
        <w:tc>
          <w:tcPr>
            <w:tcW w:w="29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5471%</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w w:val="96"/>
              </w:rPr>
              <w:t>Change in fair value of derivative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4,314</w:t>
            </w:r>
          </w:p>
        </w:tc>
        <w:tc>
          <w:tcPr>
            <w:tcW w:w="4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r>
      <w:tr>
        <w:trPr>
          <w:trHeight w:val="40"/>
        </w:trPr>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4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w:t>
            </w: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losses attributable to the change in fair value of derivative and warrant liability decreased by $4.3 million, or 88%, in 2022 compared to 2021. The decrease was primarily attributable to $3.8 million in losses, from the change in fair value of the warrant liability during 2021, as compared to no change in the fair value of the warrant liability during 2022, due to the exercise of Series C Warrants in December 2021, which extinguished the Company’s corresponding warrant liability.</w:t>
      </w:r>
    </w:p>
    <w:p>
      <w:pPr>
        <w:spacing w:after="0" w:line="12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2022 balance solely reflects the change in fair value of the embedded derivative from the SNAP June 2020 Note. The fair value of the derivative liability decreased by $0.6 million during 2022, compared to a decrease of $1.1 million during 2021. The changes in fair value of the derivative liability represent corresponding gains or losses on the Consolidated Statements of Operations and Comprehensive Loss due to changes in probability assumptions of a change in control or SPAC transaction.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18"/>
                <w:szCs w:val="18"/>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0"/>
        </w:trPr>
        <w:tc>
          <w:tcPr>
            <w:tcW w:w="30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495"/>
              <w:spacing w:after="0"/>
              <w:rPr>
                <w:sz w:val="20"/>
                <w:szCs w:val="20"/>
                <w:color w:val="auto"/>
              </w:rPr>
            </w:pPr>
            <w:r>
              <w:rPr>
                <w:rFonts w:ascii="Arial" w:cs="Arial" w:eastAsia="Arial" w:hAnsi="Arial"/>
                <w:sz w:val="16"/>
                <w:szCs w:val="16"/>
                <w:b w:val="1"/>
                <w:bCs w:val="1"/>
                <w:color w:val="auto"/>
              </w:rPr>
              <w:t>%</w:t>
            </w:r>
          </w:p>
        </w:tc>
      </w:tr>
      <w:tr>
        <w:trPr>
          <w:trHeight w:val="47"/>
        </w:trPr>
        <w:tc>
          <w:tcPr>
            <w:tcW w:w="3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4"/>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Company’s effective tax rate for 2022 and 2021 differs from the U.S. statutory rate primarily due to an increase in the domestic valuation allowance caused by tax losses, foreign withholding taxes and foreign tax rate differentials from the U.S. domestic statutory tax rate.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We had $9.2 million in cash and cash equivalents as of December 31, 2022. Although the Company has incurred recurring losses each year since its inception, with consideration to the Restructuring Plan, the Company expects it will be able to fund its operations for at least the next twelve months through a combination of cash on hand (including as a result of the net proceeds from the recently closed Series A Preferred Stock Transaction (See </w:t>
      </w:r>
      <w:r>
        <w:rPr>
          <w:rFonts w:ascii="Arial" w:cs="Arial" w:eastAsia="Arial" w:hAnsi="Arial"/>
          <w:sz w:val="16"/>
          <w:szCs w:val="16"/>
          <w:i w:val="1"/>
          <w:iCs w:val="1"/>
          <w:color w:val="auto"/>
        </w:rPr>
        <w:t>Issuance of Preferred Stock</w:t>
      </w:r>
      <w:r>
        <w:rPr>
          <w:rFonts w:ascii="Arial" w:cs="Arial" w:eastAsia="Arial" w:hAnsi="Arial"/>
          <w:sz w:val="16"/>
          <w:szCs w:val="16"/>
          <w:color w:val="auto"/>
        </w:rPr>
        <w:t xml:space="preserve"> below)), proceeds from sales of Class A common stock under the ELOC program (see </w:t>
      </w:r>
      <w:r>
        <w:rPr>
          <w:rFonts w:ascii="Arial" w:cs="Arial" w:eastAsia="Arial" w:hAnsi="Arial"/>
          <w:sz w:val="16"/>
          <w:szCs w:val="16"/>
          <w:i w:val="1"/>
          <w:iCs w:val="1"/>
          <w:color w:val="auto"/>
        </w:rPr>
        <w:t>Equity Line of Credit</w:t>
      </w:r>
      <w:r>
        <w:rPr>
          <w:rFonts w:ascii="Arial" w:cs="Arial" w:eastAsia="Arial" w:hAnsi="Arial"/>
          <w:sz w:val="16"/>
          <w:szCs w:val="16"/>
          <w:color w:val="auto"/>
        </w:rPr>
        <w:t xml:space="preserve"> below), securing additional funding through debt or equity financings, implementing incremental expense reduction measures or a combination thereof. Additionally,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operations, if at all. The Company’s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Line of Credit</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As described elsewhere herein, through March 17, 2023, the Company has sold approximately 8.8 million shares under the Facility for aggregate proceeds of approximately $24.9 million. The Company has also agreed to make a cash payment of $250,000 within 120 days after the Initial Commencement Date of the offering and to reimburse CFPI of up to $75,000 of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Preferred Stock</w:t>
      </w:r>
    </w:p>
    <w:p>
      <w:pPr>
        <w:spacing w:after="0" w:line="15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On or around January 20, 2023, the Company entered into PS Purchase Agreements with certain the PS Investors pursuant to which the Company issued and sold to the PS Investors an aggregate of 835,011 shares of its newly designated Series A Preferred Stock for an aggregate issue price of approximately $25.0 million.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Restructuring</w:t>
      </w:r>
    </w:p>
    <w:p>
      <w:pPr>
        <w:spacing w:after="0" w:line="14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On January 5, 2023, SoundHound announced the Restructuring Plan intended to reduce operating costs, improve operating margins, improve cash flows and accelerate the Company’s path to profitability. The Restructuring Plan included a reduction of the Company’s then-current workforce by approximately 40%.</w:t>
      </w:r>
    </w:p>
    <w:p>
      <w:pPr>
        <w:spacing w:after="0" w:line="81"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Company estimates that it will incur approximately $4.5 million to $5.5 million in charges in connection with the Restructuring Plan, of which the majority is expected to be incurred in the first quarter of 2023 and consists of severance payments, employee benefits and share-based compensation. Of the aggregate amount of charges that the Company estimates it will incur in connection with the Restructuring Plan, the Company expects that approximately $2.0 million to $3.0 million will be in cash expenditures.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As a result of the Business Combination in April 2022,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Note 9 and Note 14 to our audited consolidated financial statements for the year ended December 31, 2022 included in this prospectus for more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Financing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Below are our material debt agreements as of December 31, 2022:</w:t>
      </w:r>
    </w:p>
    <w:p>
      <w:pPr>
        <w:spacing w:after="0" w:line="158" w:lineRule="exact"/>
        <w:rPr>
          <w:sz w:val="20"/>
          <w:szCs w:val="20"/>
          <w:color w:val="auto"/>
        </w:rPr>
      </w:pPr>
    </w:p>
    <w:p>
      <w:pPr>
        <w:jc w:val="both"/>
        <w:ind w:left="1320" w:right="459" w:hanging="434"/>
        <w:spacing w:after="0" w:line="255" w:lineRule="auto"/>
        <w:tabs>
          <w:tab w:leader="none" w:pos="131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SVB March 2021 Note </w:t>
      </w:r>
      <w:r>
        <w:rPr>
          <w:rFonts w:ascii="Arial" w:cs="Arial" w:eastAsia="Arial" w:hAnsi="Arial"/>
          <w:sz w:val="18"/>
          <w:szCs w:val="18"/>
          <w:color w:val="auto"/>
        </w:rPr>
        <w:t>— In March 2021, we entered into a loan and security agreement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9" w:lineRule="auto"/>
        <w:tabs>
          <w:tab w:leader="none" w:pos="131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SCI June 2021 Note </w:t>
      </w:r>
      <w:r>
        <w:rPr>
          <w:rFonts w:ascii="Arial" w:cs="Arial" w:eastAsia="Arial" w:hAnsi="Arial"/>
          <w:sz w:val="18"/>
          <w:szCs w:val="18"/>
          <w:color w:val="auto"/>
        </w:rPr>
        <w:t>— In June 2021, we issued a note pursuant to a loan and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lender to borrow up to a commitment amount of $15.0 million in $5.0 million increments (“SCI June 2021 Note”). Through December 31, 2021, we had borrowed $15.0 million. The maturity date of the loan is May 31, 2025.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8"/>
          </w:tcPr>
          <w:p>
            <w:pPr>
              <w:jc w:val="right"/>
              <w:ind w:right="340"/>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(94,019)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(66,177)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82,001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44,653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change in cash, cash equivalents, and restricted cash equivalents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(13,347</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(22,160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Net cash used in operating activities was $94.0 million during 2022 compared to $66.2 million during 2021. The $27.8 million increase in cash used in operating activities was primarily due to our increased net loss, adjusted for non-cash expenses, including stock-based compensation and depreciation and amortization, as well as an increase in our contract assets balance of $8.7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Net cash used in investing activities was $1.3 million during 2022 compared to $0.6 million during 2021. The $0.7 million increase in cash used in investing activities was driven by purchases of property and equipment.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Net cash provided by financing activities was $82.0 million during 2022 compared to $44.7 million during 2021. The $37.3 million increase in cash provided by financing activities was primarily due to the $90.7 million in net proceeds from the Business Combination. This was partially offset by net proceeds of $44.7 million from the issuance of the SVB March 2021 Note and the SCI June 2021 Note during 2021 and payments on our notes payable of $11.5 million during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In preparing our Consolidated Financial Statements in accordance with GAAP and pursuant to the rules and regulations of the SEC, we make assumptions, judgments and estimates that affect the reported amounts of assets, liabilities, revenue and expenses, and related disclosures of contingent assets and liabilities. We base our assumptions, judgments and estimates on historical experience and various other factors that we believe to be reasonable under the circumstances. Actual results could differ materially from these estimates under different assumptions or conditions. We evaluate our assumptions, judgments and estimates on a regular basis. We also discuss our critical accounting policies and estimates with the Audit Committee of the Board of Directors.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believe that the assumptions, judgments and estimates involved in the accounting for revenue recognition, convertible notes and derivative liabilities, warrant liabilities and stock-based compensation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 Historically, our assumptions, judgments and estimates relative to our critical accounting policies have not differed materially from actual results.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We recognize revenue with customers in accordance with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primarily derive revenue from the following performance obligations: (1) hosted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(2) professional services, (3) monetization, and (4) licensing.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Hosted Services</w:t>
      </w:r>
    </w:p>
    <w:p>
      <w:pPr>
        <w:spacing w:after="0" w:line="15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6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2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Services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Monetization</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the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Licensing</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11"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10" w:lineRule="exact"/>
        <w:rPr>
          <w:sz w:val="20"/>
          <w:szCs w:val="20"/>
          <w:color w:val="auto"/>
        </w:rPr>
      </w:pPr>
    </w:p>
    <w:p>
      <w:pPr>
        <w:ind w:left="1320" w:hanging="43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Major product groupings;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 and Derivative Liabilities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evaluate our convertible notes and other contracts, if any, to determine if those contracts or embedded components of those contracts qualify as derivatives requiring bifurcation. We account for conversion features that meet criteria for bifurcation as liabilities at fair value and adjust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was estimated using a probability-weighted discount model with and without the conversion feature until extinguished on April 26, 2022 in connection with the Business Combination. See Note 10 for additional information.</w:t>
      </w:r>
    </w:p>
    <w:p>
      <w:pPr>
        <w:spacing w:after="0" w:line="10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The Company uses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by using the Black-Scholes option-pricing model with the following assumptions:</w:t>
      </w:r>
    </w:p>
    <w:p>
      <w:pPr>
        <w:spacing w:after="0" w:line="113"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estimates volatility for the awards by evaluating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of a peer group of companies for the period immediately preceding the award grant for a term that is approximately equal to the awards’s expected term.</w:t>
      </w:r>
    </w:p>
    <w:p>
      <w:pPr>
        <w:spacing w:after="0" w:line="116"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of the Company’s awards represents the period that the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83" w:lineRule="exact"/>
        <w:rPr>
          <w:sz w:val="20"/>
          <w:szCs w:val="20"/>
          <w:color w:val="auto"/>
        </w:rPr>
      </w:pPr>
    </w:p>
    <w:p>
      <w:pPr>
        <w:jc w:val="both"/>
        <w:ind w:left="880" w:right="459"/>
        <w:spacing w:after="0" w:line="342"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The risk-free interest rate is based on the implied yield currently available on</w:t>
      </w:r>
      <w:r>
        <w:rPr>
          <w:rFonts w:ascii="Arial" w:cs="Arial" w:eastAsia="Arial" w:hAnsi="Arial"/>
          <w:sz w:val="16"/>
          <w:szCs w:val="16"/>
          <w:i w:val="1"/>
          <w:iCs w:val="1"/>
          <w:color w:val="auto"/>
        </w:rPr>
        <w:t xml:space="preserve"> </w:t>
      </w:r>
      <w:r>
        <w:rPr>
          <w:rFonts w:ascii="Arial" w:cs="Arial" w:eastAsia="Arial" w:hAnsi="Arial"/>
          <w:sz w:val="16"/>
          <w:szCs w:val="16"/>
          <w:color w:val="auto"/>
        </w:rPr>
        <w:t>U.S. Treasury zero-coupon issues with a term that is equal to the awards’ expected term at the grant date.</w:t>
      </w:r>
    </w:p>
    <w:p>
      <w:pPr>
        <w:spacing w:after="0" w:line="56"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has not declared or paid dividends to date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declaring dividends. As such, expected dividend yield is zero.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See Note 2 of our Notes to Consolidated Financial Statements for information regarding recent accounting pronouncements that are of significance, or potential significance to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Mission</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and Deep Meaning Understanding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technologies developed over the past 17 years, our advanced Voice AI platform provides exceptional speed and accuracy.</w:t>
      </w:r>
    </w:p>
    <w:p>
      <w:pPr>
        <w:spacing w:after="0" w:line="92"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5"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SoundHound AI’s technology is currently being used globally by customers that include Hyundai, Mercedes-Benz, Pandora, Snap, VIZIO, Square, Toast, Oracle, KIA, and Stellantis. We have seen significant inflection in customer adoption of our technology, as measured through activity on our Houndify platform, which surpassed 1 billion annual queries in 2021 and experienced over 85% growth during 2022.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45% year over year each fiscal year over the past four years.</w:t>
      </w:r>
    </w:p>
    <w:p>
      <w:pPr>
        <w:spacing w:after="0" w:line="18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support our customers by providing them access to Houndify</w:t>
      </w:r>
      <w:r>
        <w:rPr>
          <w:rFonts w:ascii="Arial" w:cs="Arial" w:eastAsia="Arial" w:hAnsi="Arial"/>
          <w:sz w:val="18"/>
          <w:szCs w:val="18"/>
          <w:color w:val="auto"/>
          <w:vertAlign w:val="superscript"/>
        </w:rPr>
        <w:t>®</w:t>
      </w:r>
      <w:r>
        <w:rPr>
          <w:rFonts w:ascii="Arial" w:cs="Arial" w:eastAsia="Arial" w:hAnsi="Arial"/>
          <w:sz w:val="16"/>
          <w:szCs w:val="16"/>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18"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AI</w:t>
      </w:r>
      <w:r>
        <w:rPr>
          <w:rFonts w:ascii="Arial" w:cs="Arial" w:eastAsia="Arial" w:hAnsi="Arial"/>
          <w:sz w:val="20"/>
          <w:szCs w:val="20"/>
          <w:color w:val="auto"/>
          <w:vertAlign w:val="superscript"/>
        </w:rPr>
        <w:t>®</w:t>
      </w:r>
      <w:r>
        <w:rPr>
          <w:rFonts w:ascii="Arial" w:cs="Arial" w:eastAsia="Arial" w:hAnsi="Arial"/>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3"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technology is backed by SoundHound AI’s investments in intellectual property, with over 120 patents granted and over 140 patents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significant addressable market</w:t>
      </w:r>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9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Industry sources predict that 90% of new vehicles globally will have voice assistants by 2028 and that there will be 75 billion connected devices worldwide by 2025. The number of devices with their own voice assistant is expected to surpass the world’s population within four years.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103"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those already employing a voice assistant, 81% are using the technology to improve customer service and 52% are using them for sales activity.</w:t>
      </w:r>
    </w:p>
    <w:p>
      <w:pPr>
        <w:spacing w:after="0" w:line="10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7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According to Juniper Research, the broader market for Voice AI transactions will exceed $160 billion by 2026, enabled by a growing need for Voice AI in many industries.</w:t>
      </w:r>
    </w:p>
    <w:p>
      <w:pPr>
        <w:spacing w:after="0" w:line="10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believe that Voice AI is poised to be the next disruption in computing and the timing is right for our company and our vision.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Technical Development</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SoundHound AI’s technology represents the evolution of several disruptive breakthroughs in voice-AI and sound recognition developed over the past 15+ years. Using innovative audio and music identification technology, in 2009, our founders launched the SoundHound AI music identification app. Since its inception, the app has received over 315 million downloads.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06"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8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In 2022, SoundHound AI introduced Dynamic Interaction</w:t>
      </w:r>
      <w:r>
        <w:rPr>
          <w:rFonts w:ascii="Arial" w:cs="Arial" w:eastAsia="Arial" w:hAnsi="Arial"/>
          <w:sz w:val="18"/>
          <w:szCs w:val="18"/>
          <w:color w:val="auto"/>
          <w:vertAlign w:val="superscript"/>
        </w:rPr>
        <w:t>™</w:t>
      </w:r>
      <w:r>
        <w:rPr>
          <w:rFonts w:ascii="Arial" w:cs="Arial" w:eastAsia="Arial" w:hAnsi="Arial"/>
          <w:sz w:val="16"/>
          <w:szCs w:val="16"/>
          <w:color w:val="auto"/>
        </w:rPr>
        <w:t>, a category-level breakthrough in conversational AI that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 Additionally, in March 2023, we unveiled a new product called “SoundHound Chat AI”, which we believe will usher in a new phase of voice-enabled, conversational AI by combining the power of software engineering and machine learning generative AI.</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SoundHound AI’s Vision</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A typical reaction to SoundHound AI’s technology is “Wow! Even humans cannot do this.” This is the crux of our vision: </w:t>
      </w:r>
      <w:r>
        <w:rPr>
          <w:rFonts w:ascii="Arial" w:cs="Arial" w:eastAsia="Arial" w:hAnsi="Arial"/>
          <w:sz w:val="17"/>
          <w:szCs w:val="17"/>
          <w:i w:val="1"/>
          <w:iCs w:val="1"/>
          <w:color w:val="auto"/>
        </w:rPr>
        <w:t>Create a Voice AI platform that exceeds human capabilities and brings value and delight via</w:t>
      </w:r>
      <w:r>
        <w:rPr>
          <w:rFonts w:ascii="Arial" w:cs="Arial" w:eastAsia="Arial" w:hAnsi="Arial"/>
          <w:sz w:val="17"/>
          <w:szCs w:val="17"/>
          <w:color w:val="auto"/>
        </w:rPr>
        <w:t xml:space="preserve"> </w:t>
      </w:r>
      <w:r>
        <w:rPr>
          <w:rFonts w:ascii="Arial" w:cs="Arial" w:eastAsia="Arial" w:hAnsi="Arial"/>
          <w:sz w:val="17"/>
          <w:szCs w:val="17"/>
          <w:i w:val="1"/>
          <w:iCs w:val="1"/>
          <w:color w:val="auto"/>
        </w:rPr>
        <w:t>an ecosystem of billions of products enhanced by innovation and monetization opportunities.</w:t>
      </w:r>
    </w:p>
    <w:p>
      <w:pPr>
        <w:spacing w:after="0" w:line="84"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9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6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Additionally, through SoundHound AI’s AI-driven restaurant voice ordering solution, SoundHound for Restaurants, automated voice technology can be deployed by any restaurant to take food and drink orders over the phone, via menu kiosks or at the drive-thru. Its sophisticated technology learns the menu of each business and can answer questions, accept modifications and even upsell, helping the restaurant process more orders quickly and efficiently.</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Technology Breakthroughs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Speech-to-Meaning</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79375</wp:posOffset>
            </wp:positionV>
            <wp:extent cx="5143500" cy="2494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Deep Meaning Understanding</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Deep Meaning Understanding is our innovative approach to language understanding that allows our Voice AI platform to understand highly complex conversation.</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5134610" cy="2434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3461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Collective AI</w:t>
      </w:r>
    </w:p>
    <w:p>
      <w:pPr>
        <w:spacing w:after="0" w:line="15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7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AI Products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Houndify platform</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1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Automatic Speech Recognition (“ASR”)</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Natural Language Understanding (“NLU”)</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1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Wake Words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1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 Domains</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9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Text-to-speech (“TTS”)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 high quality TTS helps companies create a unique voice that differentiates them from the competition. Brands can fully express their personality by choosing the gender, tone, and personality that will become their vocal identity.</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Edge (Embedded)</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 xml:space="preserve">Houndify Edge Hybrid </w:t>
      </w:r>
      <w:r>
        <w:rPr>
          <w:rFonts w:ascii="Arial" w:cs="Arial" w:eastAsia="Arial" w:hAnsi="Arial"/>
          <w:sz w:val="18"/>
          <w:szCs w:val="18"/>
          <w:color w:val="auto"/>
        </w:rPr>
        <w:t>solutions are designed to ensure that devices are always-on and responsive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commands. Allows for over-the-air product updates and a broader voice experience with the level of cloud-connectivity that best matches the product and its users.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 and Differentiators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Independent Disruptor</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2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9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2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5134610" cy="2700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3461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Momentum</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Building a Diverse, Global Customer Base</w:t>
      </w:r>
    </w:p>
    <w:p>
      <w:pPr>
        <w:spacing w:after="0" w:line="144"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SoundHound AI continues to expand the capabilities that make us well-positioned to serve the needs of customers globally. We have grown our solution from a single language capability to 25 languages.</w:t>
      </w:r>
    </w:p>
    <w:p>
      <w:pPr>
        <w:spacing w:after="0" w:line="7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pillars for growth</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5134610" cy="2734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3461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320" w:right="459" w:hanging="434"/>
        <w:spacing w:after="0" w:line="266" w:lineRule="auto"/>
        <w:tabs>
          <w:tab w:leader="none" w:pos="1308"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 This involves voice-enabling a product. The product creator pays us a royalty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volume, usage, or duration. SoundHound AI collects royalties when Houndify is integrated into a product such as a car, smart speaker, or appliance.</w:t>
      </w:r>
    </w:p>
    <w:p>
      <w:pPr>
        <w:spacing w:after="0" w:line="94" w:lineRule="exact"/>
        <w:rPr>
          <w:rFonts w:ascii="Arial" w:cs="Arial" w:eastAsia="Arial" w:hAnsi="Arial"/>
          <w:sz w:val="18"/>
          <w:szCs w:val="18"/>
          <w:color w:val="auto"/>
        </w:rPr>
      </w:pPr>
    </w:p>
    <w:p>
      <w:pPr>
        <w:jc w:val="both"/>
        <w:ind w:left="1320" w:right="479" w:hanging="434"/>
        <w:spacing w:after="0" w:line="261" w:lineRule="auto"/>
        <w:tabs>
          <w:tab w:leader="none" w:pos="1308"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Subscription</w:t>
      </w:r>
      <w:r>
        <w:rPr>
          <w:rFonts w:ascii="Arial" w:cs="Arial" w:eastAsia="Arial" w:hAnsi="Arial"/>
          <w:sz w:val="18"/>
          <w:szCs w:val="18"/>
          <w:color w:val="auto"/>
        </w:rPr>
        <w:t>: This involves voice-enabling a service that doesn’t rely on a physical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Examples include when SoundHound AI enables customer service or food ordering for restaurants or content management, appointments, or voice commerce, we generate subscription revenue from the service providers.</w:t>
      </w:r>
    </w:p>
    <w:p>
      <w:pPr>
        <w:spacing w:after="0" w:line="112" w:lineRule="exact"/>
        <w:rPr>
          <w:rFonts w:ascii="Arial" w:cs="Arial" w:eastAsia="Arial" w:hAnsi="Arial"/>
          <w:sz w:val="18"/>
          <w:szCs w:val="18"/>
          <w:color w:val="auto"/>
        </w:rPr>
      </w:pPr>
    </w:p>
    <w:p>
      <w:pPr>
        <w:jc w:val="both"/>
        <w:ind w:left="1320" w:right="459" w:hanging="434"/>
        <w:spacing w:after="0" w:line="289" w:lineRule="auto"/>
        <w:tabs>
          <w:tab w:leader="none" w:pos="1308"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Monetization</w:t>
      </w:r>
      <w:r>
        <w:rPr>
          <w:rFonts w:ascii="Arial" w:cs="Arial" w:eastAsia="Arial" w:hAnsi="Arial"/>
          <w:sz w:val="16"/>
          <w:szCs w:val="16"/>
          <w:color w:val="auto"/>
        </w:rPr>
        <w:t>: This pillar creates an ecosystem that enables monetization services in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December 31,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8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85725</wp:posOffset>
            </wp:positionV>
            <wp:extent cx="5134610" cy="2691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3461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SoundHound AI’s undeniable criteria for adoption</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When it comes to criteria for adoption, our goal is to win on every dimension. We believe our product will be adopted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34610" cy="26060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3461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color w:val="auto"/>
        </w:rPr>
        <w:t xml:space="preserve">The first two criteria customers typically consider are </w:t>
      </w:r>
      <w:r>
        <w:rPr>
          <w:rFonts w:ascii="Arial" w:cs="Arial" w:eastAsia="Arial" w:hAnsi="Arial"/>
          <w:sz w:val="18"/>
          <w:szCs w:val="18"/>
          <w:b w:val="1"/>
          <w:bCs w:val="1"/>
          <w:color w:val="auto"/>
        </w:rPr>
        <w:t>technology</w:t>
      </w:r>
      <w:r>
        <w:rPr>
          <w:rFonts w:ascii="Arial" w:cs="Arial" w:eastAsia="Arial" w:hAnsi="Arial"/>
          <w:sz w:val="18"/>
          <w:szCs w:val="18"/>
          <w:color w:val="auto"/>
        </w:rPr>
        <w:t xml:space="preserve"> and </w:t>
      </w:r>
      <w:r>
        <w:rPr>
          <w:rFonts w:ascii="Arial" w:cs="Arial" w:eastAsia="Arial" w:hAnsi="Arial"/>
          <w:sz w:val="18"/>
          <w:szCs w:val="18"/>
          <w:b w:val="1"/>
          <w:bCs w:val="1"/>
          <w:color w:val="auto"/>
        </w:rPr>
        <w:t>brand control</w:t>
      </w:r>
      <w:r>
        <w:rPr>
          <w:rFonts w:ascii="Arial" w:cs="Arial" w:eastAsia="Arial" w:hAnsi="Arial"/>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color w:val="auto"/>
        </w:rPr>
        <w:t xml:space="preserve">With our disruptive monetization strategy, we also provide a path to </w:t>
      </w:r>
      <w:r>
        <w:rPr>
          <w:rFonts w:ascii="Arial" w:cs="Arial" w:eastAsia="Arial" w:hAnsi="Arial"/>
          <w:sz w:val="18"/>
          <w:szCs w:val="18"/>
          <w:b w:val="1"/>
          <w:bCs w:val="1"/>
          <w:color w:val="auto"/>
        </w:rPr>
        <w:t>monetization</w:t>
      </w:r>
      <w:r>
        <w:rPr>
          <w:rFonts w:ascii="Arial" w:cs="Arial" w:eastAsia="Arial" w:hAnsi="Arial"/>
          <w:sz w:val="18"/>
          <w:szCs w:val="18"/>
          <w:color w:val="auto"/>
        </w:rPr>
        <w:t>. By choosing our platform, product creators can generate additional revenue while making their product better using Voice AI, providing further incentive to choose our platform.</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We offer a superior </w:t>
      </w:r>
      <w:r>
        <w:rPr>
          <w:rFonts w:ascii="Arial" w:cs="Arial" w:eastAsia="Arial" w:hAnsi="Arial"/>
          <w:sz w:val="18"/>
          <w:szCs w:val="18"/>
          <w:b w:val="1"/>
          <w:bCs w:val="1"/>
          <w:color w:val="auto"/>
        </w:rPr>
        <w:t>ecosystem</w:t>
      </w:r>
      <w:r>
        <w:rPr>
          <w:rFonts w:ascii="Arial" w:cs="Arial" w:eastAsia="Arial" w:hAnsi="Arial"/>
          <w:sz w:val="18"/>
          <w:szCs w:val="18"/>
          <w:color w:val="auto"/>
        </w:rPr>
        <w:t xml:space="preserve"> with Collective AI along with definable </w:t>
      </w:r>
      <w:r>
        <w:rPr>
          <w:rFonts w:ascii="Arial" w:cs="Arial" w:eastAsia="Arial" w:hAnsi="Arial"/>
          <w:sz w:val="18"/>
          <w:szCs w:val="18"/>
          <w:b w:val="1"/>
          <w:bCs w:val="1"/>
          <w:color w:val="auto"/>
        </w:rPr>
        <w:t>privacy</w:t>
      </w:r>
      <w:r>
        <w:rPr>
          <w:rFonts w:ascii="Arial" w:cs="Arial" w:eastAsia="Arial" w:hAnsi="Arial"/>
          <w:sz w:val="18"/>
          <w:szCs w:val="18"/>
          <w:color w:val="auto"/>
        </w:rPr>
        <w:t xml:space="preserve"> controls, which are becoming increasingly important in the industry of Voice AI. Additionally, there is </w:t>
      </w:r>
      <w:r>
        <w:rPr>
          <w:rFonts w:ascii="Arial" w:cs="Arial" w:eastAsia="Arial" w:hAnsi="Arial"/>
          <w:sz w:val="18"/>
          <w:szCs w:val="18"/>
          <w:b w:val="1"/>
          <w:bCs w:val="1"/>
          <w:color w:val="auto"/>
        </w:rPr>
        <w:t>no conflict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interest </w:t>
      </w:r>
      <w:r>
        <w:rPr>
          <w:rFonts w:ascii="Arial" w:cs="Arial" w:eastAsia="Arial" w:hAnsi="Arial"/>
          <w:sz w:val="18"/>
          <w:szCs w:val="18"/>
          <w:color w:val="auto"/>
        </w:rPr>
        <w:t>between us and our partners and customers as we do not compete with them (as some other Voice AI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vendors do). We also offer </w:t>
      </w:r>
      <w:r>
        <w:rPr>
          <w:rFonts w:ascii="Arial" w:cs="Arial" w:eastAsia="Arial" w:hAnsi="Arial"/>
          <w:sz w:val="18"/>
          <w:szCs w:val="18"/>
          <w:b w:val="1"/>
          <w:bCs w:val="1"/>
          <w:color w:val="auto"/>
        </w:rPr>
        <w:t>edge</w:t>
      </w:r>
      <w:r>
        <w:rPr>
          <w:rFonts w:ascii="Arial" w:cs="Arial" w:eastAsia="Arial" w:hAnsi="Arial"/>
          <w:sz w:val="18"/>
          <w:szCs w:val="18"/>
          <w:color w:val="auto"/>
        </w:rPr>
        <w:t xml:space="preserve"> and </w:t>
      </w:r>
      <w:r>
        <w:rPr>
          <w:rFonts w:ascii="Arial" w:cs="Arial" w:eastAsia="Arial" w:hAnsi="Arial"/>
          <w:sz w:val="18"/>
          <w:szCs w:val="18"/>
          <w:b w:val="1"/>
          <w:bCs w:val="1"/>
          <w:color w:val="auto"/>
        </w:rPr>
        <w:t>hybrid</w:t>
      </w:r>
      <w:r>
        <w:rPr>
          <w:rFonts w:ascii="Arial" w:cs="Arial" w:eastAsia="Arial" w:hAnsi="Arial"/>
          <w:sz w:val="18"/>
          <w:szCs w:val="18"/>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Arial" w:cs="Arial" w:eastAsia="Arial" w:hAnsi="Arial"/>
          <w:sz w:val="18"/>
          <w:szCs w:val="18"/>
          <w:b w:val="1"/>
          <w:bCs w:val="1"/>
          <w:color w:val="auto"/>
        </w:rPr>
        <w:t>differentiate and innovate</w:t>
      </w:r>
      <w:r>
        <w:rPr>
          <w:rFonts w:ascii="Arial" w:cs="Arial" w:eastAsia="Arial" w:hAnsi="Arial"/>
          <w:sz w:val="18"/>
          <w:szCs w:val="18"/>
          <w:color w:val="auto"/>
        </w:rPr>
        <w:t xml:space="preserve"> their overall experiences for their brands.</w:t>
      </w:r>
    </w:p>
    <w:p>
      <w:pPr>
        <w:spacing w:after="0" w:line="11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2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9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 As part of a targeted restructuring, the Company will increase its focus on SoundHound for Restaurants while reducing investment in new verticals and already completed language development projects. It will maintain its growing licensing business in smart devices, TV and automotive verticals.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Strategic Global Partners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and experienced over 85% growth during 2022. Information provided to us by our strategic partners suggest that our customers’ products have a reach of over a billion users.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Some of the strategic partners that are featured here utilizes SoundHound AI’s product integrations:</w:t>
      </w:r>
    </w:p>
    <w:p>
      <w:pPr>
        <w:spacing w:after="0" w:line="144" w:lineRule="exact"/>
        <w:rPr>
          <w:sz w:val="20"/>
          <w:szCs w:val="20"/>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Mercedes: MBUX (multiple models in North America)</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Hyundai/KIA: Dynamic Voice Recognition (multiple models in North America and India)</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Honda: Select models in Japan and Europe</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Snapchat: Voice Scan and Captioning features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Pandora: In-app Voice Mode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VIZIO: Smart TV Voice Remote for multiple product lines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White Castle: Voice AI Drive Through</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Stellantis N.V.: Multiple models in Europe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SoundHound AI’s intellectual property portfolio includes over 120 patents granted and over 140 patents pending. These patents cover areas such as speech recognition, natural language understanding, machine learning, human interfaces, and others, including monetization and advertising.</w:t>
      </w:r>
    </w:p>
    <w:p>
      <w:pPr>
        <w:spacing w:after="0" w:line="8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Out of our over 260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Human Capital</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 SoundHound AI, our success is driven by the quality of our people, who we believe are among the best and brightest in the industry. We strive to create an environment that supports employee success and a culture where everyone has a voice in driving innovation.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As of December 31, 2022, we had approximately 430 full-time employees, of which approximately 57% were in the United States and 43% were in our international locations. Our restructuring efforts in January 2023 included a reduction of our then-current workforce by approximately 40%. We have not experienced work stoppages and believe our employee relations are good.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Experience</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Emerging from the COVID-19 pandemic, we have further increased our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w:t>
      </w:r>
    </w:p>
    <w:p>
      <w:pPr>
        <w:spacing w:after="0" w:line="12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For the vast majority of SoundHound AI’s employees, productivity is not tied to being in an office and collaboration can happen between people anywhere. SoundHound AI’s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Diversity and Inclusion</w:t>
      </w:r>
    </w:p>
    <w:p>
      <w:pPr>
        <w:spacing w:after="0" w:line="15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We recognize that everyone deserves respect and equal treatment, regardless of gender, race, ethnicity, age, disability, sexual orientation, gender identity, cultural background or religious belief. We are creating an inclusive workplace through community-building, training and internal awareness. In 2022, we continued to support our many community partners and employee resource groups that build community for employees from underrepresented groups.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Regulations</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provides information regarding our executive officers and directors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18"/>
                <w:szCs w:val="18"/>
                <w:color w:val="auto"/>
              </w:rPr>
            </w:pPr>
          </w:p>
        </w:tc>
        <w:tc>
          <w:tcPr>
            <w:tcW w:w="4440" w:type="dxa"/>
            <w:vAlign w:val="bottom"/>
          </w:tcPr>
          <w:p>
            <w:pPr>
              <w:ind w:left="194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243"/>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Keyvan Mohajer</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Chief Executive Officer</w:t>
            </w: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James Hom</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540" w:type="dxa"/>
            <w:vAlign w:val="bottom"/>
            <w:gridSpan w:val="2"/>
          </w:tcPr>
          <w:p>
            <w:pPr>
              <w:ind w:left="100"/>
              <w:spacing w:after="0"/>
              <w:rPr>
                <w:sz w:val="20"/>
                <w:szCs w:val="20"/>
                <w:color w:val="auto"/>
              </w:rPr>
            </w:pPr>
            <w:r>
              <w:rPr>
                <w:rFonts w:ascii="Arial" w:cs="Arial" w:eastAsia="Arial" w:hAnsi="Arial"/>
                <w:sz w:val="18"/>
                <w:szCs w:val="18"/>
                <w:color w:val="auto"/>
              </w:rPr>
              <w:t>Director, Vice President of Products</w:t>
            </w:r>
          </w:p>
        </w:tc>
      </w:tr>
      <w:tr>
        <w:trPr>
          <w:trHeight w:val="40"/>
        </w:trPr>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Pr>
          <w:p>
            <w:pPr>
              <w:spacing w:after="0"/>
              <w:rPr>
                <w:sz w:val="3"/>
                <w:szCs w:val="3"/>
                <w:color w:val="auto"/>
              </w:rPr>
            </w:pPr>
          </w:p>
        </w:tc>
      </w:tr>
      <w:tr>
        <w:trPr>
          <w:trHeight w:val="263"/>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Larry Marcus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Diana Sroka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5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Pr>
          <w:p>
            <w:pPr>
              <w:spacing w:after="0"/>
              <w:rPr>
                <w:sz w:val="3"/>
                <w:szCs w:val="3"/>
                <w:color w:val="auto"/>
              </w:rPr>
            </w:pPr>
          </w:p>
        </w:tc>
      </w:tr>
      <w:tr>
        <w:trPr>
          <w:trHeight w:val="263"/>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 Eric Ball</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Dr. Majid Emami</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540" w:type="dxa"/>
            <w:vAlign w:val="bottom"/>
            <w:gridSpan w:val="2"/>
          </w:tcPr>
          <w:p>
            <w:pPr>
              <w:ind w:left="100"/>
              <w:spacing w:after="0"/>
              <w:rPr>
                <w:sz w:val="20"/>
                <w:szCs w:val="20"/>
                <w:color w:val="auto"/>
              </w:rPr>
            </w:pPr>
            <w:r>
              <w:rPr>
                <w:rFonts w:ascii="Arial" w:cs="Arial" w:eastAsia="Arial" w:hAnsi="Arial"/>
                <w:sz w:val="18"/>
                <w:szCs w:val="18"/>
                <w:color w:val="auto"/>
              </w:rPr>
              <w:t>Vice President of Engineering</w:t>
            </w:r>
          </w:p>
        </w:tc>
      </w:tr>
      <w:tr>
        <w:trPr>
          <w:trHeight w:val="40"/>
        </w:trPr>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Pr>
          <w:p>
            <w:pPr>
              <w:spacing w:after="0"/>
              <w:rPr>
                <w:sz w:val="3"/>
                <w:szCs w:val="3"/>
                <w:color w:val="auto"/>
              </w:rPr>
            </w:pPr>
          </w:p>
        </w:tc>
      </w:tr>
      <w:tr>
        <w:trPr>
          <w:trHeight w:val="263"/>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Timothy Stonehocker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4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w:t>
            </w: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Nitesh Sharan</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4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Pr>
          <w:p>
            <w:pPr>
              <w:spacing w:after="0"/>
              <w:rPr>
                <w:sz w:val="3"/>
                <w:szCs w:val="3"/>
                <w:color w:val="auto"/>
              </w:rPr>
            </w:pPr>
          </w:p>
        </w:tc>
      </w:tr>
      <w:tr>
        <w:trPr>
          <w:trHeight w:val="243"/>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Zagorsek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40"/>
        </w:trPr>
        <w:tc>
          <w:tcPr>
            <w:tcW w:w="2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4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Dr. Keyvan Mohajer. </w:t>
      </w:r>
      <w:r>
        <w:rPr>
          <w:rFonts w:ascii="Arial" w:cs="Arial" w:eastAsia="Arial" w:hAnsi="Arial"/>
          <w:sz w:val="17"/>
          <w:szCs w:val="17"/>
          <w:color w:val="auto"/>
        </w:rPr>
        <w:t>Dr. Keyvan Mohajer has been our Chief Executive Officer and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since the consummation of the Business Combination in April 2022. Dr. Mohajer has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James Hom. </w:t>
      </w:r>
      <w:r>
        <w:rPr>
          <w:rFonts w:ascii="Arial" w:cs="Arial" w:eastAsia="Arial" w:hAnsi="Arial"/>
          <w:sz w:val="18"/>
          <w:szCs w:val="18"/>
          <w:color w:val="auto"/>
        </w:rPr>
        <w:t>James Hom has been a member of the Board and Vice President of Products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Larry Marcus. </w:t>
      </w:r>
      <w:r>
        <w:rPr>
          <w:rFonts w:ascii="Arial" w:cs="Arial" w:eastAsia="Arial" w:hAnsi="Arial"/>
          <w:sz w:val="16"/>
          <w:szCs w:val="16"/>
          <w:color w:val="auto"/>
        </w:rPr>
        <w:t>Larry Marcus has been a member of the Board since the consummation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Diana Sroka. </w:t>
      </w:r>
      <w:r>
        <w:rPr>
          <w:rFonts w:ascii="Arial" w:cs="Arial" w:eastAsia="Arial" w:hAnsi="Arial"/>
          <w:sz w:val="17"/>
          <w:szCs w:val="17"/>
          <w:color w:val="auto"/>
        </w:rPr>
        <w:t>Diana Sroka has been a member of the Board since the consummation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Dr. Eric R. Ball. </w:t>
      </w:r>
      <w:r>
        <w:rPr>
          <w:rFonts w:ascii="Arial" w:cs="Arial" w:eastAsia="Arial" w:hAnsi="Arial"/>
          <w:sz w:val="16"/>
          <w:szCs w:val="16"/>
          <w:color w:val="auto"/>
        </w:rPr>
        <w:t>Dr. Eric R. Ball has been a member of our Board since our IPO in 2021. Since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Dr. Majid Emami. </w:t>
      </w:r>
      <w:r>
        <w:rPr>
          <w:rFonts w:ascii="Arial" w:cs="Arial" w:eastAsia="Arial" w:hAnsi="Arial"/>
          <w:sz w:val="18"/>
          <w:szCs w:val="18"/>
          <w:color w:val="auto"/>
        </w:rPr>
        <w:t>Dr. Majid Emami has been Vice President of Engineering of the Company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b w:val="1"/>
          <w:bCs w:val="1"/>
          <w:i w:val="1"/>
          <w:iCs w:val="1"/>
          <w:color w:val="auto"/>
        </w:rPr>
        <w:t xml:space="preserve">Timothy Stonehocker. </w:t>
      </w:r>
      <w:r>
        <w:rPr>
          <w:rFonts w:ascii="Arial" w:cs="Arial" w:eastAsia="Arial" w:hAnsi="Arial"/>
          <w:sz w:val="16"/>
          <w:szCs w:val="16"/>
          <w:color w:val="auto"/>
        </w:rPr>
        <w:t>Timothy Stonehocker has been Chief Technology Officer of the Company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consummation of the Business Combination in April 2022. Mr. Stonehocker has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9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b w:val="1"/>
          <w:bCs w:val="1"/>
          <w:i w:val="1"/>
          <w:iCs w:val="1"/>
          <w:color w:val="auto"/>
        </w:rPr>
        <w:t xml:space="preserve">Nitesh Sharan. </w:t>
      </w:r>
      <w:r>
        <w:rPr>
          <w:rFonts w:ascii="Arial" w:cs="Arial" w:eastAsia="Arial" w:hAnsi="Arial"/>
          <w:sz w:val="17"/>
          <w:szCs w:val="17"/>
          <w:color w:val="auto"/>
        </w:rPr>
        <w:t>Nitesh Sharan has been Chief Financial Officer of the Company since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the Business Combination in April 2022. Mr. Sharan has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8"/>
          <w:szCs w:val="18"/>
          <w:color w:val="auto"/>
        </w:rPr>
        <w:t>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Arial" w:cs="Arial" w:eastAsia="Arial" w:hAnsi="Arial"/>
          <w:sz w:val="20"/>
          <w:szCs w:val="20"/>
          <w:color w:val="auto"/>
          <w:vertAlign w:val="superscript"/>
        </w:rPr>
        <w:t>®</w:t>
      </w:r>
      <w:r>
        <w:rPr>
          <w:rFonts w:ascii="Arial" w:cs="Arial" w:eastAsia="Arial" w:hAnsi="Arial"/>
          <w:sz w:val="18"/>
          <w:szCs w:val="18"/>
          <w:color w:val="auto"/>
        </w:rPr>
        <w:t xml:space="preserve"> charterholder.</w:t>
      </w:r>
    </w:p>
    <w:p>
      <w:pPr>
        <w:spacing w:after="0" w:line="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Michael Zagorsek. </w:t>
      </w:r>
      <w:r>
        <w:rPr>
          <w:rFonts w:ascii="Arial" w:cs="Arial" w:eastAsia="Arial" w:hAnsi="Arial"/>
          <w:sz w:val="16"/>
          <w:szCs w:val="16"/>
          <w:color w:val="auto"/>
        </w:rPr>
        <w:t>Michael Zagorsek has been Chief Operating Officer of the Company since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Business Combination in April 2022. Mr. Zagorsek has served as Legacy SoundHound’s Chief Operating Officer since November 2020 where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Family Relationships</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Kamyar Mohajer, the brother of the Company’s CEO, Keyvan Mohajer, is an employee of SoundHound and serves as the Company’s Vice President of Corporate Strategy and International Expansion.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are independent directors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Board has one class of directors, with each director being elected in each year and serving a one-year term.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standing committees of our Board consist of an Audit Committee, a Compensation Committee, and a Nominating and Corporate Governance Committee. The composition of each committee is set forth below. Committee charters are available on our investor relations website at investors.soundhound.com.</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committee’s duties are specified in our Audit Committee Charter.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We have adopted a new Code of Ethics for our directors, officers, employees and certain affiliates in accordance with applicable federal securities laws, a copy of which is available on our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A printed copy of the Code of Ethics available to any stockholder who so requests.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for a printed copy may be directed to: 5400 Betsy Ross Drive, Santa Clara, CA 95054 Attention: Dr. Keyvan Mohajer.</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The information on this website is not part of this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 and Director Compensation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11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1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Legacy SoundHound’s board of directors (the “Legacy SoundHound Board”) had historically determined the compensation of Legacy SoundHound’s executive officers. Subsequent to the Business Combination, our Board has determined the compensation of our executive officers. For the year ended December 31, 2022, SoundHound AI’s named executive officers were Dr. Keyvan Mohajer, Chief Executive Officer, Nitesh Sharan, Chief Financial Officer, and Zubin Irani, Chief Revenue Officer.</w:t>
      </w:r>
    </w:p>
    <w:p>
      <w:pPr>
        <w:spacing w:after="0" w:line="95"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“New Employment Agreements with Named Executive Officers” below for information regarding our current compensation arrangements with named executive officers.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 for Fiscal Years 2021 and 2022</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years ended December 31, 2021 and 2022.</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Stock</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All Other</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Fiscal</w:t>
            </w:r>
          </w:p>
        </w:tc>
        <w:tc>
          <w:tcPr>
            <w:tcW w:w="820" w:type="dxa"/>
            <w:vAlign w:val="bottom"/>
            <w:gridSpan w:val="2"/>
          </w:tcPr>
          <w:p>
            <w:pPr>
              <w:ind w:left="100"/>
              <w:spacing w:after="0" w:line="202" w:lineRule="exact"/>
              <w:rPr>
                <w:sz w:val="20"/>
                <w:szCs w:val="20"/>
                <w:color w:val="auto"/>
              </w:rPr>
            </w:pPr>
            <w:r>
              <w:rPr>
                <w:rFonts w:ascii="Arial" w:cs="Arial" w:eastAsia="Arial" w:hAnsi="Arial"/>
                <w:sz w:val="16"/>
                <w:szCs w:val="16"/>
                <w:b w:val="1"/>
                <w:bCs w:val="1"/>
                <w:color w:val="auto"/>
              </w:rPr>
              <w:t>Salary</w:t>
            </w:r>
            <w:r>
              <w:rPr>
                <w:rFonts w:ascii="Arial" w:cs="Arial" w:eastAsia="Arial" w:hAnsi="Arial"/>
                <w:sz w:val="18"/>
                <w:szCs w:val="18"/>
                <w:b w:val="1"/>
                <w:bCs w:val="1"/>
                <w:color w:val="auto"/>
                <w:vertAlign w:val="superscript"/>
              </w:rPr>
              <w:t>(1)</w:t>
            </w:r>
          </w:p>
        </w:tc>
        <w:tc>
          <w:tcPr>
            <w:tcW w:w="740" w:type="dxa"/>
            <w:vAlign w:val="bottom"/>
            <w:gridSpan w:val="2"/>
          </w:tcPr>
          <w:p>
            <w:pPr>
              <w:ind w:left="120"/>
              <w:spacing w:after="0"/>
              <w:rPr>
                <w:sz w:val="20"/>
                <w:szCs w:val="20"/>
                <w:color w:val="auto"/>
              </w:rPr>
            </w:pPr>
            <w:r>
              <w:rPr>
                <w:rFonts w:ascii="Arial" w:cs="Arial" w:eastAsia="Arial" w:hAnsi="Arial"/>
                <w:sz w:val="16"/>
                <w:szCs w:val="16"/>
                <w:b w:val="1"/>
                <w:bCs w:val="1"/>
                <w:color w:val="auto"/>
              </w:rPr>
              <w:t>Bonus</w:t>
            </w:r>
          </w:p>
        </w:tc>
        <w:tc>
          <w:tcPr>
            <w:tcW w:w="900" w:type="dxa"/>
            <w:vAlign w:val="bottom"/>
            <w:gridSpan w:val="2"/>
          </w:tcPr>
          <w:p>
            <w:pPr>
              <w:jc w:val="center"/>
              <w:ind w:right="140"/>
              <w:spacing w:after="0" w:line="202" w:lineRule="exact"/>
              <w:rPr>
                <w:sz w:val="20"/>
                <w:szCs w:val="20"/>
                <w:color w:val="auto"/>
              </w:rPr>
            </w:pPr>
            <w:r>
              <w:rPr>
                <w:rFonts w:ascii="Arial" w:cs="Arial" w:eastAsia="Arial" w:hAnsi="Arial"/>
                <w:sz w:val="16"/>
                <w:szCs w:val="16"/>
                <w:b w:val="1"/>
                <w:bCs w:val="1"/>
                <w:color w:val="auto"/>
                <w:w w:val="88"/>
              </w:rPr>
              <w:t>Awards</w:t>
            </w:r>
            <w:r>
              <w:rPr>
                <w:rFonts w:ascii="Arial" w:cs="Arial" w:eastAsia="Arial" w:hAnsi="Arial"/>
                <w:sz w:val="18"/>
                <w:szCs w:val="18"/>
                <w:b w:val="1"/>
                <w:bCs w:val="1"/>
                <w:color w:val="auto"/>
                <w:w w:val="88"/>
                <w:vertAlign w:val="superscript"/>
              </w:rPr>
              <w:t>(2)</w:t>
            </w:r>
          </w:p>
        </w:tc>
        <w:tc>
          <w:tcPr>
            <w:tcW w:w="1000" w:type="dxa"/>
            <w:vAlign w:val="bottom"/>
            <w:gridSpan w:val="2"/>
          </w:tcPr>
          <w:p>
            <w:pPr>
              <w:jc w:val="center"/>
              <w:ind w:right="80"/>
              <w:spacing w:after="0" w:line="202" w:lineRule="exact"/>
              <w:rPr>
                <w:sz w:val="20"/>
                <w:szCs w:val="20"/>
                <w:color w:val="auto"/>
              </w:rPr>
            </w:pPr>
            <w:r>
              <w:rPr>
                <w:rFonts w:ascii="Arial" w:cs="Arial" w:eastAsia="Arial" w:hAnsi="Arial"/>
                <w:sz w:val="16"/>
                <w:szCs w:val="16"/>
                <w:b w:val="1"/>
                <w:bCs w:val="1"/>
                <w:color w:val="auto"/>
                <w:w w:val="88"/>
              </w:rPr>
              <w:t>Awards</w:t>
            </w:r>
            <w:r>
              <w:rPr>
                <w:rFonts w:ascii="Arial" w:cs="Arial" w:eastAsia="Arial" w:hAnsi="Arial"/>
                <w:sz w:val="18"/>
                <w:szCs w:val="18"/>
                <w:b w:val="1"/>
                <w:bCs w:val="1"/>
                <w:color w:val="auto"/>
                <w:w w:val="88"/>
                <w:vertAlign w:val="superscript"/>
              </w:rPr>
              <w:t>(3)</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Compensation</w:t>
            </w:r>
          </w:p>
        </w:tc>
        <w:tc>
          <w:tcPr>
            <w:tcW w:w="9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Name and Position</w:t>
            </w:r>
          </w:p>
        </w:tc>
        <w:tc>
          <w:tcPr>
            <w:tcW w:w="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Year</w:t>
            </w:r>
          </w:p>
        </w:tc>
        <w:tc>
          <w:tcPr>
            <w:tcW w:w="74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 xml:space="preserve">Dr. Keyvan Mohajer, </w:t>
            </w:r>
            <w:r>
              <w:rPr>
                <w:rFonts w:ascii="Arial" w:cs="Arial" w:eastAsia="Arial" w:hAnsi="Arial"/>
                <w:sz w:val="18"/>
                <w:szCs w:val="18"/>
                <w:i w:val="1"/>
                <w:iCs w:val="1"/>
                <w:color w:val="auto"/>
                <w:w w:val="95"/>
              </w:rPr>
              <w:t>CEO</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9"/>
              </w:rPr>
              <w:t>260,000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89"/>
              </w:rPr>
              <w:t>381,042</w:t>
            </w: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10,054,500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10,435,542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Nitesh Sharan, </w:t>
            </w:r>
            <w:r>
              <w:rPr>
                <w:rFonts w:ascii="Arial" w:cs="Arial" w:eastAsia="Arial" w:hAnsi="Arial"/>
                <w:sz w:val="18"/>
                <w:szCs w:val="18"/>
                <w:i w:val="1"/>
                <w:iCs w:val="1"/>
                <w:color w:val="auto"/>
              </w:rPr>
              <w:t>CFO</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83,333</w:t>
            </w:r>
            <w:r>
              <w:rPr>
                <w:rFonts w:ascii="Arial" w:cs="Arial" w:eastAsia="Arial" w:hAnsi="Arial"/>
                <w:sz w:val="20"/>
                <w:szCs w:val="20"/>
                <w:color w:val="auto"/>
                <w:w w:val="98"/>
                <w:vertAlign w:val="superscript"/>
              </w:rPr>
              <w:t>(4)</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75,000</w:t>
            </w:r>
            <w:r>
              <w:rPr>
                <w:rFonts w:ascii="Arial" w:cs="Arial" w:eastAsia="Arial" w:hAnsi="Arial"/>
                <w:sz w:val="20"/>
                <w:szCs w:val="20"/>
                <w:color w:val="auto"/>
                <w:w w:val="86"/>
                <w:vertAlign w:val="superscript"/>
              </w:rPr>
              <w:t>(5)</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952,070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1,110,403</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89"/>
              </w:rPr>
              <w:t>328,958</w:t>
            </w:r>
          </w:p>
        </w:tc>
        <w:tc>
          <w:tcPr>
            <w:tcW w:w="8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75,000</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4,302,250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4,706,208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Zubin Irani, </w:t>
            </w:r>
            <w:r>
              <w:rPr>
                <w:rFonts w:ascii="Arial" w:cs="Arial" w:eastAsia="Arial" w:hAnsi="Arial"/>
                <w:sz w:val="18"/>
                <w:szCs w:val="18"/>
                <w:i w:val="1"/>
                <w:iCs w:val="1"/>
                <w:color w:val="auto"/>
              </w:rPr>
              <w:t>CRO</w:t>
            </w:r>
            <w:r>
              <w:rPr>
                <w:rFonts w:ascii="Arial" w:cs="Arial" w:eastAsia="Arial" w:hAnsi="Arial"/>
                <w:sz w:val="20"/>
                <w:szCs w:val="20"/>
                <w:i w:val="1"/>
                <w:iCs w:val="1"/>
                <w:color w:val="auto"/>
                <w:vertAlign w:val="superscript"/>
              </w:rPr>
              <w:t>(6)</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81,167</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75,000</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634,713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793,880</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89"/>
              </w:rPr>
              <w:t>319,146</w:t>
            </w: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5,096,250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5,415,396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a 15% reduction in salary beginning in December 2022.</w:t>
      </w:r>
    </w:p>
    <w:p>
      <w:pPr>
        <w:spacing w:after="0" w:line="22" w:lineRule="exact"/>
        <w:rPr>
          <w:rFonts w:ascii="Arial" w:cs="Arial" w:eastAsia="Arial" w:hAnsi="Arial"/>
          <w:sz w:val="16"/>
          <w:szCs w:val="16"/>
          <w:color w:val="auto"/>
        </w:rPr>
      </w:pPr>
    </w:p>
    <w:p>
      <w:pPr>
        <w:jc w:val="both"/>
        <w:ind w:left="880" w:right="459" w:hanging="426"/>
        <w:spacing w:after="0" w:line="264"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stock awards granted to our named executive officers during the fiscal year ended December 31, 2022 under our 2022 Incentive Plan, calculated in accordance with Financial Accounting Standards Board ASC Topic 718. The assumptions used in calculating the grant date fair value of the stock awards are set forth in the notes to our audited financial statements for the fiscal year ended December 31, 2022. This amount includes performance based stock awards which are not anticipated to vest as of the date of this prospectus. This amount does not reflect the actual economic value that may be realized by the named executive officer.</w:t>
      </w:r>
    </w:p>
    <w:p>
      <w:pPr>
        <w:jc w:val="both"/>
        <w:ind w:left="880" w:right="459" w:hanging="426"/>
        <w:spacing w:after="0" w:line="301" w:lineRule="auto"/>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2" w:lineRule="exact"/>
        <w:rPr>
          <w:rFonts w:ascii="Arial" w:cs="Arial" w:eastAsia="Arial" w:hAnsi="Arial"/>
          <w:sz w:val="14"/>
          <w:szCs w:val="14"/>
          <w:color w:val="auto"/>
        </w:rPr>
      </w:pPr>
    </w:p>
    <w:p>
      <w:pPr>
        <w:ind w:left="880" w:right="459" w:hanging="426"/>
        <w:spacing w:after="0" w:line="264"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Sharan assumed responsibilities as Legacy SoundHound’s Chief Financial Officer in October 2021. Pursuant to his offer letter, Mr. Sharan’s annual salary was $300,000.</w:t>
      </w: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Sharan received a $75,000 sign-on/retention payment.</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Irani’s employment status was changed to an advisor on February 3, 2023.</w:t>
      </w:r>
    </w:p>
    <w:p>
      <w:pPr>
        <w:sectPr>
          <w:pgSz w:w="11900" w:h="16838" w:orient="portrait"/>
          <w:cols w:equalWidth="0" w:num="1">
            <w:col w:w="9019"/>
          </w:cols>
          <w:pgMar w:left="1440" w:top="274"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2022 Equity Incentive Plan</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For a summary of the Company’s 2022 Equity Incentive Plan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 2022 Equity Incentive Plan </w:t>
      </w:r>
      <w:r>
        <w:rPr>
          <w:rFonts w:ascii="Arial" w:cs="Arial" w:eastAsia="Arial" w:hAnsi="Arial"/>
          <w:sz w:val="18"/>
          <w:szCs w:val="18"/>
          <w:color w:val="auto"/>
        </w:rPr>
        <w:t>elsewhere in this 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2022 Employee Stock Purchase Plan</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a summary of the Company’s 2022 Employee Stock Purchase Plan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 2022 Employee Stock Purchase Plan</w:t>
      </w:r>
      <w:r>
        <w:rPr>
          <w:rFonts w:ascii="Arial" w:cs="Arial" w:eastAsia="Arial" w:hAnsi="Arial"/>
          <w:sz w:val="18"/>
          <w:szCs w:val="18"/>
          <w:color w:val="auto"/>
        </w:rPr>
        <w:t>” elsewhere in this 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Equity Incentive Plan</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a summary of the 2016 Equity Incentive Plan see “</w:t>
      </w:r>
      <w:r>
        <w:rPr>
          <w:rFonts w:ascii="Arial" w:cs="Arial" w:eastAsia="Arial" w:hAnsi="Arial"/>
          <w:sz w:val="18"/>
          <w:szCs w:val="18"/>
          <w:i w:val="1"/>
          <w:iCs w:val="1"/>
          <w:color w:val="auto"/>
        </w:rPr>
        <w:t>Executive Compensation Arrangements — 2016</w:t>
      </w:r>
      <w:r>
        <w:rPr>
          <w:rFonts w:ascii="Arial" w:cs="Arial" w:eastAsia="Arial" w:hAnsi="Arial"/>
          <w:sz w:val="18"/>
          <w:szCs w:val="18"/>
          <w:color w:val="auto"/>
        </w:rPr>
        <w:t xml:space="preserve"> </w:t>
      </w:r>
      <w:r>
        <w:rPr>
          <w:rFonts w:ascii="Arial" w:cs="Arial" w:eastAsia="Arial" w:hAnsi="Arial"/>
          <w:sz w:val="18"/>
          <w:szCs w:val="18"/>
          <w:i w:val="1"/>
          <w:iCs w:val="1"/>
          <w:color w:val="auto"/>
        </w:rPr>
        <w:t>Equity Incentive Plan</w:t>
      </w:r>
      <w:r>
        <w:rPr>
          <w:rFonts w:ascii="Arial" w:cs="Arial" w:eastAsia="Arial" w:hAnsi="Arial"/>
          <w:sz w:val="18"/>
          <w:szCs w:val="18"/>
          <w:color w:val="auto"/>
        </w:rPr>
        <w:t>” elsewhere in this 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Stock Plan</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a summary of the 2006 Stock Plan see “</w:t>
      </w:r>
      <w:r>
        <w:rPr>
          <w:rFonts w:ascii="Arial" w:cs="Arial" w:eastAsia="Arial" w:hAnsi="Arial"/>
          <w:sz w:val="18"/>
          <w:szCs w:val="18"/>
          <w:i w:val="1"/>
          <w:iCs w:val="1"/>
          <w:color w:val="auto"/>
        </w:rPr>
        <w:t>Executive Compensation Arrangements — 2006 Stock Plan</w:t>
      </w:r>
      <w:r>
        <w:rPr>
          <w:rFonts w:ascii="Arial" w:cs="Arial" w:eastAsia="Arial" w:hAnsi="Arial"/>
          <w:sz w:val="18"/>
          <w:szCs w:val="18"/>
          <w:color w:val="auto"/>
        </w:rPr>
        <w:t>” elsewhere in this 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the Company’s Named Executive Officers as of December 31, 2022</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Our Chief Executive Officer was party to an employment Agreement with Legacy SoundHound and then SoundHound AI through June 2, 2022. Our Chief Financial Officer and Chief Revenue Officer were parties to letter agreements with Legacy SoundHound and then SoundHound AI through June 2, 2022, provided that the letter agreement with Mr. Zubin Irani, our Chief Revenue Officer was not effective until January 5, 2022.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Employment Agreements with Named Executive Officers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Zubin Irani, the Company’s Chief Revenue Officer, which replaced and superseded all prior employment agreements with such named executive officers. In addition, the Board adopted and approved a Non-Employee Director Compensation Policy.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Employment Agreement with Keyvan Mohajer, Chief Executive Officer</w:t>
      </w:r>
    </w:p>
    <w:p>
      <w:pPr>
        <w:spacing w:after="0" w:line="144"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his annual base salary then in effect. The annual bonus will be determined by the Company in its sole discretion based upon achievement of performance objectives to be determined by the Company.</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 addition, Dr. Mohajer is eligible to participate in the standard benefit plans offered to similarly situated employees by the Company from time to time.</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Dr. Mohajer has also entered into the Company’s standard form of confidential information and inventions assignment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Employment Agreement with Nitesh Sharan, Chief Financial Officer</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his annual base salary then in effect. The annual bonus will be determined by the Company in its sole discretion, based upon achievement of performance objectives to be determined by the Company.</w:t>
      </w:r>
    </w:p>
    <w:p>
      <w:pPr>
        <w:spacing w:after="0" w:line="12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84"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2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 addition, Mr. Sharan is eligible to participate in the standard benefit plans offered to similarly-situated employees by the Company from time to time.</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June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Mr. Sharan has also entered into the Company’s standard form of confidential information and inventions assignment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 with Zubin Irani, Chief Revenue Officer</w:t>
      </w:r>
    </w:p>
    <w:p>
      <w:pPr>
        <w:spacing w:after="0" w:line="15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Mr. Zubin Irani, who commenced his service as Legacy SoundHound’s Chief Revenue Officer in January 2022, pursuant to the terms of an offer letter agreement dated September 14, 2021 (the “CRO Letter Agreement”). Under the CRO letter agreement, Mr. Irani was entitled to a base salary of $300,000 per year.</w:t>
      </w:r>
    </w:p>
    <w:p>
      <w:pPr>
        <w:spacing w:after="0" w:line="6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Under Mr. Irani’s employment agreement that was entered into in June 2022 (the “June 2022 CRO Employment Agreement”), Mr. Irani received a base salary of $335,000, effective retroactively as of May 1, 2022. In addition, Mr. Irani was eligible to earn an annual incentive bonus, with a target equal to 100% of his annual base salary as then in effect, with a maximum payout at 200% of his annual base salary then in effect. The annual bonus was determined by the Company in its sole discretion, based upon achievement of performance objectives to be determined by the Company.</w:t>
      </w:r>
    </w:p>
    <w:p>
      <w:pPr>
        <w:spacing w:after="0" w:line="125"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 In August 2022, Mr. Irani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With the exception of the August 2022 RSU grant, the Options, RSUs, and PSUs have a four-year time-based vesting schedule, with 3/48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PSUs  are  subject  to  additional  GAAP  revenue  performance-based  vesting  conditions,  with</w:t>
      </w:r>
    </w:p>
    <w:p>
      <w:pPr>
        <w:spacing w:after="0" w:line="35" w:lineRule="exact"/>
        <w:rPr>
          <w:sz w:val="20"/>
          <w:szCs w:val="20"/>
          <w:color w:val="auto"/>
        </w:rPr>
      </w:pPr>
    </w:p>
    <w:p>
      <w:pPr>
        <w:jc w:val="both"/>
        <w:ind w:left="460" w:right="459" w:hanging="6"/>
        <w:spacing w:after="0" w:line="268"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Global Market of $15.00 or higher; and (c) 50,000 PSUs vesting upon the first achievement of the Class A Common Stock closing at a 90-day average closing price on the Nasdaq Global Market of $20.00 or higher.</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addition, Mr. Irani was eligible to participate in the standard benefit plans offered to similarly-situated employees by the Company from time to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June 2022 CRO Employment Agreement provided for “at will employment,” and specifies certain compensation following termination of employment, including potential severance payments of three months of Mr. Irani’s then current base salary and payment for three months of any COBRA premiums if Mr. Irani’s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Mr. Irani has also entered into the Company’s standard form of confidential information and inventions assignment agreement.</w:t>
      </w:r>
    </w:p>
    <w:p>
      <w:pPr>
        <w:spacing w:after="0" w:line="103" w:lineRule="exact"/>
        <w:rPr>
          <w:sz w:val="20"/>
          <w:szCs w:val="20"/>
          <w:color w:val="auto"/>
        </w:rPr>
      </w:pPr>
    </w:p>
    <w:p>
      <w:pPr>
        <w:jc w:val="center"/>
        <w:ind w:left="2200" w:right="120"/>
        <w:spacing w:after="0" w:line="481" w:lineRule="auto"/>
        <w:rPr>
          <w:sz w:val="20"/>
          <w:szCs w:val="20"/>
          <w:color w:val="auto"/>
        </w:rPr>
      </w:pPr>
      <w:r>
        <w:rPr>
          <w:rFonts w:ascii="Arial" w:cs="Arial" w:eastAsia="Arial" w:hAnsi="Arial"/>
          <w:sz w:val="18"/>
          <w:szCs w:val="18"/>
          <w:color w:val="auto"/>
        </w:rPr>
        <w:t>Mr. Irani’s employment agreement was terminated on February 3, 2023 and Mr. Irani became an advisor.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2022 FISCAL YEAR END</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the Company’s Named Executive Officers as of December 31, 2022.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Awards</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760" w:type="dxa"/>
            <w:vAlign w:val="bottom"/>
            <w:vMerge w:val="continue"/>
          </w:tcPr>
          <w:p>
            <w:pPr>
              <w:spacing w:after="0"/>
              <w:rPr>
                <w:sz w:val="12"/>
                <w:szCs w:val="12"/>
                <w:color w:val="auto"/>
              </w:rPr>
            </w:pP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88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Unexercisable</w:t>
            </w: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820" w:type="dxa"/>
            <w:vAlign w:val="bottom"/>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Start 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39"/>
        </w:trPr>
        <w:tc>
          <w:tcPr>
            <w:tcW w:w="1780" w:type="dxa"/>
            <w:vAlign w:val="bottom"/>
            <w:shd w:val="clear" w:color="auto" w:fill="CCEEFF"/>
          </w:tcPr>
          <w:p>
            <w:pPr>
              <w:spacing w:after="0" w:line="39" w:lineRule="exact"/>
              <w:rPr>
                <w:sz w:val="20"/>
                <w:szCs w:val="20"/>
                <w:color w:val="auto"/>
              </w:rPr>
            </w:pPr>
            <w:r>
              <w:rPr>
                <w:rFonts w:ascii="Arial" w:cs="Arial" w:eastAsia="Arial" w:hAnsi="Arial"/>
                <w:sz w:val="4"/>
                <w:szCs w:val="4"/>
                <w:color w:val="auto"/>
              </w:rPr>
              <w:t>Dr. Keyvan Mohajer,</w:t>
            </w:r>
          </w:p>
        </w:tc>
        <w:tc>
          <w:tcPr>
            <w:tcW w:w="780" w:type="dxa"/>
            <w:vAlign w:val="bottom"/>
            <w:shd w:val="clear" w:color="auto" w:fill="000000"/>
          </w:tcPr>
          <w:p>
            <w:pPr>
              <w:jc w:val="right"/>
              <w:spacing w:after="0" w:line="39" w:lineRule="exact"/>
              <w:rPr>
                <w:sz w:val="20"/>
                <w:szCs w:val="20"/>
                <w:color w:val="auto"/>
              </w:rPr>
            </w:pPr>
            <w:r>
              <w:rPr>
                <w:rFonts w:ascii="Arial" w:cs="Arial" w:eastAsia="Arial" w:hAnsi="Arial"/>
                <w:sz w:val="4"/>
                <w:szCs w:val="4"/>
                <w:color w:val="auto"/>
              </w:rPr>
              <w:t>03/28/2017</w:t>
            </w:r>
          </w:p>
        </w:tc>
        <w:tc>
          <w:tcPr>
            <w:tcW w:w="100" w:type="dxa"/>
            <w:vAlign w:val="bottom"/>
            <w:shd w:val="clear" w:color="auto" w:fill="CCEEFF"/>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000000"/>
          </w:tcPr>
          <w:p>
            <w:pPr>
              <w:jc w:val="right"/>
              <w:spacing w:after="0" w:line="39" w:lineRule="exact"/>
              <w:rPr>
                <w:sz w:val="20"/>
                <w:szCs w:val="20"/>
                <w:color w:val="auto"/>
              </w:rPr>
            </w:pPr>
            <w:r>
              <w:rPr>
                <w:rFonts w:ascii="Arial" w:cs="Arial" w:eastAsia="Arial" w:hAnsi="Arial"/>
                <w:sz w:val="4"/>
                <w:szCs w:val="4"/>
                <w:color w:val="auto"/>
              </w:rPr>
              <w:t>833,435</w:t>
            </w:r>
          </w:p>
        </w:tc>
        <w:tc>
          <w:tcPr>
            <w:tcW w:w="80" w:type="dxa"/>
            <w:vAlign w:val="bottom"/>
            <w:shd w:val="clear" w:color="auto" w:fill="CCEEFF"/>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000000"/>
          </w:tcPr>
          <w:p>
            <w:pPr>
              <w:jc w:val="right"/>
              <w:ind w:right="118"/>
              <w:spacing w:after="0" w:line="39" w:lineRule="exact"/>
              <w:rPr>
                <w:sz w:val="20"/>
                <w:szCs w:val="20"/>
                <w:color w:val="auto"/>
              </w:rPr>
            </w:pPr>
            <w:r>
              <w:rPr>
                <w:rFonts w:ascii="Arial" w:cs="Arial" w:eastAsia="Arial" w:hAnsi="Arial"/>
                <w:sz w:val="4"/>
                <w:szCs w:val="4"/>
                <w:color w:val="auto"/>
              </w:rPr>
              <w:t>$</w:t>
            </w:r>
          </w:p>
        </w:tc>
        <w:tc>
          <w:tcPr>
            <w:tcW w:w="440" w:type="dxa"/>
            <w:vAlign w:val="bottom"/>
            <w:shd w:val="clear" w:color="auto" w:fill="000000"/>
          </w:tcPr>
          <w:p>
            <w:pPr>
              <w:jc w:val="right"/>
              <w:spacing w:after="0" w:line="39" w:lineRule="exact"/>
              <w:rPr>
                <w:sz w:val="20"/>
                <w:szCs w:val="20"/>
                <w:color w:val="auto"/>
              </w:rPr>
            </w:pPr>
            <w:r>
              <w:rPr>
                <w:rFonts w:ascii="Arial" w:cs="Arial" w:eastAsia="Arial" w:hAnsi="Arial"/>
                <w:sz w:val="4"/>
                <w:szCs w:val="4"/>
                <w:color w:val="auto"/>
              </w:rPr>
              <w:t>2.18</w:t>
            </w:r>
          </w:p>
        </w:tc>
        <w:tc>
          <w:tcPr>
            <w:tcW w:w="100" w:type="dxa"/>
            <w:vAlign w:val="bottom"/>
            <w:shd w:val="clear" w:color="auto" w:fill="CCEEFF"/>
          </w:tcPr>
          <w:p>
            <w:pPr>
              <w:spacing w:after="0"/>
              <w:rPr>
                <w:sz w:val="3"/>
                <w:szCs w:val="3"/>
                <w:color w:val="auto"/>
              </w:rPr>
            </w:pPr>
          </w:p>
        </w:tc>
        <w:tc>
          <w:tcPr>
            <w:tcW w:w="920" w:type="dxa"/>
            <w:vAlign w:val="bottom"/>
            <w:shd w:val="clear" w:color="auto" w:fill="000000"/>
          </w:tcPr>
          <w:p>
            <w:pPr>
              <w:jc w:val="right"/>
              <w:ind w:right="39"/>
              <w:spacing w:after="0" w:line="39" w:lineRule="exact"/>
              <w:rPr>
                <w:sz w:val="20"/>
                <w:szCs w:val="20"/>
                <w:color w:val="auto"/>
              </w:rPr>
            </w:pPr>
            <w:r>
              <w:rPr>
                <w:rFonts w:ascii="Arial" w:cs="Arial" w:eastAsia="Arial" w:hAnsi="Arial"/>
                <w:sz w:val="4"/>
                <w:szCs w:val="4"/>
                <w:color w:val="auto"/>
              </w:rPr>
              <w:t>03/28/2027</w:t>
            </w:r>
          </w:p>
        </w:tc>
      </w:tr>
      <w:tr>
        <w:trPr>
          <w:trHeight w:val="136"/>
        </w:trPr>
        <w:tc>
          <w:tcPr>
            <w:tcW w:w="17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76"/>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CEO</w:t>
            </w: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16"/>
                <w:szCs w:val="16"/>
                <w:color w:val="auto"/>
              </w:rPr>
              <w:t>Nitesh Sharan, CFO</w:t>
            </w:r>
          </w:p>
        </w:tc>
        <w:tc>
          <w:tcPr>
            <w:tcW w:w="780" w:type="dxa"/>
            <w:vAlign w:val="bottom"/>
          </w:tcPr>
          <w:p>
            <w:pPr>
              <w:jc w:val="right"/>
              <w:spacing w:after="0"/>
              <w:rPr>
                <w:sz w:val="20"/>
                <w:szCs w:val="20"/>
                <w:color w:val="auto"/>
              </w:rPr>
            </w:pPr>
            <w:r>
              <w:rPr>
                <w:rFonts w:ascii="Arial" w:cs="Arial" w:eastAsia="Arial" w:hAnsi="Arial"/>
                <w:sz w:val="16"/>
                <w:szCs w:val="16"/>
                <w:color w:val="auto"/>
                <w:w w:val="92"/>
              </w:rPr>
              <w:t>09/27/2021</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86"/>
              </w:rPr>
              <w:t>09/15/2021</w:t>
            </w:r>
            <w:r>
              <w:rPr>
                <w:rFonts w:ascii="Arial" w:cs="Arial" w:eastAsia="Arial" w:hAnsi="Arial"/>
                <w:sz w:val="21"/>
                <w:szCs w:val="21"/>
                <w:color w:val="auto"/>
                <w:w w:val="86"/>
                <w:vertAlign w:val="superscript"/>
              </w:rPr>
              <w:t>(2)</w:t>
            </w: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96,460</w:t>
            </w:r>
          </w:p>
        </w:tc>
        <w:tc>
          <w:tcPr>
            <w:tcW w:w="880" w:type="dxa"/>
            <w:vAlign w:val="bottom"/>
          </w:tcPr>
          <w:p>
            <w:pPr>
              <w:jc w:val="right"/>
              <w:spacing w:after="0"/>
              <w:rPr>
                <w:sz w:val="20"/>
                <w:szCs w:val="20"/>
                <w:color w:val="auto"/>
              </w:rPr>
            </w:pPr>
            <w:r>
              <w:rPr>
                <w:rFonts w:ascii="Arial" w:cs="Arial" w:eastAsia="Arial" w:hAnsi="Arial"/>
                <w:sz w:val="16"/>
                <w:szCs w:val="16"/>
                <w:color w:val="auto"/>
              </w:rPr>
              <w:t>212,217</w:t>
            </w:r>
          </w:p>
        </w:tc>
        <w:tc>
          <w:tcPr>
            <w:tcW w:w="80" w:type="dxa"/>
            <w:vAlign w:val="bottom"/>
          </w:tcPr>
          <w:p>
            <w:pPr>
              <w:spacing w:after="0"/>
              <w:rPr>
                <w:sz w:val="24"/>
                <w:szCs w:val="24"/>
                <w:color w:val="auto"/>
              </w:rPr>
            </w:pPr>
          </w:p>
        </w:tc>
        <w:tc>
          <w:tcPr>
            <w:tcW w:w="1200" w:type="dxa"/>
            <w:vAlign w:val="bottom"/>
            <w:gridSpan w:val="3"/>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w w:val="99"/>
              </w:rPr>
              <w:t>09/27/2031</w:t>
            </w:r>
          </w:p>
        </w:tc>
      </w:tr>
      <w:tr>
        <w:trPr>
          <w:trHeight w:val="285"/>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Zubin Irani, CRO</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09/27/2021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09/15/2021</w:t>
            </w:r>
            <w:r>
              <w:rPr>
                <w:rFonts w:ascii="Arial" w:cs="Arial" w:eastAsia="Arial" w:hAnsi="Arial"/>
                <w:sz w:val="21"/>
                <w:szCs w:val="21"/>
                <w:color w:val="auto"/>
                <w:w w:val="86"/>
                <w:vertAlign w:val="superscript"/>
              </w:rPr>
              <w:t>(2)</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64,310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141,477</w:t>
            </w:r>
          </w:p>
        </w:tc>
        <w:tc>
          <w:tcPr>
            <w:tcW w:w="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09/27/2031</w:t>
            </w:r>
          </w:p>
        </w:tc>
      </w:tr>
      <w:tr>
        <w:trPr>
          <w:trHeight w:val="251"/>
        </w:trPr>
        <w:tc>
          <w:tcPr>
            <w:tcW w:w="1780" w:type="dxa"/>
            <w:vAlign w:val="bottom"/>
          </w:tcPr>
          <w:p>
            <w:pPr>
              <w:spacing w:after="0"/>
              <w:rPr>
                <w:sz w:val="20"/>
                <w:szCs w:val="20"/>
                <w:color w:val="auto"/>
              </w:rPr>
            </w:pPr>
            <w:r>
              <w:rPr>
                <w:rFonts w:ascii="Arial" w:cs="Arial" w:eastAsia="Arial" w:hAnsi="Arial"/>
                <w:sz w:val="16"/>
                <w:szCs w:val="16"/>
                <w:color w:val="auto"/>
              </w:rPr>
              <w:t>____________</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77" w:lineRule="exact"/>
        <w:rPr>
          <w:sz w:val="20"/>
          <w:szCs w:val="20"/>
          <w:color w:val="auto"/>
        </w:rPr>
      </w:pPr>
    </w:p>
    <w:p>
      <w:pPr>
        <w:ind w:left="880" w:hanging="426"/>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option award was fully vested from the grant date.</w:t>
      </w:r>
    </w:p>
    <w:p>
      <w:pPr>
        <w:spacing w:after="0" w:line="22" w:lineRule="exact"/>
        <w:rPr>
          <w:rFonts w:ascii="Arial" w:cs="Arial" w:eastAsia="Arial" w:hAnsi="Arial"/>
          <w:sz w:val="16"/>
          <w:szCs w:val="16"/>
          <w:color w:val="auto"/>
        </w:rPr>
      </w:pPr>
    </w:p>
    <w:p>
      <w:pPr>
        <w:ind w:left="880" w:right="459" w:hanging="426"/>
        <w:spacing w:after="0" w:line="300"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option award has a four-year vesting schedule, with 25% of the award vesting 12 months after Vesting Start Date and 3/48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quarter thereafter.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Stock Awards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incentive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Equity</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plan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incentive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awards:</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plan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Market 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awards: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payout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Market</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unearned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unearned</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value of</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units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5"/>
              </w:rPr>
              <w:t>shares,</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shares of</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or</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units 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or units of</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units of</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other rights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other rights</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 that</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that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that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that have</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have not</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have not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Grant</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not</w:t>
            </w:r>
          </w:p>
        </w:tc>
        <w:tc>
          <w:tcPr>
            <w:tcW w:w="1040" w:type="dxa"/>
            <w:vAlign w:val="bottom"/>
            <w:gridSpan w:val="2"/>
          </w:tcPr>
          <w:p>
            <w:pPr>
              <w:jc w:val="center"/>
              <w:ind w:right="60"/>
              <w:spacing w:after="0" w:line="202" w:lineRule="exact"/>
              <w:rPr>
                <w:sz w:val="20"/>
                <w:szCs w:val="20"/>
                <w:color w:val="auto"/>
              </w:rPr>
            </w:pPr>
            <w:r>
              <w:rPr>
                <w:rFonts w:ascii="Arial" w:cs="Arial" w:eastAsia="Arial" w:hAnsi="Arial"/>
                <w:sz w:val="16"/>
                <w:szCs w:val="16"/>
                <w:b w:val="1"/>
                <w:bCs w:val="1"/>
                <w:color w:val="auto"/>
                <w:w w:val="82"/>
              </w:rPr>
              <w:t>vested</w:t>
            </w:r>
            <w:r>
              <w:rPr>
                <w:rFonts w:ascii="Arial" w:cs="Arial" w:eastAsia="Arial" w:hAnsi="Arial"/>
                <w:sz w:val="18"/>
                <w:szCs w:val="18"/>
                <w:b w:val="1"/>
                <w:bCs w:val="1"/>
                <w:color w:val="auto"/>
                <w:w w:val="82"/>
                <w:vertAlign w:val="superscript"/>
              </w:rPr>
              <w:t>(1)</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vested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vested</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vested(#)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6"/>
                <w:szCs w:val="16"/>
                <w:b w:val="1"/>
                <w:bCs w:val="1"/>
                <w:color w:val="auto"/>
              </w:rPr>
              <w:t>Name (a)</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(b)</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(c)</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(d)</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(f)</w:t>
            </w:r>
          </w:p>
        </w:tc>
        <w:tc>
          <w:tcPr>
            <w:tcW w:w="0" w:type="dxa"/>
            <w:vAlign w:val="bottom"/>
          </w:tcPr>
          <w:p>
            <w:pPr>
              <w:spacing w:after="0"/>
              <w:rPr>
                <w:sz w:val="1"/>
                <w:szCs w:val="1"/>
                <w:color w:val="auto"/>
              </w:rPr>
            </w:pPr>
          </w:p>
        </w:tc>
      </w:tr>
      <w:tr>
        <w:trPr>
          <w:trHeight w:val="47"/>
        </w:trPr>
        <w:tc>
          <w:tcPr>
            <w:tcW w:w="2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Dr. Keyvan Mohajer, CEO</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6/2/2022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1,088,550</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1"/>
              </w:rPr>
              <w:t>6/2/2022</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040" w:type="dxa"/>
            <w:vAlign w:val="bottom"/>
          </w:tcPr>
          <w:p>
            <w:pPr>
              <w:jc w:val="right"/>
              <w:ind w:right="2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9/7/2022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Nitesh Sharan, CFO</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6/2/2022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206,250</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365,063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1"/>
              </w:rPr>
              <w:t>6/2/2022</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040" w:type="dxa"/>
            <w:vAlign w:val="bottom"/>
          </w:tcPr>
          <w:p>
            <w:pPr>
              <w:jc w:val="right"/>
              <w:ind w:right="2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9/7/2022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Zubin Irani, CRO</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6/2/2022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206,250</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365,063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1"/>
              </w:rPr>
              <w:t>6/2/2022</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040" w:type="dxa"/>
            <w:vAlign w:val="bottom"/>
          </w:tcPr>
          <w:p>
            <w:pPr>
              <w:jc w:val="right"/>
              <w:ind w:right="2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9/7/2022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84" w:lineRule="auto"/>
        <w:tabs>
          <w:tab w:leader="none" w:pos="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dollar amounts shown in columns (d) and (f) are determined by multiplying the number of shares or units shown in column (c) or (e), as applicable, by $1.77, the closing price of our common stock on December 31, 2022.</w:t>
      </w:r>
    </w:p>
    <w:p>
      <w:pPr>
        <w:ind w:left="880" w:right="459" w:hanging="426"/>
        <w:spacing w:after="0" w:line="248"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restricted stock award has a four-year vesting schedule, with 1/16</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quarter after the vesting commencement date.</w:t>
      </w:r>
    </w:p>
    <w:p>
      <w:pPr>
        <w:ind w:left="880" w:hanging="426"/>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Excludes PSUs with performance goals not currently expected to be achieved.</w:t>
      </w:r>
    </w:p>
    <w:p>
      <w:pPr>
        <w:spacing w:after="0" w:line="18" w:lineRule="exact"/>
        <w:rPr>
          <w:rFonts w:ascii="Arial" w:cs="Arial" w:eastAsia="Arial" w:hAnsi="Arial"/>
          <w:sz w:val="16"/>
          <w:szCs w:val="16"/>
          <w:color w:val="auto"/>
        </w:rPr>
      </w:pPr>
    </w:p>
    <w:p>
      <w:pPr>
        <w:ind w:left="880" w:right="479" w:hanging="426"/>
        <w:spacing w:after="0" w:line="258"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restricted stock award has a three-year vesting schedule, with 1/36</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month after the vesting commencement date.</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2" w:lineRule="exact"/>
        <w:rPr>
          <w:sz w:val="20"/>
          <w:szCs w:val="20"/>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member of the Audit Committee: $10,000; (C) Chair of the Compensation Committee: $14,500;</w:t>
      </w:r>
    </w:p>
    <w:p>
      <w:pPr>
        <w:spacing w:after="0" w:line="9" w:lineRule="exact"/>
        <w:rPr>
          <w:rFonts w:ascii="Arial" w:cs="Arial" w:eastAsia="Arial" w:hAnsi="Arial"/>
          <w:sz w:val="18"/>
          <w:szCs w:val="18"/>
          <w:color w:val="auto"/>
        </w:rPr>
      </w:pPr>
    </w:p>
    <w:p>
      <w:pPr>
        <w:jc w:val="both"/>
        <w:ind w:left="460" w:right="459" w:hanging="6"/>
        <w:spacing w:after="0" w:line="286" w:lineRule="auto"/>
        <w:tabs>
          <w:tab w:leader="none" w:pos="7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05"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by our non-employee directors for the year ended December 31, 2022.</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Fees earned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or paid in</w:t>
            </w: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All other</w:t>
            </w:r>
          </w:p>
        </w:tc>
        <w:tc>
          <w:tcPr>
            <w:tcW w:w="10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2"/>
              </w:rPr>
              <w:t>cash</w:t>
            </w: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awards</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awards</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compensation</w:t>
            </w:r>
          </w:p>
        </w:tc>
        <w:tc>
          <w:tcPr>
            <w:tcW w:w="1040" w:type="dxa"/>
            <w:vAlign w:val="bottom"/>
          </w:tcPr>
          <w:p>
            <w:pPr>
              <w:jc w:val="right"/>
              <w:ind w:right="274"/>
              <w:spacing w:after="0"/>
              <w:rPr>
                <w:sz w:val="20"/>
                <w:szCs w:val="20"/>
                <w:color w:val="auto"/>
              </w:rPr>
            </w:pPr>
            <w:r>
              <w:rPr>
                <w:rFonts w:ascii="Arial" w:cs="Arial" w:eastAsia="Arial" w:hAnsi="Arial"/>
                <w:sz w:val="16"/>
                <w:szCs w:val="16"/>
                <w:b w:val="1"/>
                <w:bCs w:val="1"/>
                <w:color w:val="auto"/>
              </w:rPr>
              <w:t>Total</w:t>
            </w:r>
          </w:p>
        </w:tc>
      </w:tr>
      <w:tr>
        <w:trPr>
          <w:trHeight w:val="21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47"/>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Eric Ball</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3"/>
              </w:rPr>
              <w:t>47,325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6"/>
              </w:rPr>
              <w:t>355,000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592,325</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Larry Marcus</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48,000</w:t>
            </w:r>
          </w:p>
        </w:tc>
        <w:tc>
          <w:tcPr>
            <w:tcW w:w="120" w:type="dxa"/>
            <w:vAlign w:val="bottom"/>
          </w:tcPr>
          <w:p>
            <w:pPr>
              <w:spacing w:after="0"/>
              <w:rPr>
                <w:sz w:val="21"/>
                <w:szCs w:val="21"/>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545,000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593,000</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Diana Sroka</w:t>
            </w:r>
          </w:p>
        </w:tc>
        <w:tc>
          <w:tcPr>
            <w:tcW w:w="9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31,500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355,000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190,000</w:t>
            </w:r>
          </w:p>
        </w:tc>
        <w:tc>
          <w:tcPr>
            <w:tcW w:w="11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576,500</w:t>
            </w:r>
          </w:p>
        </w:tc>
      </w:tr>
      <w:tr>
        <w:trPr>
          <w:trHeight w:val="405"/>
        </w:trPr>
        <w:tc>
          <w:tcPr>
            <w:tcW w:w="3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88</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Incentive Award Plan</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the 2022 Incentive Award Plan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section summarizes certain principal features of the 2022 Incentive Award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116" w:lineRule="exact"/>
        <w:rPr>
          <w:sz w:val="20"/>
          <w:szCs w:val="20"/>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Purpose of the 2022 Incentive Award Plan Proposal</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5" w:lineRule="exact"/>
        <w:rPr>
          <w:sz w:val="20"/>
          <w:szCs w:val="20"/>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Reasons for the Approval of the 2022 Incentive Award Plan Proposal</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4" w:lineRule="exact"/>
        <w:rPr>
          <w:sz w:val="20"/>
          <w:szCs w:val="20"/>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Terms of the Incentive Award Plan</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2022 Incentive Award Plan is administered by the Company’s Board or by one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2022 Incentive Award Plan provides for the grant of stock options, which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The number of shares of the Company’s Class A Common Stock that may be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2022 Incentive Award Plan is equal to the sum of (x) 19,650,371 shares plus (y) the annual increase in shares described below. As of December 31, 2022,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11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Shares issued under the 2022 Incentive Award Plan may be authorized but unissued shares or treasury shares. As of December 31, 2022, there were awards for an aggregate of 16,397,966 shares of Class A Common Stock granted under the 2022 Incentive Award Plan.</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i w:val="1"/>
          <w:iCs w:val="1"/>
          <w:color w:val="auto"/>
        </w:rPr>
        <w:t xml:space="preserve">Annual Limitation on Compensation of Non-Employee Directors. </w:t>
      </w:r>
      <w:r>
        <w:rPr>
          <w:rFonts w:ascii="Arial" w:cs="Arial" w:eastAsia="Arial" w:hAnsi="Arial"/>
          <w:sz w:val="16"/>
          <w:szCs w:val="16"/>
          <w:color w:val="auto"/>
        </w:rPr>
        <w:t>The grant date fair value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(including officers), non-employee directors and consultants who render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December 31, 2022, 436 employees, including seven executive officers (two of whom are employee directors), three non-employee directors, and two consultants are eligible to participate in the 2022 Incentive Award Plan. See “</w:t>
      </w:r>
      <w:r>
        <w:rPr>
          <w:rFonts w:ascii="Arial" w:cs="Arial" w:eastAsia="Arial" w:hAnsi="Arial"/>
          <w:sz w:val="18"/>
          <w:szCs w:val="18"/>
          <w:i w:val="1"/>
          <w:iCs w:val="1"/>
          <w:color w:val="auto"/>
        </w:rPr>
        <w:t>Business-Employees</w:t>
      </w:r>
      <w:r>
        <w:rPr>
          <w:rFonts w:ascii="Arial" w:cs="Arial" w:eastAsia="Arial" w:hAnsi="Arial"/>
          <w:sz w:val="18"/>
          <w:szCs w:val="18"/>
          <w:color w:val="auto"/>
        </w:rPr>
        <w:t>” for further discussion relating to our reduction of workforce that was implemented in January 2023.</w:t>
      </w:r>
    </w:p>
    <w:p>
      <w:pPr>
        <w:spacing w:after="0" w:line="12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 xml:space="preserve">International Participation. </w:t>
      </w:r>
      <w:r>
        <w:rPr>
          <w:rFonts w:ascii="Arial" w:cs="Arial" w:eastAsia="Arial" w:hAnsi="Arial"/>
          <w:sz w:val="16"/>
          <w:szCs w:val="16"/>
          <w:color w:val="auto"/>
        </w:rPr>
        <w:t>The 2022 Incentive Award Plan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8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Repricing. </w:t>
      </w:r>
      <w:r>
        <w:rPr>
          <w:rFonts w:ascii="Arial" w:cs="Arial" w:eastAsia="Arial" w:hAnsi="Arial"/>
          <w:sz w:val="18"/>
          <w:szCs w:val="18"/>
          <w:color w:val="auto"/>
        </w:rPr>
        <w:t>The 2022 Incentive Award Plan Administrator has full authority to reprice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 stock option is the right to purchase a certain number of shares of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8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Tax Limitations on Incentive Stock Options. </w:t>
      </w:r>
      <w:r>
        <w:rPr>
          <w:rFonts w:ascii="Arial" w:cs="Arial" w:eastAsia="Arial" w:hAnsi="Arial"/>
          <w:sz w:val="17"/>
          <w:szCs w:val="17"/>
          <w:color w:val="auto"/>
        </w:rPr>
        <w:t>The aggregate fair market value, determined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1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An SAR provides the recipient with the right to the appreciation in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10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Shares of restricted stock may be issued under the 2022 Incentive Award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9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An RSU is a right to receive a share, at no cost to the recipient, upon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9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2022 Incentive Award Plan Administrator may grant other awards based in whole or</w:t>
      </w:r>
      <w:r>
        <w:rPr>
          <w:rFonts w:ascii="Arial" w:cs="Arial" w:eastAsia="Arial" w:hAnsi="Arial"/>
          <w:sz w:val="17"/>
          <w:szCs w:val="17"/>
          <w:i w:val="1"/>
          <w:iCs w:val="1"/>
          <w:color w:val="auto"/>
        </w:rPr>
        <w:t xml:space="preserve"> </w:t>
      </w:r>
      <w:r>
        <w:rPr>
          <w:rFonts w:ascii="Arial" w:cs="Arial" w:eastAsia="Arial" w:hAnsi="Arial"/>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of certain changes in capitalization, including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If the Company is party to a merger, consolidation or certain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2022 Incentive Award Plan Administrator may provide, in an individual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Unless the 2022 Incentive Award Plan Administrator determines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2022 Incentive Award Plan Administrator may amend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Federal Income Tax Aspects of Awards Under the 2022 Incentive Award Plan</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No taxable income is recognized by an optionee upon the grant or vesting of an</w:t>
      </w:r>
      <w:r>
        <w:rPr>
          <w:rFonts w:ascii="Arial" w:cs="Arial" w:eastAsia="Arial" w:hAnsi="Arial"/>
          <w:sz w:val="17"/>
          <w:szCs w:val="17"/>
          <w:i w:val="1"/>
          <w:iCs w:val="1"/>
          <w:color w:val="auto"/>
        </w:rPr>
        <w:t xml:space="preserve"> </w:t>
      </w:r>
      <w:r>
        <w:rPr>
          <w:rFonts w:ascii="Arial" w:cs="Arial" w:eastAsia="Arial" w:hAnsi="Arial"/>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8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i w:val="1"/>
          <w:iCs w:val="1"/>
          <w:color w:val="auto"/>
        </w:rPr>
        <w:t xml:space="preserve">Nonstatutory Stock Options. </w:t>
      </w:r>
      <w:r>
        <w:rPr>
          <w:rFonts w:ascii="Arial" w:cs="Arial" w:eastAsia="Arial" w:hAnsi="Arial"/>
          <w:sz w:val="16"/>
          <w:szCs w:val="16"/>
          <w:color w:val="auto"/>
        </w:rPr>
        <w:t>No taxable income is recognized by an optionee upon the grant or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who receives an award of restricted stock generally does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In general, no taxable income results upon the grant of an RSU.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25"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In general, no taxable income results upon the grant of a SAR.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will generally recognize ordinary income in the year of exercise equal to the value of the shares or other consideration received. In the case of a current or former employee, this amount is subject to withholding.</w:t>
      </w:r>
    </w:p>
    <w:p>
      <w:pPr>
        <w:spacing w:after="0" w:line="6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The foregoing description assumes that Section 409A of the Code does not apply to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2" w:lineRule="exact"/>
        <w:rPr>
          <w:sz w:val="20"/>
          <w:szCs w:val="20"/>
          <w:color w:val="auto"/>
        </w:rPr>
      </w:pPr>
    </w:p>
    <w:p>
      <w:pPr>
        <w:jc w:val="both"/>
        <w:ind w:left="460" w:right="459" w:hanging="6"/>
        <w:spacing w:after="0" w:line="270" w:lineRule="auto"/>
        <w:tabs>
          <w:tab w:leader="none" w:pos="732"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Arial" w:cs="Arial" w:eastAsia="Arial" w:hAnsi="Arial"/>
          <w:sz w:val="17"/>
          <w:szCs w:val="17"/>
          <w:i w:val="1"/>
          <w:iCs w:val="1"/>
          <w:color w:val="auto"/>
        </w:rPr>
        <w:t>in addition to</w:t>
      </w:r>
      <w:r>
        <w:rPr>
          <w:rFonts w:ascii="Arial" w:cs="Arial" w:eastAsia="Arial" w:hAnsi="Arial"/>
          <w:sz w:val="17"/>
          <w:szCs w:val="17"/>
          <w:color w:val="auto"/>
        </w:rPr>
        <w:t xml:space="preserve"> the U.S. federal income tax at the participant’s usual marginal rate for ordinary income.</w:t>
      </w:r>
    </w:p>
    <w:p>
      <w:pPr>
        <w:spacing w:after="0" w:line="11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Tax Treatment of the Company. </w:t>
      </w:r>
      <w:r>
        <w:rPr>
          <w:rFonts w:ascii="Arial" w:cs="Arial" w:eastAsia="Arial" w:hAnsi="Arial"/>
          <w:sz w:val="17"/>
          <w:szCs w:val="17"/>
          <w:color w:val="auto"/>
        </w:rPr>
        <w:t>The Company will generally be entitled to an income tax deduction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Award Plan Benefits</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with the SEC</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Employee Stock Purchase Plan</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ESPP is described in more detail below.</w:t>
      </w:r>
    </w:p>
    <w:p>
      <w:pPr>
        <w:spacing w:after="0" w:line="158" w:lineRule="exact"/>
        <w:rPr>
          <w:sz w:val="20"/>
          <w:szCs w:val="20"/>
          <w:color w:val="auto"/>
        </w:rPr>
      </w:pPr>
    </w:p>
    <w:p>
      <w:pPr>
        <w:ind w:left="1320" w:hanging="43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Overview</w:t>
      </w:r>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04"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Purpose of the ESPP</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107" w:lineRule="exact"/>
        <w:rPr>
          <w:sz w:val="20"/>
          <w:szCs w:val="20"/>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Reasons for the Approval of the ESPP</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1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Summary of the ESPP’s Material Terms and Features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116"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ESPP is intended to qualify as an “employee stock purchase plan” under Section 423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ESPP is administered by the Company’s Board or by one or more committees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07"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i w:val="1"/>
          <w:iCs w:val="1"/>
          <w:color w:val="auto"/>
        </w:rPr>
        <w:t xml:space="preserve">Shares Available for Issuance. </w:t>
      </w:r>
      <w:r>
        <w:rPr>
          <w:rFonts w:ascii="Arial" w:cs="Arial" w:eastAsia="Arial" w:hAnsi="Arial"/>
          <w:sz w:val="16"/>
          <w:szCs w:val="16"/>
          <w:color w:val="auto"/>
        </w:rPr>
        <w:t>As of December 31, 2022, up to a maximum of 3,930,074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may be issued under the ESPP, plus an annual increase in shares described below.</w:t>
      </w:r>
    </w:p>
    <w:p>
      <w:pPr>
        <w:spacing w:after="0" w:line="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Class A Common Stock determined by the Company’s Board. Shares of the Company’s Class A Common Stock issued under the ESPP may be authorized but unissued shares or treasury shares. As of December 31, 2022, we had not yet issued any shares pursuant to the ESPP.</w:t>
      </w:r>
    </w:p>
    <w:p>
      <w:pPr>
        <w:spacing w:after="0" w:line="116"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i w:val="1"/>
          <w:iCs w:val="1"/>
          <w:color w:val="auto"/>
        </w:rPr>
        <w:t xml:space="preserve">Eligibility and Participation. </w:t>
      </w:r>
      <w:r>
        <w:rPr>
          <w:rFonts w:ascii="Arial" w:cs="Arial" w:eastAsia="Arial" w:hAnsi="Arial"/>
          <w:sz w:val="17"/>
          <w:szCs w:val="17"/>
          <w:color w:val="auto"/>
        </w:rPr>
        <w:t>All employees (including officers and employee directors)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436 employees (including seven executive officers, two of whom are employee directors) as eligible participants, as of December 31,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9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International Participation. </w:t>
      </w:r>
      <w:r>
        <w:rPr>
          <w:rFonts w:ascii="Arial" w:cs="Arial" w:eastAsia="Arial" w:hAnsi="Arial"/>
          <w:sz w:val="17"/>
          <w:szCs w:val="17"/>
          <w:color w:val="auto"/>
        </w:rPr>
        <w:t>To provide the Company with greater flexibility in structuring its equity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11"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i w:val="1"/>
          <w:iCs w:val="1"/>
          <w:color w:val="auto"/>
        </w:rPr>
        <w:t xml:space="preserve">Offering Periods and Purchase Price. </w:t>
      </w:r>
      <w:r>
        <w:rPr>
          <w:rFonts w:ascii="Arial" w:cs="Arial" w:eastAsia="Arial" w:hAnsi="Arial"/>
          <w:sz w:val="16"/>
          <w:szCs w:val="16"/>
          <w:color w:val="auto"/>
        </w:rPr>
        <w:t>The ESPP will be implemented through a series of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76"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i w:val="1"/>
          <w:iCs w:val="1"/>
          <w:color w:val="auto"/>
        </w:rPr>
        <w:t xml:space="preserve">Changes in Capital Structure. </w:t>
      </w:r>
      <w:r>
        <w:rPr>
          <w:rFonts w:ascii="Arial" w:cs="Arial" w:eastAsia="Arial" w:hAnsi="Arial"/>
          <w:sz w:val="17"/>
          <w:szCs w:val="17"/>
          <w:color w:val="auto"/>
        </w:rPr>
        <w:t>In the event that there is a specified type of change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Corporate Reorganization. </w:t>
      </w:r>
      <w:r>
        <w:rPr>
          <w:rFonts w:ascii="Arial" w:cs="Arial" w:eastAsia="Arial" w:hAnsi="Arial"/>
          <w:sz w:val="18"/>
          <w:szCs w:val="18"/>
          <w:color w:val="auto"/>
        </w:rPr>
        <w:t>In the event of certain corporate reorganizations, any offering period then in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2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ESPP Administrator will have the right to amend, suspend or</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spacing w:after="0" w:line="97" w:lineRule="exact"/>
        <w:rPr>
          <w:sz w:val="20"/>
          <w:szCs w:val="20"/>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Federal Income Tax Consequences of Participating in the ESPP</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Component</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Payroll deductions under the ESPP are made on an after-tax basis (i.e., contributions to the ESPP do not reduce a participant’s taxable income).</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Component</w:t>
      </w:r>
    </w:p>
    <w:p>
      <w:pPr>
        <w:spacing w:after="0" w:line="14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Consequences to the Company</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1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New Plan Benefits</w:t>
      </w:r>
    </w:p>
    <w:p>
      <w:pPr>
        <w:spacing w:after="0" w:line="14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Benefits to be received under the ESPP are not determinable since they depend on terms to be established by the Company and discretionary participant elections whether and to what extent to participate in the ESPP.</w:t>
      </w:r>
    </w:p>
    <w:p>
      <w:pPr>
        <w:spacing w:after="0" w:line="56"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Registration with the SEC</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2016 Equity Incentive Plan</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2016, the Legacy SoundHound Board adopted, and Legacy SoundHound’s stockholders approved, the SoundHound, Inc. 2016 Equity Incentive Plan (the “2016 Incentive Plan”). Each of the named executive officers hold options under the 2016 Incentive Plan, as described above.</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As the SoundHound AI, Inc. 2022 Incentive Award Plan was approved by the Company’s stockholders as August 4, 2022, no further awards will be granted under the 2016 Incentive Plan.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describes the material terms of the 2016 Incentive Plan.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The 2016 Incentive Plan provided both for the direct award or sale of shares and for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maximum number of shares of Legacy SoundHound common stock (now shares of our Class A Common Stock) that could be issued over the term of the 2016 Incentive Plan was 48,347,329 shares (the equivalent of 268,628,969 shares of Class A Common Stock). As of December 31, 2022, stock options to purchase 22,892,983 shares of our Class A Common Stock with a weighted-average exercise price of $4.00 per share were outstanding under the 2016 Incentive Plan. As of December 31, 2022, there were 1,470,387 RSUs outstanding under the 2016 Incentive Plan.</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Legacy SoundHound Board, or a committee with authority delegated by the Legacy</w:t>
      </w:r>
      <w:r>
        <w:rPr>
          <w:rFonts w:ascii="Arial" w:cs="Arial" w:eastAsia="Arial" w:hAnsi="Arial"/>
          <w:sz w:val="17"/>
          <w:szCs w:val="17"/>
          <w:i w:val="1"/>
          <w:iCs w:val="1"/>
          <w:color w:val="auto"/>
        </w:rPr>
        <w:t xml:space="preserve"> </w:t>
      </w:r>
      <w:r>
        <w:rPr>
          <w:rFonts w:ascii="Arial" w:cs="Arial" w:eastAsia="Arial" w:hAnsi="Arial"/>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Legacy SoundHound’s employees and service providers historically received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2016 Incentive Plan. Each of the named executive officers has been granted a mix of ISOs and NSOs. See the “Outstanding Equity Awards at 2022 Fiscal Year End” table above for further information about the Company’s named executive officers’ outstanding options as of December 31, 2022.</w:t>
      </w:r>
    </w:p>
    <w:p>
      <w:pPr>
        <w:spacing w:after="0" w:line="10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8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RSUs. </w:t>
      </w:r>
      <w:r>
        <w:rPr>
          <w:rFonts w:ascii="Arial" w:cs="Arial" w:eastAsia="Arial" w:hAnsi="Arial"/>
          <w:sz w:val="17"/>
          <w:szCs w:val="17"/>
          <w:color w:val="auto"/>
        </w:rPr>
        <w:t>A restricted stock unit (“RSU”) is a right to receive a share of Legacy SoundHound’s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1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Changes to Capital Structure; Corporate Transactions. </w:t>
      </w:r>
      <w:r>
        <w:rPr>
          <w:rFonts w:ascii="Arial" w:cs="Arial" w:eastAsia="Arial" w:hAnsi="Arial"/>
          <w:sz w:val="16"/>
          <w:szCs w:val="16"/>
          <w:color w:val="auto"/>
        </w:rPr>
        <w:t>In the event of certain changes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 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00"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The Legacy SoundHound Board, and then the Board, had the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2006 Stock Plan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2006, the Legacy SoundHound Board adopted, and Legacy SoundHound’s stockholders approved, the Melodis Corporation 2006 Stock Plan (the “2006 Stock Plan”).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120"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Grants, Generally. </w:t>
      </w:r>
      <w:r>
        <w:rPr>
          <w:rFonts w:ascii="Arial" w:cs="Arial" w:eastAsia="Arial" w:hAnsi="Arial"/>
          <w:sz w:val="17"/>
          <w:szCs w:val="17"/>
          <w:color w:val="auto"/>
        </w:rPr>
        <w:t>The 2006 Stock Plan provided both for the direct award or sale of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maximum number of shares of SoundHound common stock (now shares of our Class A Common Stock) that could be issued over the term of the 2006 Stock Plan was 3,313,368 shares (the equivalent of 18,409,841 shares of Class A Common Stock). As of December 31, 2022, stock options to purchase 2,306,908 shares of our Class A Common Stock with a weighted-average exercise price of $1.15 per share were outstanding under the 2006 Stock Plan. As of December 31, 2022, there were no outstanding awards under the 2006 Stock Plan other than these options.</w:t>
      </w:r>
    </w:p>
    <w:p>
      <w:pPr>
        <w:spacing w:after="0" w:line="125"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Legacy SoundHound Board, or a committee with authority delegated by the Legacy</w:t>
      </w:r>
      <w:r>
        <w:rPr>
          <w:rFonts w:ascii="Arial" w:cs="Arial" w:eastAsia="Arial" w:hAnsi="Arial"/>
          <w:sz w:val="16"/>
          <w:szCs w:val="16"/>
          <w:i w:val="1"/>
          <w:iCs w:val="1"/>
          <w:color w:val="auto"/>
        </w:rPr>
        <w:t xml:space="preserve"> </w:t>
      </w:r>
      <w:r>
        <w:rPr>
          <w:rFonts w:ascii="Arial" w:cs="Arial" w:eastAsia="Arial" w:hAnsi="Arial"/>
          <w:sz w:val="16"/>
          <w:szCs w:val="16"/>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0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Legacy SoundHound’s employees and service providers historically received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2006 Stock Plan.</w:t>
      </w:r>
    </w:p>
    <w:p>
      <w:pPr>
        <w:spacing w:after="0" w:line="8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9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Changes to Capital Structure; Corporate Transactions. </w:t>
      </w:r>
      <w:r>
        <w:rPr>
          <w:rFonts w:ascii="Arial" w:cs="Arial" w:eastAsia="Arial" w:hAnsi="Arial"/>
          <w:sz w:val="16"/>
          <w:szCs w:val="16"/>
          <w:color w:val="auto"/>
        </w:rPr>
        <w:t>In the event of certain changes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0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The Legacy SoundHound Board had the right to amend, modify, or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is a description of each transaction since January 1, 2021 and each currently proposed transaction in which:</w:t>
      </w:r>
    </w:p>
    <w:p>
      <w:pPr>
        <w:spacing w:after="0" w:line="103" w:lineRule="exact"/>
        <w:rPr>
          <w:sz w:val="20"/>
          <w:szCs w:val="20"/>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SoundHound AI or SoundHound has been or is to be a participant;</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involved exceeded or exceeds the lesser of (a) $120,000 or (b) one percent of the average of Legacy SoundHound’s total assets at year-end for the fiscal years ended December 31, 2022 and 2021; and</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1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Since January 1, 2021,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Legacy SoundHound’s Engagement of Guggenheim Securities</w:t>
      </w:r>
    </w:p>
    <w:p>
      <w:pPr>
        <w:spacing w:after="0" w:line="144" w:lineRule="exact"/>
        <w:rPr>
          <w:sz w:val="20"/>
          <w:szCs w:val="20"/>
          <w:color w:val="auto"/>
        </w:rPr>
      </w:pPr>
    </w:p>
    <w:p>
      <w:pPr>
        <w:jc w:val="both"/>
        <w:ind w:left="460" w:right="479" w:firstLine="432"/>
        <w:spacing w:after="0" w:line="274" w:lineRule="auto"/>
        <w:rPr>
          <w:sz w:val="20"/>
          <w:szCs w:val="20"/>
          <w:color w:val="auto"/>
        </w:rPr>
      </w:pPr>
      <w:r>
        <w:rPr>
          <w:rFonts w:ascii="Arial" w:cs="Arial" w:eastAsia="Arial" w:hAnsi="Arial"/>
          <w:sz w:val="17"/>
          <w:szCs w:val="17"/>
          <w:color w:val="auto"/>
        </w:rPr>
        <w:t>In February 2021, Legacy SoundHound entered into an engagement letter (the “Guggenheim Engagement Letter”) pursuant to which Legacy SoundHound engaged Guggenheim Securities to act as</w:t>
      </w:r>
    </w:p>
    <w:p>
      <w:pPr>
        <w:jc w:val="both"/>
        <w:ind w:left="460" w:right="459" w:hanging="6"/>
        <w:spacing w:after="0" w:line="252" w:lineRule="auto"/>
        <w:tabs>
          <w:tab w:leader="none" w:pos="7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12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described elsewhere herein, on or around January 20, 2023, SoundHound AI entered into Preferred Stock Purchase Agreements with certain investors pursuant to which the Company issued and sold to the investors an aggregate of 835,011 shares of its newly designated Series A Preferred Stock for an aggregate issue price of 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Business Combination, SoundHound AI has adopted a written related person transaction policy that sets forth the following policies and procedures for the identification, review, consideration and approval or ratification of related person transactions. SoundHound AI’s policies and procedures are designed to minimize potential conflicts of interest arising from any dealings it may have with its affiliates and to provide appropriate procedures for the disclosure of any real or potential conflicts of interest that may exist from time to time review and approval or ratification of related person transactions.</w:t>
      </w:r>
    </w:p>
    <w:p>
      <w:pPr>
        <w:spacing w:after="0" w:line="110"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Transactions involving compensation for services provided to SoundHound AI as an employee or director are not covered by this policy A “Related Person” means:</w:t>
      </w:r>
    </w:p>
    <w:p>
      <w:pPr>
        <w:spacing w:after="0" w:line="97" w:lineRule="exact"/>
        <w:rPr>
          <w:sz w:val="20"/>
          <w:szCs w:val="20"/>
          <w:color w:val="auto"/>
        </w:rPr>
      </w:pPr>
    </w:p>
    <w:p>
      <w:pPr>
        <w:ind w:left="1320" w:right="479" w:hanging="434"/>
        <w:spacing w:after="0" w:line="277" w:lineRule="auto"/>
        <w:tabs>
          <w:tab w:leader="none" w:pos="1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SoundHound AI’s officers or one of the SoundHound AI’s directors;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is known by SoundHound AI to be the beneficial owner of more than five percent (5%) of its voting stock;</w:t>
      </w:r>
    </w:p>
    <w:p>
      <w:pPr>
        <w:spacing w:after="0" w:line="102" w:lineRule="exact"/>
        <w:rPr>
          <w:rFonts w:ascii="Arial" w:cs="Arial" w:eastAsia="Arial" w:hAnsi="Arial"/>
          <w:sz w:val="18"/>
          <w:szCs w:val="18"/>
          <w:color w:val="auto"/>
        </w:rPr>
      </w:pPr>
    </w:p>
    <w:p>
      <w:pPr>
        <w:jc w:val="both"/>
        <w:ind w:left="1320" w:right="479" w:hanging="434"/>
        <w:spacing w:after="0" w:line="296" w:lineRule="auto"/>
        <w:tabs>
          <w:tab w:leader="none" w:pos="13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80" w:lineRule="exact"/>
        <w:rPr>
          <w:rFonts w:ascii="Arial" w:cs="Arial" w:eastAsia="Arial" w:hAnsi="Arial"/>
          <w:sz w:val="16"/>
          <w:szCs w:val="16"/>
          <w:color w:val="auto"/>
        </w:rPr>
      </w:pPr>
    </w:p>
    <w:p>
      <w:pPr>
        <w:jc w:val="both"/>
        <w:ind w:left="1320" w:right="479" w:hanging="434"/>
        <w:spacing w:after="0" w:line="263" w:lineRule="auto"/>
        <w:tabs>
          <w:tab w:leader="none" w:pos="1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16"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24" w:lineRule="exact"/>
        <w:rPr>
          <w:sz w:val="20"/>
          <w:szCs w:val="20"/>
          <w:color w:val="auto"/>
        </w:rPr>
      </w:pPr>
    </w:p>
    <w:p>
      <w:pPr>
        <w:ind w:left="1320" w:hanging="43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risks, costs and benefits to SoundHound AI;</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All of the transactions described in this section prior to the date of the Business Combination were entered into prior to the adoption of this policy. 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The following table sets forth information known to the Company regarding beneficial ownership of shares of the Company’s Class A Common Stock and Class B Common Stock as of March 23, 2023 by:</w:t>
      </w:r>
    </w:p>
    <w:p>
      <w:pPr>
        <w:spacing w:after="0" w:line="79" w:lineRule="exact"/>
        <w:rPr>
          <w:sz w:val="20"/>
          <w:szCs w:val="20"/>
          <w:color w:val="auto"/>
        </w:rPr>
      </w:pPr>
    </w:p>
    <w:p>
      <w:pPr>
        <w:ind w:left="1320" w:right="479" w:hanging="434"/>
        <w:spacing w:after="0" w:line="277"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known by the Company to be the beneficial owner of more than 5% of the Company’s outstanding Class A Common Stock and Class B Common Stock;</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percentage of beneficial ownership is based on 219,909,116 shares of Company common stock issued and outstanding as of March 23, 2023, which calculation includes (i) 180,173,708 shares of the Company’s Class A Common Stock and (ii) 39,735,408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In accordance with SEC rules, shares of our common stock which may be acquired upon exercise of stock options or warrants which are currently exercisable or which become exercisable within 60 days after March 23,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Beneficial Ownership Table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w w:val="92"/>
              </w:rPr>
              <w:t>Shares of Class A</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of Class B</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1"/>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w w:val="96"/>
              </w:rPr>
              <w:t>Name and Address of Beneficial Owners</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 Class</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w:t>
            </w: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Class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95"/>
              </w:rPr>
              <w:t>Voting Power</w:t>
            </w:r>
          </w:p>
        </w:tc>
      </w:tr>
      <w:tr>
        <w:trPr>
          <w:trHeight w:val="46"/>
        </w:trPr>
        <w:tc>
          <w:tcPr>
            <w:tcW w:w="2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3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Dr. Keyvan Mohajer</w:t>
            </w:r>
            <w:r>
              <w:rPr>
                <w:rFonts w:ascii="Arial" w:cs="Arial" w:eastAsia="Arial" w:hAnsi="Arial"/>
                <w:sz w:val="20"/>
                <w:szCs w:val="20"/>
                <w:color w:val="auto"/>
                <w:vertAlign w:val="superscript"/>
              </w:rPr>
              <w:t>(1)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1,030,935</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16,639,064</w:t>
            </w: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83"/>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Hom</w:t>
            </w:r>
            <w:r>
              <w:rPr>
                <w:rFonts w:ascii="Arial" w:cs="Arial" w:eastAsia="Arial" w:hAnsi="Arial"/>
                <w:sz w:val="20"/>
                <w:szCs w:val="20"/>
                <w:color w:val="auto"/>
                <w:vertAlign w:val="superscript"/>
              </w:rPr>
              <w:t>(2)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70,138</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4,512,588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Larry Marcus</w:t>
            </w:r>
            <w:r>
              <w:rPr>
                <w:rFonts w:ascii="Arial" w:cs="Arial" w:eastAsia="Arial" w:hAnsi="Arial"/>
                <w:sz w:val="20"/>
                <w:szCs w:val="20"/>
                <w:color w:val="auto"/>
                <w:vertAlign w:val="superscript"/>
              </w:rPr>
              <w:t>(3)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825,104</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Sroka</w:t>
            </w:r>
            <w:r>
              <w:rPr>
                <w:rFonts w:ascii="Arial" w:cs="Arial" w:eastAsia="Arial" w:hAnsi="Arial"/>
                <w:sz w:val="20"/>
                <w:szCs w:val="20"/>
                <w:color w:val="auto"/>
                <w:vertAlign w:val="superscript"/>
              </w:rPr>
              <w:t>(4)</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66,343</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Dr. Eric R. Ball</w:t>
            </w:r>
            <w:r>
              <w:rPr>
                <w:rFonts w:ascii="Arial" w:cs="Arial" w:eastAsia="Arial" w:hAnsi="Arial"/>
                <w:sz w:val="20"/>
                <w:szCs w:val="20"/>
                <w:color w:val="auto"/>
                <w:vertAlign w:val="superscript"/>
              </w:rPr>
              <w:t>(5)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741,394</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Seyed Majid Emami</w:t>
            </w:r>
            <w:r>
              <w:rPr>
                <w:rFonts w:ascii="Arial" w:cs="Arial" w:eastAsia="Arial" w:hAnsi="Arial"/>
                <w:sz w:val="20"/>
                <w:szCs w:val="20"/>
                <w:color w:val="auto"/>
                <w:vertAlign w:val="superscript"/>
              </w:rPr>
              <w:t>(6)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736,886</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18,583,756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Timothy Stonehocker</w:t>
            </w:r>
            <w:r>
              <w:rPr>
                <w:rFonts w:ascii="Arial" w:cs="Arial" w:eastAsia="Arial" w:hAnsi="Arial"/>
                <w:sz w:val="20"/>
                <w:szCs w:val="20"/>
                <w:color w:val="auto"/>
                <w:vertAlign w:val="superscript"/>
              </w:rPr>
              <w:t>(7)</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1,658,774</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Nitesh Sharan</w:t>
            </w:r>
            <w:r>
              <w:rPr>
                <w:rFonts w:ascii="Arial" w:cs="Arial" w:eastAsia="Arial" w:hAnsi="Arial"/>
                <w:sz w:val="20"/>
                <w:szCs w:val="20"/>
                <w:color w:val="auto"/>
                <w:vertAlign w:val="superscript"/>
              </w:rPr>
              <w:t>(8)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349,884</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Michael Zagorsek</w:t>
            </w:r>
            <w:r>
              <w:rPr>
                <w:rFonts w:ascii="Arial" w:cs="Arial" w:eastAsia="Arial" w:hAnsi="Arial"/>
                <w:sz w:val="20"/>
                <w:szCs w:val="20"/>
                <w:color w:val="auto"/>
                <w:vertAlign w:val="superscript"/>
              </w:rPr>
              <w:t>(9)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1,061,677</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5"/>
              </w:rPr>
              <w:t>All directors and executive officers as a</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1"/>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group (9 individuals)</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6,541,135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39,735,408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5% Holders</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0"/>
        </w:trPr>
        <w:tc>
          <w:tcPr>
            <w:tcW w:w="2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Catalyst Partners III, L.P.</w:t>
            </w:r>
            <w:r>
              <w:rPr>
                <w:rFonts w:ascii="Arial" w:cs="Arial" w:eastAsia="Arial" w:hAnsi="Arial"/>
                <w:sz w:val="20"/>
                <w:szCs w:val="20"/>
                <w:color w:val="auto"/>
                <w:vertAlign w:val="superscript"/>
              </w:rPr>
              <w:t>(10)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35,188,205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jc w:val="both"/>
        <w:ind w:left="880" w:right="45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March 23, 2023.</w:t>
      </w:r>
    </w:p>
    <w:p>
      <w:pPr>
        <w:ind w:left="880" w:right="47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19,722 shares of Class A Common Stock issuable upon vesting of outstanding restricted stock units that vest within 60 days of March 23, 2023.</w:t>
      </w:r>
    </w:p>
    <w:p>
      <w:pPr>
        <w:jc w:val="both"/>
        <w:ind w:left="880" w:right="45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29,258 shares of Class A Common Stock issuable upon vesting of outstanding restricted stock units that vest within 60 days of March 23, 2023 and 795,846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jc w:val="both"/>
        <w:ind w:left="880" w:right="47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28,228 shares of Class A Common Stock that are issuable upon exercise of stock options which are exercisable within 60 days of March 23, 2023 and 17,239 shares of Class A Common Stock issuable upon vesting of outstanding restricted stock units that vest within 60 days of March 23, 2023.</w:t>
      </w:r>
    </w:p>
    <w:p>
      <w:pPr>
        <w:jc w:val="both"/>
        <w:ind w:left="880" w:right="45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28,228 shares of Class A Common Stock that are issuable upon exercise of stock options which are exercisable within 60 days of March 23, 2023, 17,239 shares of Class A Common Stock issuable upon vesting of outstanding restricted stock units that vest within 60 days of March 23, 2023, 100,020 shares issuable upon conversion of 3,334 shares of Series A Preferred Stock which are convertible within 60 days of March 23, 2023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jc w:val="both"/>
        <w:ind w:left="880" w:right="45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March 23, 2023.</w:t>
      </w:r>
    </w:p>
    <w:p>
      <w:pPr>
        <w:jc w:val="both"/>
        <w:ind w:left="880" w:right="479" w:hanging="426"/>
        <w:spacing w:after="0" w:line="281"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Includes 795,238 shares of Class A Common Stock that are issuable upon exercise of stock options that are currently exercisable or exercisable within 60 days of March 23, 2023 and 18,472 shares of Class A Common Stock issuable upon vesting of outstanding restricted stock units that vest within 60 days of March 23, 2023.</w:t>
      </w:r>
    </w:p>
    <w:p>
      <w:pPr>
        <w:spacing w:after="0" w:line="1" w:lineRule="exact"/>
        <w:rPr>
          <w:rFonts w:ascii="Arial" w:cs="Arial" w:eastAsia="Arial" w:hAnsi="Arial"/>
          <w:sz w:val="15"/>
          <w:szCs w:val="15"/>
          <w:color w:val="auto"/>
        </w:rPr>
      </w:pPr>
    </w:p>
    <w:p>
      <w:pPr>
        <w:jc w:val="both"/>
        <w:ind w:left="880" w:right="45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128,614 shares of Class A Common Stock that are issuable upon exercise of stock options which are currently exercisable or exercisable within 60 days of March 23, 2023, 25,000 shares of Class A Common Stock issuable upon vesting of outstanding restricted stock units that vest within 60 days of March 23, 2023 and 100,020 shares issuable upon conversion of 3,334 shares of Series A Preferred Stock which are convertible within 60 days of March 23, 2023.</w:t>
      </w:r>
    </w:p>
    <w:p>
      <w:pPr>
        <w:jc w:val="both"/>
        <w:ind w:left="880" w:right="479" w:hanging="426"/>
        <w:spacing w:after="0" w:line="281"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Consists of 972,927 shares of Class A Common Stock that are issuable upon exercise of stock options which are currently exercisable or exercisable within 60 days of March 23, 2023 and 25,000 shares of Class A Common Stock issuable upon vesting of outstanding restricted stock units that vest within 60 days of March 23, 2023.</w:t>
      </w:r>
    </w:p>
    <w:p>
      <w:pPr>
        <w:spacing w:after="0" w:line="1" w:lineRule="exact"/>
        <w:rPr>
          <w:rFonts w:ascii="Arial" w:cs="Arial" w:eastAsia="Arial" w:hAnsi="Arial"/>
          <w:sz w:val="15"/>
          <w:szCs w:val="15"/>
          <w:color w:val="auto"/>
        </w:rPr>
      </w:pPr>
    </w:p>
    <w:p>
      <w:pPr>
        <w:jc w:val="both"/>
        <w:ind w:left="880" w:right="479" w:hanging="426"/>
        <w:spacing w:after="0" w:line="272"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4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 xml:space="preserve">This prospectus relates to the possible offer and resale from time to time by the Holder of up to 14,301,448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Arial" w:cs="Arial" w:eastAsia="Arial" w:hAnsi="Arial"/>
          <w:sz w:val="16"/>
          <w:szCs w:val="16"/>
          <w:i w:val="1"/>
          <w:iCs w:val="1"/>
          <w:color w:val="auto"/>
        </w:rPr>
        <w:t>Committed Equity Financing</w:t>
      </w:r>
      <w:r>
        <w:rPr>
          <w:rFonts w:ascii="Arial" w:cs="Arial" w:eastAsia="Arial" w:hAnsi="Arial"/>
          <w:sz w:val="16"/>
          <w:szCs w:val="16"/>
          <w:color w:val="auto"/>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Arial" w:cs="Arial" w:eastAsia="Arial" w:hAnsi="Arial"/>
          <w:sz w:val="16"/>
          <w:szCs w:val="16"/>
          <w:i w:val="1"/>
          <w:iCs w:val="1"/>
          <w:color w:val="auto"/>
        </w:rPr>
        <w:t>Plan of Distribution (Conflict of Interest)</w:t>
      </w:r>
      <w:r>
        <w:rPr>
          <w:rFonts w:ascii="Arial" w:cs="Arial" w:eastAsia="Arial" w:hAnsi="Arial"/>
          <w:sz w:val="16"/>
          <w:szCs w:val="16"/>
          <w:color w:val="auto"/>
        </w:rPr>
        <w:t>” in this prospectus, the Holder has not had any material relationship with us or any of our affiliates within the past three years. All of the data in the following table is as of March 23, 2023.</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14,301,448 shares covered by this prospectus. We have calculated percentage ownership based on 180,173,708 shares of our Class A Common Stock outstanding (inclusive of the Commitment Shares) as of March 23, 2023.</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Number of Shares of</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Class A Common</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Maximum Number of</w:t>
            </w:r>
          </w:p>
        </w:tc>
        <w:tc>
          <w:tcPr>
            <w:tcW w:w="1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Number of Shares of</w:t>
            </w: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4"/>
            <w:vMerge w:val="restart"/>
          </w:tcPr>
          <w:p>
            <w:pPr>
              <w:jc w:val="center"/>
              <w:ind w:right="140"/>
              <w:spacing w:after="0"/>
              <w:rPr>
                <w:sz w:val="20"/>
                <w:szCs w:val="20"/>
                <w:color w:val="auto"/>
              </w:rPr>
            </w:pPr>
            <w:r>
              <w:rPr>
                <w:rFonts w:ascii="Arial" w:cs="Arial" w:eastAsia="Arial" w:hAnsi="Arial"/>
                <w:sz w:val="16"/>
                <w:szCs w:val="16"/>
                <w:b w:val="1"/>
                <w:bCs w:val="1"/>
                <w:color w:val="auto"/>
                <w:w w:val="91"/>
              </w:rPr>
              <w:t>Stock</w:t>
            </w:r>
          </w:p>
        </w:tc>
        <w:tc>
          <w:tcPr>
            <w:tcW w:w="1720" w:type="dxa"/>
            <w:vAlign w:val="bottom"/>
            <w:gridSpan w:val="2"/>
            <w:vMerge w:val="continue"/>
          </w:tcPr>
          <w:p>
            <w:pPr>
              <w:spacing w:after="0"/>
              <w:rPr>
                <w:sz w:val="8"/>
                <w:szCs w:val="8"/>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9"/>
              </w:rPr>
              <w:t>Class A Common Stock</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Shares of Common</w:t>
            </w:r>
          </w:p>
        </w:tc>
        <w:tc>
          <w:tcPr>
            <w:tcW w:w="1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4"/>
              </w:rPr>
              <w:t>Owned Prior to</w:t>
            </w:r>
          </w:p>
        </w:tc>
        <w:tc>
          <w:tcPr>
            <w:tcW w:w="1720" w:type="dxa"/>
            <w:vAlign w:val="bottom"/>
            <w:gridSpan w:val="2"/>
            <w:vMerge w:val="continue"/>
          </w:tcPr>
          <w:p>
            <w:pPr>
              <w:spacing w:after="0"/>
              <w:rPr>
                <w:sz w:val="8"/>
                <w:szCs w:val="8"/>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4"/>
              </w:rPr>
              <w:t>Owned After</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Stock to be Offered</w:t>
            </w:r>
          </w:p>
        </w:tc>
        <w:tc>
          <w:tcPr>
            <w:tcW w:w="1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6"/>
              </w:rPr>
              <w:t>Offering</w:t>
            </w:r>
          </w:p>
        </w:tc>
        <w:tc>
          <w:tcPr>
            <w:tcW w:w="1720" w:type="dxa"/>
            <w:vAlign w:val="bottom"/>
            <w:gridSpan w:val="2"/>
            <w:vMerge w:val="continue"/>
          </w:tcPr>
          <w:p>
            <w:pPr>
              <w:spacing w:after="0"/>
              <w:rPr>
                <w:sz w:val="8"/>
                <w:szCs w:val="8"/>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0" w:type="dxa"/>
            <w:vAlign w:val="bottom"/>
          </w:tcPr>
          <w:p>
            <w:pPr>
              <w:spacing w:after="0"/>
              <w:rPr>
                <w:sz w:val="1"/>
                <w:szCs w:val="1"/>
                <w:color w:val="auto"/>
              </w:rPr>
            </w:pPr>
          </w:p>
        </w:tc>
      </w:tr>
      <w:tr>
        <w:trPr>
          <w:trHeight w:val="116"/>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17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0"/>
              </w:rPr>
              <w:t>Pursuant to this</w:t>
            </w:r>
          </w:p>
        </w:tc>
        <w:tc>
          <w:tcPr>
            <w:tcW w:w="1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Name of Selling Stockholder</w:t>
            </w: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w:t>
            </w:r>
            <w:r>
              <w:rPr>
                <w:rFonts w:ascii="Arial" w:cs="Arial" w:eastAsia="Arial" w:hAnsi="Arial"/>
                <w:sz w:val="18"/>
                <w:szCs w:val="18"/>
                <w:b w:val="1"/>
                <w:bCs w:val="1"/>
                <w:color w:val="auto"/>
                <w:vertAlign w:val="superscript"/>
              </w:rPr>
              <w:t>(1)</w:t>
            </w: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(2)</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Prospectus</w:t>
            </w: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w:t>
            </w:r>
            <w:r>
              <w:rPr>
                <w:rFonts w:ascii="Arial" w:cs="Arial" w:eastAsia="Arial" w:hAnsi="Arial"/>
                <w:sz w:val="18"/>
                <w:szCs w:val="18"/>
                <w:b w:val="1"/>
                <w:bCs w:val="1"/>
                <w:color w:val="auto"/>
                <w:vertAlign w:val="superscript"/>
              </w:rPr>
              <w:t>(3)</w:t>
            </w: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68"/>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CF Principal Investments LLC</w:t>
            </w:r>
            <w:r>
              <w:rPr>
                <w:rFonts w:ascii="Arial" w:cs="Arial" w:eastAsia="Arial" w:hAnsi="Arial"/>
                <w:sz w:val="20"/>
                <w:szCs w:val="20"/>
                <w:color w:val="auto"/>
                <w:vertAlign w:val="superscript"/>
              </w:rPr>
              <w:t>(4)</w:t>
            </w: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14,301,448</w:t>
            </w:r>
          </w:p>
        </w:tc>
        <w:tc>
          <w:tcPr>
            <w:tcW w:w="8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302" w:lineRule="auto"/>
        <w:tabs>
          <w:tab w:leader="none" w:pos="8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Number of shares owned prior to this offering is as of March 23, 2023.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spacing w:after="0" w:line="2" w:lineRule="exact"/>
        <w:rPr>
          <w:rFonts w:ascii="Arial" w:cs="Arial" w:eastAsia="Arial" w:hAnsi="Arial"/>
          <w:sz w:val="14"/>
          <w:szCs w:val="14"/>
          <w:color w:val="auto"/>
        </w:rPr>
      </w:pPr>
    </w:p>
    <w:p>
      <w:pPr>
        <w:ind w:left="880" w:hanging="426"/>
        <w:spacing w:after="0"/>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Applicable percentage ownership is based on 180,173,708 shares of Class A Common Stock as of March 23, 2023.</w:t>
      </w:r>
    </w:p>
    <w:p>
      <w:pPr>
        <w:spacing w:after="0" w:line="30" w:lineRule="exact"/>
        <w:rPr>
          <w:rFonts w:ascii="Arial" w:cs="Arial" w:eastAsia="Arial" w:hAnsi="Arial"/>
          <w:sz w:val="15"/>
          <w:szCs w:val="15"/>
          <w:color w:val="auto"/>
        </w:rPr>
      </w:pPr>
    </w:p>
    <w:p>
      <w:pPr>
        <w:ind w:left="880" w:hanging="426"/>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Assumes the sale of all shares of Class A Common Stock being offered pursuant to this prospectus.</w:t>
      </w:r>
    </w:p>
    <w:p>
      <w:pPr>
        <w:spacing w:after="0" w:line="18" w:lineRule="exact"/>
        <w:rPr>
          <w:rFonts w:ascii="Arial" w:cs="Arial" w:eastAsia="Arial" w:hAnsi="Arial"/>
          <w:sz w:val="16"/>
          <w:szCs w:val="16"/>
          <w:color w:val="auto"/>
        </w:rPr>
      </w:pPr>
    </w:p>
    <w:p>
      <w:pPr>
        <w:jc w:val="both"/>
        <w:ind w:left="880" w:right="459" w:hanging="426"/>
        <w:spacing w:after="0" w:line="263"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New York, NY 10022.</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PLAN OF DISTRIBUTION (CONFLICT OF INTEREST)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are registering the resale by the Holder of 14,301,448 shares of our Class A Common Stock.</w:t>
      </w:r>
    </w:p>
    <w:p>
      <w:pPr>
        <w:spacing w:after="0" w:line="16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will not receive any of the proceeds from the sale of the securities by the Holder. However, we will receive proceeds from our sale to the Holder of up to 14,301,448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spacing w:after="0" w:line="97" w:lineRule="exact"/>
        <w:rPr>
          <w:sz w:val="20"/>
          <w:szCs w:val="20"/>
          <w:color w:val="auto"/>
        </w:rPr>
      </w:pPr>
    </w:p>
    <w:p>
      <w:pPr>
        <w:ind w:left="1320" w:right="459" w:hanging="434"/>
        <w:spacing w:after="0" w:line="277" w:lineRule="auto"/>
        <w:tabs>
          <w:tab w:leader="none" w:pos="1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over-the-counter distribution in accordance with the rules of the Nasdaq Stock Market LLC;</w:t>
      </w:r>
    </w:p>
    <w:p>
      <w:pPr>
        <w:spacing w:after="0" w:line="169" w:lineRule="exact"/>
        <w:rPr>
          <w:rFonts w:ascii="Arial" w:cs="Arial" w:eastAsia="Arial" w:hAnsi="Arial"/>
          <w:sz w:val="17"/>
          <w:szCs w:val="17"/>
          <w:color w:val="auto"/>
        </w:rPr>
      </w:pPr>
    </w:p>
    <w:p>
      <w:pPr>
        <w:jc w:val="both"/>
        <w:ind w:left="1320" w:right="459" w:hanging="434"/>
        <w:spacing w:after="0" w:line="259" w:lineRule="auto"/>
        <w:tabs>
          <w:tab w:leader="none" w:pos="1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 addition, any shares that qualify for sale pursuant to Rule 144 may be sold under Rule 144 rather than pursuant to this prospectus.</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Holder under this prospectus.</w:t>
      </w:r>
    </w:p>
    <w:p>
      <w:pPr>
        <w:spacing w:after="0" w:line="8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connection with the execution of the Purchase Agreement, we issued to the Holder 250,000 shares of Class A Common Stock as consideration for its irrevocable commitment to purchase the shares of Class A Common Stock upon the terms and subject to the satisfaction of the conditions set forth in the Purchase Agreement (the “Commitment Shares”) which have subsequently been sold. The Company has also agreed to make a cash payment of $250,000 within 120 days after the Initial Commencement Date. Further, we also have agreed to reimburse Cantor up to $75,000 for the fees and disbursements of its counsel in connection with the transactions contemplated by the Purchase Agreement and in connection with the Holder’s ongoing due diligence review. Moreover, in accordance with FINRA Rule 5110, the 3.0% fixed discount to current market prices of our Common Stock reflected in the purchase prices payable by Holder for our Class A Shares that we may require it to purchase from us from time to time under the Purchase Agreement is deemed to be underwriting compensation in connection with sales of our Class A Shares by Holder to the public. In compliance with FINRA guidelines, total aggregate underwriting compensation received in connection with this offering will not exceed 8% of the proposed maximum aggregate proceeds of the offering.</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1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Arial" w:cs="Arial" w:eastAsia="Arial" w:hAnsi="Arial"/>
          <w:sz w:val="17"/>
          <w:szCs w:val="17"/>
          <w:i w:val="1"/>
          <w:iCs w:val="1"/>
          <w:color w:val="auto"/>
        </w:rPr>
        <w:t>The Committed Equity</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 — No Short-Selling or Hedging by Cantor</w:t>
      </w:r>
      <w:r>
        <w:rPr>
          <w:rFonts w:ascii="Arial" w:cs="Arial" w:eastAsia="Arial" w:hAnsi="Arial"/>
          <w:sz w:val="17"/>
          <w:szCs w:val="17"/>
          <w:color w:val="auto"/>
        </w:rPr>
        <w:t>.” The Holder may also enter into option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advised the Holder that it is required to comply with Regulation M promulgated under the Exchange Act. With certain exceptions, Regulation M precludes the 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Except as described below, we know of no existing arrangements between the Holder or any other shareholder, broker, dealer, underwriter or agent relating to the sale or distribution of the shares offered by this prospectus.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 of Interest</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In accordance with Rule 5121 CF&amp;CO is not permitted to sell the Class A Shares in this offering to an account over which it exercises discretionary authority without the prior specific written approval of the account holder.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Capital Stock</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As of March 23, 2023,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There were 219,909,116 shares of Company common stock issued and outstanding as of March 23, 2023, which calculation includes 180,173,708 shares of the Company’s Class A Common Stock and 39,735,408 shares of the Company’s Class B Common Stock. In addition, there are 3,665,996 shares of Class A Common Stock issuable upon exercise of outstanding warrants, no shares of Class B Common Stock issuable upon exercise of outstanding warrants, 21,174,559 shares of Class A Common Stock issuable upon exercise of outstanding stock options, 10,641,543 shares of Class A Common Stock issuable upon vesting of restricted stock units and no shares of Class B Common Stock issuable upon exercise of outstanding stock options or restricted stock units.</w:t>
      </w:r>
    </w:p>
    <w:p>
      <w:pPr>
        <w:spacing w:after="0" w:line="11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As of the date of this prospectus, we have 1,000,000 shares of Series A Preferred Stock designated and 835,011 shares of Series A Preferred Stock outstanding. Further, our board of directors will be authorized, without further action by the stockholders, to establish one or more class or series, and fix the relative rights and preferences of the company’s undesignated capital stock.</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Series A Preferred Stock</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On January 20, 2023, in connection with the Transaction, the Company filed a Certificate of Designations, designating 1,000,000 shares of Series A Preferred Stock with an original issue price of $30.00 per share, which became effective with the Secretary of State of the State of Delaware upon filing.</w:t>
      </w:r>
    </w:p>
    <w:p>
      <w:pPr>
        <w:spacing w:after="0" w:line="9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0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Each share of Series A Preferred Stock is convertible, at the option of the holder thereof, at any time on or after May 2, 2023 into such number of shares of Common Stock equal to the Liquidation Preference per share at the time of conversion divided by $1.00.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0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 and Restricted Stock Units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As of March 23, 2023, we had outstanding options to purchase an aggregate 21,174,559 shares of our Class A Common Stock and 10,641,543 outstanding restricted stock units.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As of March 23, 2023, 3,665,996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w:t>
      </w:r>
    </w:p>
    <w:p>
      <w:pPr>
        <w:spacing w:after="0" w:line="4" w:lineRule="exact"/>
        <w:rPr>
          <w:sz w:val="20"/>
          <w:szCs w:val="20"/>
          <w:color w:val="auto"/>
        </w:rPr>
      </w:pPr>
    </w:p>
    <w:p>
      <w:pPr>
        <w:jc w:val="both"/>
        <w:ind w:left="460" w:right="459" w:hanging="6"/>
        <w:spacing w:after="0" w:line="268" w:lineRule="auto"/>
        <w:tabs>
          <w:tab w:leader="none" w:pos="721" w:val="left"/>
        </w:tabs>
        <w:numPr>
          <w:ilvl w:val="0"/>
          <w:numId w:val="61"/>
        </w:numPr>
        <w:rPr>
          <w:rFonts w:ascii="Arial" w:cs="Arial" w:eastAsia="Arial" w:hAnsi="Arial"/>
          <w:sz w:val="17"/>
          <w:szCs w:val="17"/>
          <w:color w:val="auto"/>
        </w:rPr>
      </w:pPr>
      <w:r>
        <w:rPr>
          <w:rFonts w:ascii="Arial" w:cs="Arial" w:eastAsia="Arial" w:hAnsi="Arial"/>
          <w:sz w:val="17"/>
          <w:szCs w:val="17"/>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11"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81"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7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0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1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8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Provisions of Delaware Law and Our Amended Charter and Amended Bylaws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Special meeting of stockholders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Amended Bylaws also specify certain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Authorized but unissued shares</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1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jc w:val="both"/>
        <w:ind w:left="460" w:right="459" w:hanging="6"/>
        <w:spacing w:after="0" w:line="281" w:lineRule="auto"/>
        <w:tabs>
          <w:tab w:leader="none" w:pos="67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5" w:lineRule="exact"/>
        <w:rPr>
          <w:rFonts w:ascii="Arial" w:cs="Arial" w:eastAsia="Arial" w:hAnsi="Arial"/>
          <w:sz w:val="16"/>
          <w:szCs w:val="16"/>
          <w:color w:val="auto"/>
        </w:rPr>
      </w:pPr>
    </w:p>
    <w:p>
      <w:pPr>
        <w:jc w:val="both"/>
        <w:ind w:left="460" w:right="459"/>
        <w:spacing w:after="0" w:line="288" w:lineRule="auto"/>
        <w:rPr>
          <w:rFonts w:ascii="Arial" w:cs="Arial" w:eastAsia="Arial" w:hAnsi="Arial"/>
          <w:sz w:val="16"/>
          <w:szCs w:val="16"/>
          <w:color w:val="auto"/>
        </w:rPr>
      </w:pPr>
      <w:r>
        <w:rPr>
          <w:rFonts w:ascii="Arial" w:cs="Arial" w:eastAsia="Arial" w:hAnsi="Arial"/>
          <w:sz w:val="16"/>
          <w:szCs w:val="16"/>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Our Class A Common Stock and Warrants are listed on The Nasdaq Global Market under the trading symbols “SOUN” and “SOUNW”.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jc w:val="both"/>
        <w:ind w:left="460" w:right="479" w:firstLine="432"/>
        <w:spacing w:after="0" w:line="391" w:lineRule="auto"/>
        <w:rPr>
          <w:sz w:val="20"/>
          <w:szCs w:val="20"/>
          <w:color w:val="auto"/>
        </w:rPr>
      </w:pPr>
      <w:r>
        <w:rPr>
          <w:rFonts w:ascii="Arial" w:cs="Arial" w:eastAsia="Arial" w:hAnsi="Arial"/>
          <w:sz w:val="17"/>
          <w:szCs w:val="17"/>
          <w:color w:val="auto"/>
        </w:rPr>
        <w:t>The transfer agent and registrar for our Class A Common Stock is Continental Stock Transfer &amp; Trust Company. The Transfer Agent’s address is 1 State Street, 30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New York, New York 10004.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01" w:lineRule="exact"/>
        <w:rPr>
          <w:sz w:val="20"/>
          <w:szCs w:val="20"/>
          <w:color w:val="auto"/>
        </w:rPr>
      </w:pPr>
    </w:p>
    <w:p>
      <w:pPr>
        <w:ind w:left="1320" w:hanging="43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of the total number of shares of our securities then-outstanding; or</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securities during the four calendar weeks preceding the filing of a notice on Form 144 with respect to the sale.</w:t>
      </w:r>
    </w:p>
    <w:p>
      <w:pPr>
        <w:spacing w:after="0" w:line="8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16" w:lineRule="exact"/>
        <w:rPr>
          <w:sz w:val="20"/>
          <w:szCs w:val="20"/>
          <w:color w:val="auto"/>
        </w:rPr>
      </w:pPr>
    </w:p>
    <w:p>
      <w:pPr>
        <w:ind w:left="1320" w:hanging="434"/>
        <w:spacing w:after="0"/>
        <w:tabs>
          <w:tab w:leader="none" w:pos="1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67" w:lineRule="exact"/>
        <w:rPr>
          <w:rFonts w:ascii="Arial" w:cs="Arial" w:eastAsia="Arial" w:hAnsi="Arial"/>
          <w:sz w:val="16"/>
          <w:szCs w:val="16"/>
          <w:color w:val="auto"/>
        </w:rPr>
      </w:pPr>
    </w:p>
    <w:p>
      <w:pPr>
        <w:ind w:left="1320" w:right="459" w:hanging="434"/>
        <w:spacing w:after="0" w:line="277" w:lineRule="auto"/>
        <w:tabs>
          <w:tab w:leader="none" w:pos="1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3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Arial" w:cs="Arial" w:eastAsia="Arial" w:hAnsi="Arial"/>
          <w:sz w:val="17"/>
          <w:szCs w:val="17"/>
          <w:color w:val="auto"/>
        </w:rPr>
      </w:pPr>
    </w:p>
    <w:p>
      <w:pPr>
        <w:ind w:left="1320" w:right="459" w:hanging="434"/>
        <w:spacing w:after="0" w:line="277" w:lineRule="auto"/>
        <w:tabs>
          <w:tab w:leader="none" w:pos="1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8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financial statements of SoundHound, Inc. as of and for the years ended December 31, 2022 and 2021,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0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03"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Arial" w:cs="Arial" w:eastAsia="Arial" w:hAnsi="Arial"/>
          <w:sz w:val="16"/>
          <w:szCs w:val="16"/>
          <w:i w:val="1"/>
          <w:iCs w:val="1"/>
          <w:color w:val="auto"/>
        </w:rPr>
        <w:t>www.soundhound.com</w:t>
      </w:r>
      <w:r>
        <w:rPr>
          <w:rFonts w:ascii="Arial" w:cs="Arial" w:eastAsia="Arial" w:hAnsi="Arial"/>
          <w:sz w:val="16"/>
          <w:szCs w:val="16"/>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6"/>
        </w:trPr>
        <w:tc>
          <w:tcPr>
            <w:tcW w:w="20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7"/>
            <w:shd w:val="clear" w:color="auto" w:fill="CCEEFF"/>
          </w:tcPr>
          <w:p>
            <w:pPr>
              <w:spacing w:after="0" w:line="182" w:lineRule="exact"/>
              <w:rPr>
                <w:sz w:val="20"/>
                <w:szCs w:val="20"/>
                <w:color w:val="auto"/>
              </w:rPr>
            </w:pPr>
            <w:r>
              <w:rPr>
                <w:rFonts w:ascii="Arial" w:cs="Arial" w:eastAsia="Arial" w:hAnsi="Arial"/>
                <w:sz w:val="18"/>
                <w:szCs w:val="18"/>
                <w:color w:val="0000EE"/>
              </w:rPr>
              <w:t>Report of Armanino LLP, Independent Registered Public Accounting Firm</w:t>
            </w:r>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F-2</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sz w:val="20"/>
                <w:szCs w:val="20"/>
                <w:color w:val="auto"/>
              </w:rPr>
            </w:pPr>
            <w:r>
              <w:rPr>
                <w:rFonts w:ascii="Arial" w:cs="Arial" w:eastAsia="Arial" w:hAnsi="Arial"/>
                <w:sz w:val="18"/>
                <w:szCs w:val="18"/>
                <w:color w:val="0000EE"/>
              </w:rPr>
              <w:t>Consolidated Balance Sheets</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0000EE"/>
              </w:rPr>
              <w:t>Consolidated Statements of Operations and Comprehensive Loss</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F-4</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sz w:val="20"/>
                <w:szCs w:val="20"/>
                <w:color w:val="auto"/>
              </w:rPr>
            </w:pPr>
            <w:r>
              <w:rPr>
                <w:rFonts w:ascii="Arial" w:cs="Arial" w:eastAsia="Arial" w:hAnsi="Arial"/>
                <w:sz w:val="18"/>
                <w:szCs w:val="18"/>
                <w:color w:val="0000EE"/>
                <w:w w:val="96"/>
              </w:rPr>
              <w:t>Consolidated Statements of Redeemable Convertible Preferred Stock and Stockholders’ Deficit</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8"/>
              </w:rPr>
              <w:t>F-5</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0000EE"/>
              </w:rPr>
              <w:t>Consolidated Statements of Cash Flows</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F-6</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8"/>
              </w:rPr>
              <w:t>F-8</w:t>
            </w:r>
          </w:p>
        </w:tc>
      </w:tr>
      <w:tr>
        <w:trPr>
          <w:trHeight w:val="453"/>
        </w:trPr>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2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SoundHound AI,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Santa Clara, California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Opinion on the Consolidated Financial Statements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have audited the accompanying consolidated balance sheets of SoundHound AI, Inc. (the “Company”) as of December 31, 2022 and 2021, and the related consolidated statements of operations and comprehensive loss, consolidated statements of redeemable convertible preferred stock and stockholders’ deficit, and consolidated statements of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2022 and 2021, and the results of their operations and their cash flows for each of the years then ended in conformity with accounting principles generally accepted in the United States of America.</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Armanino</w:t>
      </w:r>
      <w:r>
        <w:rPr>
          <w:rFonts w:ascii="Arial" w:cs="Arial" w:eastAsia="Arial" w:hAnsi="Arial"/>
          <w:sz w:val="20"/>
          <w:szCs w:val="20"/>
          <w:color w:val="auto"/>
          <w:vertAlign w:val="superscript"/>
        </w:rPr>
        <w:t>LLP</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Jose, California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28, 2023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Current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21,626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Restricted cash equivalents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Accounts receivable, net of allowances of $109 as of December 31, 2022 and 2021</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98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27,471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Restricted cash equivalents, non-current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6,155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Contract assets, non-current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9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38,251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49,203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380"/>
              <w:spacing w:after="0"/>
              <w:rPr>
                <w:sz w:val="20"/>
                <w:szCs w:val="20"/>
                <w:color w:val="auto"/>
              </w:rPr>
            </w:pPr>
            <w:r>
              <w:rPr>
                <w:rFonts w:ascii="Arial" w:cs="Arial" w:eastAsia="Arial" w:hAnsi="Arial"/>
                <w:sz w:val="16"/>
                <w:szCs w:val="16"/>
                <w:b w:val="1"/>
                <w:bCs w:val="1"/>
                <w:color w:val="auto"/>
              </w:rPr>
              <w:t>LIABILITIES, REDEEMABLE CONVERTIBLE PREFERRED STOCK,</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800"/>
              <w:spacing w:after="0"/>
              <w:rPr>
                <w:sz w:val="20"/>
                <w:szCs w:val="20"/>
                <w:color w:val="auto"/>
              </w:rPr>
            </w:pPr>
            <w:r>
              <w:rPr>
                <w:rFonts w:ascii="Arial" w:cs="Arial" w:eastAsia="Arial" w:hAnsi="Arial"/>
                <w:sz w:val="16"/>
                <w:szCs w:val="16"/>
                <w:b w:val="1"/>
                <w:bCs w:val="1"/>
                <w:color w:val="auto"/>
              </w:rPr>
              <w:t>AND STOCKHOLDERS’ DEFICIT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Income tax liability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6"/>
                <w:szCs w:val="16"/>
                <w:color w:val="auto"/>
              </w:rPr>
              <w:t>Convertible note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29,868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29,964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87,739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liabilities, net of current portion</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Finance lease liabilities, net of current portion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6"/>
                <w:szCs w:val="16"/>
                <w:color w:val="auto"/>
              </w:rPr>
              <w:t>Notes payable, net of current portion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360"/>
              <w:spacing w:after="0"/>
              <w:rPr>
                <w:sz w:val="20"/>
                <w:szCs w:val="20"/>
                <w:color w:val="auto"/>
              </w:rPr>
            </w:pPr>
            <w:r>
              <w:rPr>
                <w:rFonts w:ascii="Arial" w:cs="Arial" w:eastAsia="Arial" w:hAnsi="Arial"/>
                <w:sz w:val="16"/>
                <w:szCs w:val="16"/>
                <w:color w:val="auto"/>
              </w:rPr>
              <w:t>Total liabilities</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112,937</w:t>
            </w: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w w:val="96"/>
              </w:rPr>
              <w:t>Legacy SoundHound redeemable convertible preferred stock; $0.0001 par value; 0 and</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146,218,514 shares authorized; 0 and 106,949,326 shares issued and outstanding,</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liquidation preference of $0 and $284,826 as of December 31, 2022 and 2021,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279,503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180"/>
              <w:spacing w:after="0"/>
              <w:rPr>
                <w:sz w:val="20"/>
                <w:szCs w:val="20"/>
                <w:color w:val="auto"/>
              </w:rPr>
            </w:pPr>
            <w:r>
              <w:rPr>
                <w:rFonts w:ascii="Arial" w:cs="Arial" w:eastAsia="Arial" w:hAnsi="Arial"/>
                <w:sz w:val="16"/>
                <w:szCs w:val="16"/>
                <w:color w:val="auto"/>
              </w:rPr>
              <w:t>Legacy SoundHound Common Stock, $0.0001 par value; 250,030,433 shares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360"/>
              <w:spacing w:after="0"/>
              <w:rPr>
                <w:sz w:val="20"/>
                <w:szCs w:val="20"/>
                <w:color w:val="auto"/>
              </w:rPr>
            </w:pPr>
            <w:r>
              <w:rPr>
                <w:rFonts w:ascii="Arial" w:cs="Arial" w:eastAsia="Arial" w:hAnsi="Arial"/>
                <w:sz w:val="16"/>
                <w:szCs w:val="16"/>
                <w:color w:val="auto"/>
                <w:w w:val="91"/>
              </w:rPr>
              <w:t>authorized; 0 and 68,258,556 shares issued and outstanding as of December 31, 2022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80" w:type="dxa"/>
            <w:vAlign w:val="bottom"/>
          </w:tcPr>
          <w:p>
            <w:pPr>
              <w:ind w:left="360"/>
              <w:spacing w:after="0"/>
              <w:rPr>
                <w:sz w:val="20"/>
                <w:szCs w:val="20"/>
                <w:color w:val="auto"/>
              </w:rPr>
            </w:pPr>
            <w:r>
              <w:rPr>
                <w:rFonts w:ascii="Arial" w:cs="Arial" w:eastAsia="Arial" w:hAnsi="Arial"/>
                <w:sz w:val="16"/>
                <w:szCs w:val="16"/>
                <w:color w:val="auto"/>
              </w:rPr>
              <w:t>and 2021, respectively</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Class A Common Stock, $0.0001 par value; 455,000,000 shares authorized; 160,297,664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1"/>
              </w:rPr>
              <w:t>and 0 shares issued and outstanding as of December 31, 2022 and 2021, respectively</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980" w:type="dxa"/>
            <w:vAlign w:val="bottom"/>
          </w:tcPr>
          <w:p>
            <w:pPr>
              <w:ind w:left="180"/>
              <w:spacing w:after="0"/>
              <w:rPr>
                <w:sz w:val="20"/>
                <w:szCs w:val="20"/>
                <w:color w:val="auto"/>
              </w:rPr>
            </w:pPr>
            <w:r>
              <w:rPr>
                <w:rFonts w:ascii="Arial" w:cs="Arial" w:eastAsia="Arial" w:hAnsi="Arial"/>
                <w:sz w:val="16"/>
                <w:szCs w:val="16"/>
                <w:color w:val="auto"/>
                <w:w w:val="93"/>
              </w:rPr>
              <w:t>Class B Common Stock, $0.0001 par value; 44,000,000 shares authorized; 39,735,408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80" w:type="dxa"/>
            <w:vAlign w:val="bottom"/>
          </w:tcPr>
          <w:p>
            <w:pPr>
              <w:ind w:left="360"/>
              <w:spacing w:after="0"/>
              <w:rPr>
                <w:sz w:val="20"/>
                <w:szCs w:val="20"/>
                <w:color w:val="auto"/>
              </w:rPr>
            </w:pPr>
            <w:r>
              <w:rPr>
                <w:rFonts w:ascii="Arial" w:cs="Arial" w:eastAsia="Arial" w:hAnsi="Arial"/>
                <w:sz w:val="16"/>
                <w:szCs w:val="16"/>
                <w:color w:val="auto"/>
                <w:w w:val="91"/>
              </w:rPr>
              <w:t>and 0 shares issued and outstanding as of December 31, 2022 and 2021, respectively</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466,857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(502,102)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(386,729)</w:t>
            </w: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stockholders’ deficit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(35,225)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(343,237)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1" w:orient="portrait"/>
          <w:cols w:equalWidth="0" w:num="1">
            <w:col w:w="9019"/>
          </w:cols>
          <w:pgMar w:left="1440" w:top="274" w:right="1440" w:bottom="0" w:gutter="0" w:footer="0" w:header="0"/>
        </w:sectPr>
      </w:pPr>
    </w:p>
    <w:bookmarkStart w:id="122" w:name="page123"/>
    <w:bookmarkEnd w:id="122"/>
    <w:p>
      <w:pPr>
        <w:ind w:left="820"/>
        <w:spacing w:after="0"/>
        <w:tabs>
          <w:tab w:leader="none" w:pos="6460" w:val="left"/>
          <w:tab w:leader="none" w:pos="6800" w:val="left"/>
          <w:tab w:leader="none" w:pos="7480" w:val="left"/>
          <w:tab w:leader="none" w:pos="7940" w:val="left"/>
        </w:tabs>
        <w:rPr>
          <w:sz w:val="20"/>
          <w:szCs w:val="20"/>
          <w:color w:val="auto"/>
        </w:rPr>
      </w:pPr>
      <w:r>
        <w:rPr>
          <w:rFonts w:ascii="Arial" w:cs="Arial" w:eastAsia="Arial" w:hAnsi="Arial"/>
          <w:sz w:val="16"/>
          <w:szCs w:val="16"/>
          <w:color w:val="auto"/>
        </w:rPr>
        <w:t>Total liabilities, redeemable convertible preferred stock, and stockholders’ deficit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38,251</w:t>
        <w:tab/>
        <w:t>$</w:t>
      </w:r>
      <w:r>
        <w:rPr>
          <w:sz w:val="20"/>
          <w:szCs w:val="20"/>
          <w:color w:val="auto"/>
        </w:rPr>
        <w:tab/>
      </w:r>
      <w:r>
        <w:rPr>
          <w:rFonts w:ascii="Arial" w:cs="Arial" w:eastAsia="Arial" w:hAnsi="Arial"/>
          <w:sz w:val="14"/>
          <w:szCs w:val="14"/>
          <w:color w:val="auto"/>
        </w:rPr>
        <w:t>49,203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60960</wp:posOffset>
            </wp:positionV>
            <wp:extent cx="121729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17295"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type w:val="continuous"/>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21,197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140" w:type="dxa"/>
            <w:vAlign w:val="bottom"/>
          </w:tcPr>
          <w:p>
            <w:pPr>
              <w:spacing w:after="0"/>
              <w:rPr>
                <w:sz w:val="21"/>
                <w:szCs w:val="2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76,392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59,178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30,178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16,521</w:t>
            </w:r>
          </w:p>
        </w:tc>
        <w:tc>
          <w:tcPr>
            <w:tcW w:w="140" w:type="dxa"/>
            <w:vAlign w:val="bottom"/>
          </w:tcPr>
          <w:p>
            <w:pPr>
              <w:spacing w:after="0"/>
              <w:rPr>
                <w:sz w:val="22"/>
                <w:szCs w:val="22"/>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136,536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(105,407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(8,342)</w:t>
            </w: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(5,415)</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160" w:type="dxa"/>
            <w:vAlign w:val="bottom"/>
            <w:gridSpan w:val="2"/>
          </w:tcPr>
          <w:p>
            <w:pPr>
              <w:spacing w:after="0"/>
              <w:rPr>
                <w:sz w:val="19"/>
                <w:szCs w:val="19"/>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(79,540)</w:t>
            </w:r>
          </w:p>
        </w:tc>
        <w:tc>
          <w:tcPr>
            <w:tcW w:w="160" w:type="dxa"/>
            <w:vAlign w:val="bottom"/>
            <w:gridSpan w:val="2"/>
          </w:tcPr>
          <w:p>
            <w:pPr>
              <w:spacing w:after="0"/>
              <w:rPr>
                <w:sz w:val="19"/>
                <w:szCs w:val="19"/>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holding gain on available-for-sale securities, net of tax</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(115,373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(79,539</w:t>
            </w:r>
          </w:p>
        </w:tc>
        <w:tc>
          <w:tcPr>
            <w:tcW w:w="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Net loss per share: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157,317,695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67,255,538</w:t>
            </w:r>
          </w:p>
        </w:tc>
        <w:tc>
          <w:tcPr>
            <w:tcW w:w="140" w:type="dxa"/>
            <w:vAlign w:val="bottom"/>
          </w:tcPr>
          <w:p>
            <w:pPr>
              <w:spacing w:after="0"/>
              <w:rPr>
                <w:sz w:val="22"/>
                <w:szCs w:val="22"/>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1620" w:type="dxa"/>
            <w:vAlign w:val="bottom"/>
            <w:tcBorders>
              <w:right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86"/>
              </w:rPr>
              <w:t>Legacy SoundHound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620" w:type="dxa"/>
            <w:vAlign w:val="bottom"/>
            <w:tcBorders>
              <w:right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86"/>
              </w:rPr>
              <w:t>Redeemable Convertible</w:t>
            </w:r>
          </w:p>
        </w:tc>
        <w:tc>
          <w:tcPr>
            <w:tcW w:w="130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86"/>
              </w:rPr>
              <w:t>Legacy SoundHound</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Class A</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4"/>
          </w:tcPr>
          <w:p>
            <w:pPr>
              <w:jc w:val="center"/>
              <w:ind w:left="69"/>
              <w:spacing w:after="0"/>
              <w:rPr>
                <w:sz w:val="20"/>
                <w:szCs w:val="20"/>
                <w:color w:val="auto"/>
              </w:rPr>
            </w:pPr>
            <w:r>
              <w:rPr>
                <w:rFonts w:ascii="Arial" w:cs="Arial" w:eastAsia="Arial" w:hAnsi="Arial"/>
                <w:sz w:val="13"/>
                <w:szCs w:val="13"/>
                <w:b w:val="1"/>
                <w:bCs w:val="1"/>
                <w:color w:val="auto"/>
                <w:w w:val="83"/>
              </w:rPr>
              <w:t>Class B</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1620" w:type="dxa"/>
            <w:vAlign w:val="bottom"/>
            <w:tcBorders>
              <w:right w:val="single" w:sz="8" w:color="auto"/>
            </w:tcBorders>
            <w:gridSpan w:val="6"/>
          </w:tcPr>
          <w:p>
            <w:pPr>
              <w:jc w:val="center"/>
              <w:ind w:right="60"/>
              <w:spacing w:after="0" w:line="144" w:lineRule="exact"/>
              <w:rPr>
                <w:sz w:val="20"/>
                <w:szCs w:val="20"/>
                <w:color w:val="auto"/>
              </w:rPr>
            </w:pPr>
            <w:r>
              <w:rPr>
                <w:rFonts w:ascii="Arial" w:cs="Arial" w:eastAsia="Arial" w:hAnsi="Arial"/>
                <w:sz w:val="13"/>
                <w:szCs w:val="13"/>
                <w:b w:val="1"/>
                <w:bCs w:val="1"/>
                <w:color w:val="auto"/>
                <w:w w:val="86"/>
              </w:rPr>
              <w:t>Preferred Stock</w:t>
            </w:r>
          </w:p>
        </w:tc>
        <w:tc>
          <w:tcPr>
            <w:tcW w:w="1300" w:type="dxa"/>
            <w:vAlign w:val="bottom"/>
            <w:gridSpan w:val="7"/>
          </w:tcPr>
          <w:p>
            <w:pPr>
              <w:jc w:val="center"/>
              <w:ind w:right="60"/>
              <w:spacing w:after="0" w:line="144" w:lineRule="exact"/>
              <w:rPr>
                <w:sz w:val="20"/>
                <w:szCs w:val="20"/>
                <w:color w:val="auto"/>
              </w:rPr>
            </w:pPr>
            <w:r>
              <w:rPr>
                <w:rFonts w:ascii="Arial" w:cs="Arial" w:eastAsia="Arial" w:hAnsi="Arial"/>
                <w:sz w:val="13"/>
                <w:szCs w:val="13"/>
                <w:b w:val="1"/>
                <w:bCs w:val="1"/>
                <w:color w:val="auto"/>
                <w:w w:val="88"/>
              </w:rPr>
              <w:t>Common Stock</w:t>
            </w:r>
          </w:p>
        </w:tc>
        <w:tc>
          <w:tcPr>
            <w:tcW w:w="1040" w:type="dxa"/>
            <w:vAlign w:val="bottom"/>
            <w:gridSpan w:val="4"/>
          </w:tcPr>
          <w:p>
            <w:pPr>
              <w:jc w:val="right"/>
              <w:ind w:right="20"/>
              <w:spacing w:after="0" w:line="144" w:lineRule="exact"/>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left="89"/>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88"/>
              </w:rPr>
              <w:t>Additional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Paid-in</w:t>
            </w:r>
          </w:p>
        </w:tc>
        <w:tc>
          <w:tcPr>
            <w:tcW w:w="1740" w:type="dxa"/>
            <w:vAlign w:val="bottom"/>
            <w:gridSpan w:val="8"/>
            <w:vMerge w:val="restart"/>
          </w:tcPr>
          <w:p>
            <w:pPr>
              <w:ind w:left="40"/>
              <w:spacing w:after="0" w:line="135" w:lineRule="exact"/>
              <w:rPr>
                <w:sz w:val="20"/>
                <w:szCs w:val="20"/>
                <w:color w:val="auto"/>
              </w:rPr>
            </w:pPr>
            <w:r>
              <w:rPr>
                <w:rFonts w:ascii="Arial" w:cs="Arial" w:eastAsia="Arial" w:hAnsi="Arial"/>
                <w:sz w:val="13"/>
                <w:szCs w:val="13"/>
                <w:b w:val="1"/>
                <w:bCs w:val="1"/>
                <w:color w:val="auto"/>
                <w:w w:val="91"/>
              </w:rPr>
              <w:t>Comprehensive Accumulated</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74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3"/>
              </w:rPr>
              <w:t>Amount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5"/>
          </w:tcPr>
          <w:p>
            <w:pPr>
              <w:ind w:left="40"/>
              <w:spacing w:after="0"/>
              <w:rPr>
                <w:sz w:val="20"/>
                <w:szCs w:val="20"/>
                <w:color w:val="auto"/>
              </w:rPr>
            </w:pPr>
            <w:r>
              <w:rPr>
                <w:rFonts w:ascii="Arial" w:cs="Arial" w:eastAsia="Arial" w:hAnsi="Arial"/>
                <w:sz w:val="13"/>
                <w:szCs w:val="13"/>
                <w:b w:val="1"/>
                <w:bCs w:val="1"/>
                <w:color w:val="auto"/>
                <w:w w:val="97"/>
              </w:rPr>
              <w:t>Amount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3"/>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4"/>
          </w:tcPr>
          <w:p>
            <w:pPr>
              <w:ind w:left="60"/>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Loss</w:t>
            </w:r>
          </w:p>
        </w:tc>
        <w:tc>
          <w:tcPr>
            <w:tcW w:w="60" w:type="dxa"/>
            <w:vAlign w:val="bottom"/>
          </w:tcPr>
          <w:p>
            <w:pPr>
              <w:spacing w:after="0"/>
              <w:rPr>
                <w:sz w:val="14"/>
                <w:szCs w:val="14"/>
                <w:color w:val="auto"/>
              </w:rPr>
            </w:pPr>
          </w:p>
        </w:tc>
        <w:tc>
          <w:tcPr>
            <w:tcW w:w="820" w:type="dxa"/>
            <w:vAlign w:val="bottom"/>
            <w:gridSpan w:val="3"/>
          </w:tcPr>
          <w:p>
            <w:pPr>
              <w:ind w:left="2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1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20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Balances as of</w:t>
            </w: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19,132,387</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273,687</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11,818,761</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30,836</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(307,189)</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(276,353)</w:t>
            </w: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Retroactive</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application of</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Business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Combination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180"/>
              <w:spacing w:after="0"/>
              <w:rPr>
                <w:sz w:val="20"/>
                <w:szCs w:val="20"/>
                <w:color w:val="auto"/>
              </w:rPr>
            </w:pPr>
            <w:r>
              <w:rPr>
                <w:rFonts w:ascii="Arial" w:cs="Arial" w:eastAsia="Arial" w:hAnsi="Arial"/>
                <w:sz w:val="14"/>
                <w:szCs w:val="14"/>
                <w:color w:val="auto"/>
              </w:rPr>
              <w:t>(Note 3)</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87,171,583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53,849,015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2"/>
        </w:trPr>
        <w:tc>
          <w:tcPr>
            <w:tcW w:w="120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2"/>
                <w:szCs w:val="12"/>
                <w:b w:val="1"/>
                <w:bCs w:val="1"/>
                <w:color w:val="auto"/>
              </w:rPr>
              <w:t>Adjusted</w:t>
            </w: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Balances,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beginning of</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period</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106,303,970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273,687</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65,667,776</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30,836</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(307,189)</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(276,353)</w:t>
            </w: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upon exercise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of stock options</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2,590,780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2,490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warrants</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3,843</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Other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comprehensive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gain, net of tax</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6,322</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convertible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Series C</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preferred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upon net</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exercise of</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Series C</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645,356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5,816</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(79,540)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(79,540)</w:t>
            </w:r>
          </w:p>
        </w:tc>
        <w:tc>
          <w:tcPr>
            <w:tcW w:w="0" w:type="dxa"/>
            <w:vAlign w:val="bottom"/>
          </w:tcPr>
          <w:p>
            <w:pPr>
              <w:spacing w:after="0"/>
              <w:rPr>
                <w:sz w:val="1"/>
                <w:szCs w:val="1"/>
                <w:color w:val="auto"/>
              </w:rPr>
            </w:pPr>
          </w:p>
        </w:tc>
      </w:tr>
      <w:tr>
        <w:trPr>
          <w:trHeight w:val="106"/>
        </w:trPr>
        <w:tc>
          <w:tcPr>
            <w:tcW w:w="1200" w:type="dxa"/>
            <w:vAlign w:val="bottom"/>
          </w:tcPr>
          <w:p>
            <w:pPr>
              <w:spacing w:after="0" w:line="106" w:lineRule="exact"/>
              <w:rPr>
                <w:sz w:val="20"/>
                <w:szCs w:val="20"/>
                <w:color w:val="auto"/>
              </w:rPr>
            </w:pPr>
            <w:r>
              <w:rPr>
                <w:rFonts w:ascii="Arial" w:cs="Arial" w:eastAsia="Arial" w:hAnsi="Arial"/>
                <w:sz w:val="12"/>
                <w:szCs w:val="12"/>
                <w:b w:val="1"/>
                <w:bCs w:val="1"/>
                <w:color w:val="auto"/>
              </w:rPr>
              <w:t>Balances as of</w:t>
            </w: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2021</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106,949,326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279,503</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68,258,556</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4"/>
                <w:szCs w:val="14"/>
                <w:color w:val="auto"/>
              </w:rPr>
              <w:t>— $</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gridSpan w:val="4"/>
          </w:tcPr>
          <w:p>
            <w:pPr>
              <w:ind w:left="20"/>
              <w:spacing w:after="0"/>
              <w:rPr>
                <w:sz w:val="20"/>
                <w:szCs w:val="20"/>
                <w:color w:val="auto"/>
              </w:rPr>
            </w:pPr>
            <w:r>
              <w:rPr>
                <w:rFonts w:ascii="Arial" w:cs="Arial" w:eastAsia="Arial" w:hAnsi="Arial"/>
                <w:sz w:val="14"/>
                <w:szCs w:val="14"/>
                <w:color w:val="auto"/>
              </w:rPr>
              <w:t>— $</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43,491</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 (386,729)</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(343,237)</w:t>
            </w:r>
          </w:p>
        </w:tc>
        <w:tc>
          <w:tcPr>
            <w:tcW w:w="0" w:type="dxa"/>
            <w:vAlign w:val="bottom"/>
          </w:tcPr>
          <w:p>
            <w:pPr>
              <w:spacing w:after="0"/>
              <w:rPr>
                <w:sz w:val="1"/>
                <w:szCs w:val="1"/>
                <w:color w:val="auto"/>
              </w:rPr>
            </w:pPr>
          </w:p>
        </w:tc>
      </w:tr>
      <w:tr>
        <w:trPr>
          <w:trHeight w:val="116"/>
        </w:trPr>
        <w:tc>
          <w:tcPr>
            <w:tcW w:w="12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Issuance of</w:t>
            </w: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 exercise</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stock options</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2,582,535</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2,840</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Net exercise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outstanding</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673,416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w:t>
            </w: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convertible</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note</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2,046,827</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20,239</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20,239</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Effect of reverse</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recapitalization,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net of costs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(Note 3)</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w w:val="91"/>
              </w:rPr>
              <w:t>(106,949,326)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3"/>
              </w:rPr>
              <w:t>(279,503)</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(73,561,334)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140,114,400</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14</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40,396,600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279,486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279,503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PIPE financing</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11,300,000</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86,584</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86,585</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Class A</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common shares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pursuant to the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Business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Combination</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4,693,050</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4,105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Class A</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shares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conversion of</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Class B</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shares</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661,192</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(661,192)</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Class A</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common shares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upon exercise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of stock options</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1,013,171</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1,320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Class A</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shares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 vesting of</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2,515,851</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28,792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28,792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(115,373)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(115,373)</w:t>
            </w:r>
          </w:p>
        </w:tc>
        <w:tc>
          <w:tcPr>
            <w:tcW w:w="0" w:type="dxa"/>
            <w:vAlign w:val="bottom"/>
          </w:tcPr>
          <w:p>
            <w:pPr>
              <w:spacing w:after="0"/>
              <w:rPr>
                <w:sz w:val="1"/>
                <w:szCs w:val="1"/>
                <w:color w:val="auto"/>
              </w:rPr>
            </w:pPr>
          </w:p>
        </w:tc>
      </w:tr>
      <w:tr>
        <w:trPr>
          <w:trHeight w:val="106"/>
        </w:trPr>
        <w:tc>
          <w:tcPr>
            <w:tcW w:w="1200" w:type="dxa"/>
            <w:vAlign w:val="bottom"/>
          </w:tcPr>
          <w:p>
            <w:pPr>
              <w:spacing w:after="0" w:line="106" w:lineRule="exact"/>
              <w:rPr>
                <w:sz w:val="20"/>
                <w:szCs w:val="20"/>
                <w:color w:val="auto"/>
              </w:rPr>
            </w:pPr>
            <w:r>
              <w:rPr>
                <w:rFonts w:ascii="Arial" w:cs="Arial" w:eastAsia="Arial" w:hAnsi="Arial"/>
                <w:sz w:val="12"/>
                <w:szCs w:val="12"/>
                <w:b w:val="1"/>
                <w:bCs w:val="1"/>
                <w:color w:val="auto"/>
              </w:rPr>
              <w:t>Balances as of</w:t>
            </w: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2022</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160,297,664</w:t>
            </w: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16</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39,735,408</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4</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466,857</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 (502,102)</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(35,225)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0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54" w:orient="portrait"/>
          <w:cols w:equalWidth="0" w:num="1">
            <w:col w:w="10100"/>
          </w:cols>
          <w:pgMar w:left="1440" w:top="274" w:right="359" w:bottom="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41275</wp:posOffset>
            </wp:positionV>
            <wp:extent cx="14147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(115,373)</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4,037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41"/>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28,792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43"/>
        </w:trPr>
        <w:tc>
          <w:tcPr>
            <w:tcW w:w="5760" w:type="dxa"/>
            <w:vAlign w:val="bottom"/>
          </w:tcPr>
          <w:p>
            <w:pPr>
              <w:ind w:left="360"/>
              <w:spacing w:after="0"/>
              <w:rPr>
                <w:sz w:val="20"/>
                <w:szCs w:val="20"/>
                <w:color w:val="auto"/>
              </w:rPr>
            </w:pPr>
            <w:r>
              <w:rPr>
                <w:rFonts w:ascii="Arial" w:cs="Arial" w:eastAsia="Arial" w:hAnsi="Arial"/>
                <w:sz w:val="18"/>
                <w:szCs w:val="18"/>
                <w:color w:val="auto"/>
              </w:rPr>
              <w:t>Change in fair value of derivative and warrant liability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43"/>
        </w:trPr>
        <w:tc>
          <w:tcPr>
            <w:tcW w:w="5760" w:type="dxa"/>
            <w:vAlign w:val="bottom"/>
          </w:tcPr>
          <w:p>
            <w:pPr>
              <w:ind w:left="360"/>
              <w:spacing w:after="0"/>
              <w:rPr>
                <w:sz w:val="20"/>
                <w:szCs w:val="20"/>
                <w:color w:val="auto"/>
              </w:rPr>
            </w:pPr>
            <w:r>
              <w:rPr>
                <w:rFonts w:ascii="Arial" w:cs="Arial" w:eastAsia="Arial" w:hAnsi="Arial"/>
                <w:sz w:val="18"/>
                <w:szCs w:val="18"/>
                <w:color w:val="auto"/>
              </w:rPr>
              <w:t>Non-cash lease amortization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3,307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7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(1,354)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43"/>
        </w:trPr>
        <w:tc>
          <w:tcPr>
            <w:tcW w:w="5760" w:type="dxa"/>
            <w:vAlign w:val="bottom"/>
          </w:tcPr>
          <w:p>
            <w:pPr>
              <w:ind w:left="5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3"/>
        </w:trPr>
        <w:tc>
          <w:tcPr>
            <w:tcW w:w="576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(8,658)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43"/>
        </w:trPr>
        <w:tc>
          <w:tcPr>
            <w:tcW w:w="57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43"/>
        </w:trPr>
        <w:tc>
          <w:tcPr>
            <w:tcW w:w="5760" w:type="dxa"/>
            <w:vAlign w:val="bottom"/>
          </w:tcPr>
          <w:p>
            <w:pPr>
              <w:ind w:left="54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(7,646)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57"/>
        </w:trPr>
        <w:tc>
          <w:tcPr>
            <w:tcW w:w="576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2,959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Proceeds from issuance of convertible notes, net of issuance costs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14,905</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note payable, net of issuance costs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29,833</w:t>
            </w: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w w:val="98"/>
              </w:rPr>
              <w:t>Proceeds from the issuance of common stock upon exercise of options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Proceeds from Business Combination and PIPE, net of transaction costs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90,689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Payments on notes payable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(11,545)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finance leases</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(1,303)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36"/>
        </w:trPr>
        <w:tc>
          <w:tcPr>
            <w:tcW w:w="57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0"/>
              </w:rPr>
              <w:t>Net change in cash, cash equivalents, and restricted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18"/>
                <w:szCs w:val="18"/>
                <w:color w:val="auto"/>
                <w:w w:val="96"/>
              </w:rPr>
              <w:t>Cash, cash equivalents, and restricted cash equivalents, beginning of year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22,822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44,982</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 end of year</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amounts on the consolidated balance sheets: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9,245</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21,626</w:t>
            </w:r>
          </w:p>
        </w:tc>
        <w:tc>
          <w:tcPr>
            <w:tcW w:w="0" w:type="dxa"/>
            <w:vAlign w:val="bottom"/>
          </w:tcPr>
          <w:p>
            <w:pPr>
              <w:spacing w:after="0"/>
              <w:rPr>
                <w:sz w:val="1"/>
                <w:szCs w:val="1"/>
                <w:color w:val="auto"/>
              </w:rPr>
            </w:pPr>
          </w:p>
        </w:tc>
      </w:tr>
      <w:tr>
        <w:trPr>
          <w:trHeight w:val="40"/>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restricted cash equivalents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rPr>
              <w:t>Non-current portion of restricted cash equivalents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76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color w:val="auto"/>
                <w:w w:val="92"/>
              </w:rPr>
              <w:t>Total cash, cash equivalents, and restricted cash equivalents shown in</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the consolidated statements of cash flows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3920"/>
              <w:spacing w:after="0"/>
              <w:rPr>
                <w:sz w:val="20"/>
                <w:szCs w:val="20"/>
                <w:color w:val="auto"/>
              </w:rPr>
            </w:pPr>
            <w:r>
              <w:rPr>
                <w:rFonts w:ascii="Arial" w:cs="Arial" w:eastAsia="Arial" w:hAnsi="Arial"/>
                <w:sz w:val="18"/>
                <w:szCs w:val="18"/>
                <w:color w:val="auto"/>
              </w:rPr>
              <w:t>F-6</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108"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60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4,364</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Cash paid for income taxes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360"/>
              <w:spacing w:after="0" w:line="201" w:lineRule="exact"/>
              <w:rPr>
                <w:sz w:val="20"/>
                <w:szCs w:val="20"/>
                <w:color w:val="auto"/>
              </w:rPr>
            </w:pPr>
            <w:r>
              <w:rPr>
                <w:rFonts w:ascii="Arial" w:cs="Arial" w:eastAsia="Arial" w:hAnsi="Arial"/>
                <w:sz w:val="18"/>
                <w:szCs w:val="18"/>
                <w:color w:val="auto"/>
                <w:w w:val="95"/>
              </w:rPr>
              <w:t>Operating lease liabilities and right-of-use assets through adoption of</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540"/>
              <w:spacing w:after="0"/>
              <w:rPr>
                <w:sz w:val="20"/>
                <w:szCs w:val="20"/>
                <w:color w:val="auto"/>
              </w:rPr>
            </w:pPr>
            <w:r>
              <w:rPr>
                <w:rFonts w:ascii="Arial" w:cs="Arial" w:eastAsia="Arial" w:hAnsi="Arial"/>
                <w:sz w:val="18"/>
                <w:szCs w:val="18"/>
                <w:color w:val="auto"/>
              </w:rPr>
              <w:t>ASC 842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4"/>
          </w:tcPr>
          <w:p>
            <w:pPr>
              <w:jc w:val="right"/>
              <w:ind w:right="127"/>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98"/>
              </w:rPr>
              <w:t>Operating lease liabilities arising from obtaining right-of-use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Property and equipment acquired under finance leases or debt</w:t>
            </w: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60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auto"/>
              </w:rPr>
              <w:t>Conversion of convertible note into common stock pursuant to</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Business Combination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20,239</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line="201" w:lineRule="exact"/>
              <w:rPr>
                <w:sz w:val="20"/>
                <w:szCs w:val="20"/>
                <w:color w:val="auto"/>
              </w:rPr>
            </w:pPr>
            <w:r>
              <w:rPr>
                <w:rFonts w:ascii="Arial" w:cs="Arial" w:eastAsia="Arial" w:hAnsi="Arial"/>
                <w:sz w:val="18"/>
                <w:szCs w:val="18"/>
                <w:color w:val="auto"/>
                <w:w w:val="99"/>
              </w:rPr>
              <w:t>Conversion of redeemable convertible preferred stock to common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540"/>
              <w:spacing w:after="0"/>
              <w:rPr>
                <w:sz w:val="20"/>
                <w:szCs w:val="20"/>
                <w:color w:val="auto"/>
              </w:rPr>
            </w:pPr>
            <w:r>
              <w:rPr>
                <w:rFonts w:ascii="Arial" w:cs="Arial" w:eastAsia="Arial" w:hAnsi="Arial"/>
                <w:sz w:val="18"/>
                <w:szCs w:val="18"/>
                <w:color w:val="auto"/>
              </w:rPr>
              <w:t>stock pursuant to Business Combination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279,503</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Debt discount through issuance of common stock warrants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Non-cash debt discount</w:t>
            </w:r>
          </w:p>
        </w:tc>
        <w:tc>
          <w:tcPr>
            <w:tcW w:w="2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60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auto"/>
                <w:w w:val="93"/>
              </w:rPr>
              <w:t>Issues of series C redeemable convertible preferred stock for exercise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warrants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148"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8"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consolidated financial statements for more information on the Business Combination.</w:t>
      </w:r>
    </w:p>
    <w:p>
      <w:pPr>
        <w:spacing w:after="0" w:line="112"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 xml:space="preserve">Legacy SoundHound determined that it was the accounting acquirer in the Business Combination based on an analysis of the criteria outlined in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determination was primarily based on the following facts:</w:t>
      </w:r>
    </w:p>
    <w:p>
      <w:pPr>
        <w:spacing w:after="0" w:line="103" w:lineRule="exact"/>
        <w:rPr>
          <w:sz w:val="20"/>
          <w:szCs w:val="20"/>
          <w:color w:val="auto"/>
        </w:rPr>
      </w:pPr>
    </w:p>
    <w:p>
      <w:pPr>
        <w:ind w:left="1740" w:hanging="422"/>
        <w:spacing w:after="0"/>
        <w:tabs>
          <w:tab w:leader="none" w:pos="17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Former Legacy SoundHound stockholders have a controlling voting interest in the Company;</w:t>
      </w:r>
    </w:p>
    <w:p>
      <w:pPr>
        <w:spacing w:after="0" w:line="180" w:lineRule="exact"/>
        <w:rPr>
          <w:rFonts w:ascii="Arial" w:cs="Arial" w:eastAsia="Arial" w:hAnsi="Arial"/>
          <w:sz w:val="16"/>
          <w:szCs w:val="16"/>
          <w:color w:val="auto"/>
        </w:rPr>
      </w:pPr>
    </w:p>
    <w:p>
      <w:pPr>
        <w:jc w:val="both"/>
        <w:ind w:left="1760" w:right="479" w:hanging="442"/>
        <w:spacing w:after="0" w:line="263" w:lineRule="auto"/>
        <w:tabs>
          <w:tab w:leader="none" w:pos="17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board of directors immediately after the closing of the Business Combination was comprised of five board members, primarily from the board of directors of Legacy SoundHound; and</w:t>
      </w:r>
    </w:p>
    <w:p>
      <w:pPr>
        <w:spacing w:after="0" w:line="116" w:lineRule="exact"/>
        <w:rPr>
          <w:rFonts w:ascii="Arial" w:cs="Arial" w:eastAsia="Arial" w:hAnsi="Arial"/>
          <w:sz w:val="18"/>
          <w:szCs w:val="18"/>
          <w:color w:val="auto"/>
        </w:rPr>
      </w:pPr>
    </w:p>
    <w:p>
      <w:pPr>
        <w:jc w:val="both"/>
        <w:ind w:left="1760" w:right="479" w:hanging="442"/>
        <w:spacing w:after="0" w:line="263" w:lineRule="auto"/>
        <w:tabs>
          <w:tab w:leader="none" w:pos="17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Legacy SoundHound’s management continues to hold executive management roles for the Company following the Business Combination and are responsible for the day-to-day operations.</w:t>
      </w:r>
    </w:p>
    <w:p>
      <w:pPr>
        <w:spacing w:after="0" w:line="103" w:lineRule="exact"/>
        <w:rPr>
          <w:sz w:val="20"/>
          <w:szCs w:val="20"/>
          <w:color w:val="auto"/>
        </w:rPr>
      </w:pPr>
    </w:p>
    <w:p>
      <w:pPr>
        <w:jc w:val="both"/>
        <w:ind w:left="880" w:right="479"/>
        <w:spacing w:after="0" w:line="255" w:lineRule="auto"/>
        <w:rPr>
          <w:sz w:val="20"/>
          <w:szCs w:val="20"/>
          <w:color w:val="auto"/>
        </w:rPr>
      </w:pPr>
      <w:r>
        <w:rPr>
          <w:rFonts w:ascii="Arial" w:cs="Arial" w:eastAsia="Arial" w:hAnsi="Arial"/>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25"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9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148" w:lineRule="exact"/>
        <w:rPr>
          <w:sz w:val="20"/>
          <w:szCs w:val="20"/>
          <w:color w:val="auto"/>
        </w:rPr>
      </w:pPr>
    </w:p>
    <w:p>
      <w:pPr>
        <w:jc w:val="both"/>
        <w:ind w:left="880" w:right="459"/>
        <w:spacing w:after="0" w:line="296" w:lineRule="auto"/>
        <w:rPr>
          <w:sz w:val="20"/>
          <w:szCs w:val="20"/>
          <w:color w:val="auto"/>
        </w:rPr>
      </w:pPr>
      <w:r>
        <w:rPr>
          <w:rFonts w:ascii="Arial" w:cs="Arial" w:eastAsia="Arial" w:hAnsi="Arial"/>
          <w:sz w:val="16"/>
          <w:szCs w:val="16"/>
          <w:color w:val="auto"/>
        </w:rPr>
        <w:t>Since inception, the Company has generated recurring losses as well as negative operating cash flows and reported a net loss of $115.4 million for the year ended December 31, 2022. As of December 31, 2022, the Company had an accumulated deficit of $502.1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9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Total cash and cash equivalents on hand as of December 31, 2022 was $9.2 million. Although the Company has incurred recurring losses each year since its inception, the Company expects it will be able to fund its operations for at least the next twelve months through a combination of cash on hand (including as a result of the net proceeds from the recently closed Series A Preferred Stock Transaction (See Note 19)), proceeds from sales of Class A common stock under the ELOC program (see Note 19), securing additional funding through debt or equity financings, implementing incremental expense reduction measures or a combination thereof. Further,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162" w:lineRule="exact"/>
        <w:rPr>
          <w:sz w:val="20"/>
          <w:szCs w:val="20"/>
          <w:color w:val="auto"/>
        </w:rPr>
      </w:pPr>
    </w:p>
    <w:p>
      <w:pPr>
        <w:jc w:val="both"/>
        <w:ind w:left="880" w:right="479"/>
        <w:spacing w:after="0" w:line="255" w:lineRule="auto"/>
        <w:rPr>
          <w:sz w:val="20"/>
          <w:szCs w:val="20"/>
          <w:color w:val="auto"/>
        </w:rPr>
      </w:pPr>
      <w:r>
        <w:rPr>
          <w:rFonts w:ascii="Arial" w:cs="Arial" w:eastAsia="Arial" w:hAnsi="Arial"/>
          <w:sz w:val="18"/>
          <w:szCs w:val="18"/>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111"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116"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95" w:lineRule="exact"/>
        <w:rPr>
          <w:sz w:val="20"/>
          <w:szCs w:val="20"/>
          <w:color w:val="auto"/>
        </w:rPr>
      </w:pPr>
    </w:p>
    <w:p>
      <w:pPr>
        <w:jc w:val="both"/>
        <w:ind w:left="880" w:right="459"/>
        <w:spacing w:after="0" w:line="267" w:lineRule="auto"/>
        <w:rPr>
          <w:sz w:val="20"/>
          <w:szCs w:val="20"/>
          <w:color w:val="auto"/>
        </w:rPr>
      </w:pPr>
      <w:r>
        <w:rPr>
          <w:rFonts w:ascii="Arial" w:cs="Arial" w:eastAsia="Arial" w:hAnsi="Arial"/>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87" w:lineRule="exact"/>
        <w:rPr>
          <w:sz w:val="20"/>
          <w:szCs w:val="20"/>
          <w:color w:val="auto"/>
        </w:rPr>
      </w:pPr>
    </w:p>
    <w:p>
      <w:pPr>
        <w:ind w:left="860" w:hanging="406"/>
        <w:spacing w:after="0"/>
        <w:tabs>
          <w:tab w:leader="none" w:pos="8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162"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The Company’s consolidated financial statements include the accounts of the Company and its wholly-owned subsidiaries. All intercompany accounts and transactions have been eliminated in consolidation.</w:t>
      </w:r>
    </w:p>
    <w:p>
      <w:pPr>
        <w:spacing w:after="0" w:line="43"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162"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Certain prior period balances have been reclassified to conform to the current year presentation. Such changes include reclassifications or combinations of certain accounts on the consolidated balance sheets.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14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2022 and 2021, the Company recognized net losses related to foreign currency transactions and remeasurements of $0.7 million and $0.5 million, respectively, in the consolidated statements of operations as other expense, net.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62"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162"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Restricted Cash Equivalents</w:t>
      </w:r>
    </w:p>
    <w:p>
      <w:pPr>
        <w:spacing w:after="0" w:line="148"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2022 and 2021 represent funds held in certificates of deposit, have original maturities of six months to one year and are recorded at cost plus accrued interest, which approximates fair value as of December 31, 2022 and 2021.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Accounts Receivable, Net</w:t>
      </w:r>
    </w:p>
    <w:p>
      <w:pPr>
        <w:spacing w:after="0" w:line="162"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98"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Property and Equipment, Net</w:t>
      </w:r>
    </w:p>
    <w:p>
      <w:pPr>
        <w:spacing w:after="0" w:line="148"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provided using the straight-line method over the estimated useful lives of the respective assets.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Computer equipment</w:t>
            </w:r>
          </w:p>
        </w:tc>
        <w:tc>
          <w:tcPr>
            <w:tcW w:w="3820" w:type="dxa"/>
            <w:vAlign w:val="bottom"/>
          </w:tcPr>
          <w:p>
            <w:pPr>
              <w:jc w:val="center"/>
              <w:ind w:left="1850"/>
              <w:spacing w:after="0"/>
              <w:rPr>
                <w:sz w:val="20"/>
                <w:szCs w:val="20"/>
                <w:color w:val="auto"/>
              </w:rPr>
            </w:pPr>
            <w:r>
              <w:rPr>
                <w:rFonts w:ascii="Arial" w:cs="Arial" w:eastAsia="Arial" w:hAnsi="Arial"/>
                <w:sz w:val="18"/>
                <w:szCs w:val="18"/>
                <w:color w:val="auto"/>
                <w:w w:val="89"/>
              </w:rPr>
              <w:t>3 – 4 years</w:t>
            </w:r>
          </w:p>
        </w:tc>
      </w:tr>
      <w:tr>
        <w:trPr>
          <w:trHeight w:val="283"/>
        </w:trPr>
        <w:tc>
          <w:tcPr>
            <w:tcW w:w="3740" w:type="dxa"/>
            <w:vAlign w:val="bottom"/>
          </w:tcPr>
          <w:p>
            <w:pPr>
              <w:spacing w:after="0"/>
              <w:rPr>
                <w:sz w:val="20"/>
                <w:szCs w:val="20"/>
                <w:color w:val="auto"/>
              </w:rPr>
            </w:pPr>
            <w:r>
              <w:rPr>
                <w:rFonts w:ascii="Arial" w:cs="Arial" w:eastAsia="Arial" w:hAnsi="Arial"/>
                <w:sz w:val="18"/>
                <w:szCs w:val="18"/>
                <w:color w:val="auto"/>
              </w:rPr>
              <w:t>Software</w:t>
            </w:r>
          </w:p>
        </w:tc>
        <w:tc>
          <w:tcPr>
            <w:tcW w:w="3820" w:type="dxa"/>
            <w:vAlign w:val="bottom"/>
          </w:tcPr>
          <w:p>
            <w:pPr>
              <w:jc w:val="center"/>
              <w:ind w:left="1850"/>
              <w:spacing w:after="0"/>
              <w:rPr>
                <w:sz w:val="20"/>
                <w:szCs w:val="20"/>
                <w:color w:val="auto"/>
              </w:rPr>
            </w:pPr>
            <w:r>
              <w:rPr>
                <w:rFonts w:ascii="Arial" w:cs="Arial" w:eastAsia="Arial" w:hAnsi="Arial"/>
                <w:sz w:val="18"/>
                <w:szCs w:val="18"/>
                <w:color w:val="auto"/>
                <w:w w:val="88"/>
              </w:rPr>
              <w:t>3 years</w:t>
            </w:r>
          </w:p>
        </w:tc>
      </w:tr>
      <w:tr>
        <w:trPr>
          <w:trHeight w:val="283"/>
        </w:trPr>
        <w:tc>
          <w:tcPr>
            <w:tcW w:w="3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820" w:type="dxa"/>
            <w:vAlign w:val="bottom"/>
          </w:tcPr>
          <w:p>
            <w:pPr>
              <w:jc w:val="center"/>
              <w:ind w:left="1850"/>
              <w:spacing w:after="0"/>
              <w:rPr>
                <w:sz w:val="20"/>
                <w:szCs w:val="20"/>
                <w:color w:val="auto"/>
              </w:rPr>
            </w:pPr>
            <w:r>
              <w:rPr>
                <w:rFonts w:ascii="Arial" w:cs="Arial" w:eastAsia="Arial" w:hAnsi="Arial"/>
                <w:sz w:val="18"/>
                <w:szCs w:val="18"/>
                <w:color w:val="auto"/>
                <w:w w:val="88"/>
              </w:rPr>
              <w:t>5 years</w:t>
            </w:r>
          </w:p>
        </w:tc>
      </w:tr>
      <w:tr>
        <w:trPr>
          <w:trHeight w:val="242"/>
        </w:trPr>
        <w:tc>
          <w:tcPr>
            <w:tcW w:w="3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20" w:type="dxa"/>
            <w:vAlign w:val="bottom"/>
          </w:tcPr>
          <w:p>
            <w:pPr>
              <w:jc w:val="center"/>
              <w:ind w:left="1850"/>
              <w:spacing w:after="0"/>
              <w:rPr>
                <w:sz w:val="20"/>
                <w:szCs w:val="20"/>
                <w:color w:val="auto"/>
              </w:rPr>
            </w:pPr>
            <w:r>
              <w:rPr>
                <w:rFonts w:ascii="Arial" w:cs="Arial" w:eastAsia="Arial" w:hAnsi="Arial"/>
                <w:sz w:val="18"/>
                <w:szCs w:val="18"/>
                <w:color w:val="auto"/>
                <w:w w:val="91"/>
              </w:rPr>
              <w:t>Lesser of useful life or the</w:t>
            </w:r>
          </w:p>
        </w:tc>
      </w:tr>
      <w:tr>
        <w:trPr>
          <w:trHeight w:val="230"/>
        </w:trPr>
        <w:tc>
          <w:tcPr>
            <w:tcW w:w="3740" w:type="dxa"/>
            <w:vAlign w:val="bottom"/>
          </w:tcPr>
          <w:p>
            <w:pPr>
              <w:spacing w:after="0"/>
              <w:rPr>
                <w:sz w:val="20"/>
                <w:szCs w:val="20"/>
                <w:color w:val="auto"/>
              </w:rPr>
            </w:pPr>
          </w:p>
        </w:tc>
        <w:tc>
          <w:tcPr>
            <w:tcW w:w="3820" w:type="dxa"/>
            <w:vAlign w:val="bottom"/>
          </w:tcPr>
          <w:p>
            <w:pPr>
              <w:jc w:val="center"/>
              <w:ind w:left="1850"/>
              <w:spacing w:after="0"/>
              <w:rPr>
                <w:sz w:val="20"/>
                <w:szCs w:val="20"/>
                <w:color w:val="auto"/>
              </w:rPr>
            </w:pPr>
            <w:r>
              <w:rPr>
                <w:rFonts w:ascii="Arial" w:cs="Arial" w:eastAsia="Arial" w:hAnsi="Arial"/>
                <w:sz w:val="18"/>
                <w:szCs w:val="18"/>
                <w:color w:val="auto"/>
                <w:w w:val="89"/>
              </w:rPr>
              <w:t>term of the lease</w:t>
            </w: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Maintenance and repairs that do not extend the life or improve the asset are expensed as incurred.</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148"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2022, there have been no such impairments.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Leases</w:t>
      </w:r>
    </w:p>
    <w:p>
      <w:pPr>
        <w:spacing w:after="0" w:line="162" w:lineRule="exact"/>
        <w:rPr>
          <w:sz w:val="20"/>
          <w:szCs w:val="20"/>
          <w:color w:val="auto"/>
        </w:rPr>
      </w:pPr>
    </w:p>
    <w:p>
      <w:pPr>
        <w:jc w:val="both"/>
        <w:ind w:left="880" w:right="459"/>
        <w:spacing w:after="0" w:line="288" w:lineRule="auto"/>
        <w:rPr>
          <w:sz w:val="20"/>
          <w:szCs w:val="20"/>
          <w:color w:val="auto"/>
        </w:rPr>
      </w:pPr>
      <w:r>
        <w:rPr>
          <w:rFonts w:ascii="Arial" w:cs="Arial" w:eastAsia="Arial" w:hAnsi="Arial"/>
          <w:sz w:val="16"/>
          <w:szCs w:val="16"/>
          <w:color w:val="auto"/>
        </w:rPr>
        <w:t>We determine if an arrangement is a lease at its inception. Operating lease liabilities are recognized at the lease commencement date based on the present value of lease payments over the lease term. We generally use our incremental borrowing rate based on the information available at the lease commencement date in determining the present value of future payments, because the implicit rate of the lease is generally not known. ROU assets related to our operating lease liabilities are measured at lease inception based on the initial measurement of the lease liability, plus any prepaid lease payments and less any lease incentives, as applicable. Our lease terms that are used in determining our operating lease liabilities at lease inception may include options to extend or terminate the leases when it is reasonably certain that we will exercise such options. We amortize our ROU assets as operating lease expense generally on a straight-line basis over the lease term and classify both the lease amortization and imputed interest as operating expenses.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6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The Company’s property and equipment is primarily located in the United States. Accordingly, the Company has determined that it operates as a single reportable segment.</w:t>
      </w:r>
    </w:p>
    <w:p>
      <w:pPr>
        <w:spacing w:after="0" w:line="107"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Company’s property and equipment is primarily located in the United States. As of December 31, 2022, the Company’s property and equipment is located in the United States, except for 11.4% of assets located in Canada and 7.0% in other foreign jurisdictions.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16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86" w:lineRule="auto"/>
        <w:rPr>
          <w:sz w:val="20"/>
          <w:szCs w:val="20"/>
          <w:color w:val="auto"/>
        </w:rPr>
      </w:pPr>
      <w:r>
        <w:rPr>
          <w:rFonts w:ascii="Arial" w:cs="Arial" w:eastAsia="Arial" w:hAnsi="Arial"/>
          <w:sz w:val="16"/>
          <w:szCs w:val="16"/>
          <w:color w:val="auto"/>
        </w:rPr>
        <w:t>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w:t>
      </w:r>
    </w:p>
    <w:p>
      <w:pPr>
        <w:spacing w:after="0" w:line="1" w:lineRule="exact"/>
        <w:rPr>
          <w:sz w:val="20"/>
          <w:szCs w:val="20"/>
          <w:color w:val="auto"/>
        </w:rPr>
      </w:pPr>
    </w:p>
    <w:p>
      <w:pPr>
        <w:jc w:val="both"/>
        <w:ind w:left="880" w:right="459" w:firstLine="6"/>
        <w:spacing w:after="0" w:line="255" w:lineRule="auto"/>
        <w:tabs>
          <w:tab w:leader="none" w:pos="11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longer qualifies as an emerging growth company. The Company has elected to use the extended transition period for complying with new or revised accounting standards unless the Company otherwise early adopts select standards.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162" w:lineRule="exact"/>
        <w:rPr>
          <w:sz w:val="20"/>
          <w:szCs w:val="20"/>
          <w:color w:val="auto"/>
        </w:rPr>
      </w:pPr>
    </w:p>
    <w:p>
      <w:pPr>
        <w:jc w:val="both"/>
        <w:ind w:left="880" w:right="479"/>
        <w:spacing w:after="0" w:line="286" w:lineRule="auto"/>
        <w:rPr>
          <w:sz w:val="20"/>
          <w:szCs w:val="20"/>
          <w:color w:val="auto"/>
        </w:rPr>
      </w:pPr>
      <w:r>
        <w:rPr>
          <w:rFonts w:ascii="Arial" w:cs="Arial" w:eastAsia="Arial" w:hAnsi="Arial"/>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8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As of December 31, 2022, accounts receivable balances due from two customers collectively totaled 75% of the Company’s consolidated accounts receivable balance. As of December 31, 2021, accounts receivable balances due from five customers collectively totaled 86% of the Company’s consolidated accounts receivable balance.</w:t>
      </w:r>
    </w:p>
    <w:p>
      <w:pPr>
        <w:spacing w:after="0" w:line="11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For the year ended December 31, 2022, the Company had three customers that accounted for 67% of revenue. For the year ended December 31, 2021, the Company had three customers that accounted for 61% of revenue.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 xml:space="preserve">The Company recognizes revenue under Accounting Standards Codification Topic 606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when a customer obtains control of promised goods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9" w:lineRule="exact"/>
        <w:rPr>
          <w:sz w:val="20"/>
          <w:szCs w:val="20"/>
          <w:color w:val="auto"/>
        </w:rPr>
      </w:pPr>
    </w:p>
    <w:p>
      <w:pPr>
        <w:ind w:left="1720" w:hanging="402"/>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157" w:lineRule="exact"/>
        <w:rPr>
          <w:rFonts w:ascii="Arial" w:cs="Arial" w:eastAsia="Arial" w:hAnsi="Arial"/>
          <w:sz w:val="18"/>
          <w:szCs w:val="18"/>
          <w:color w:val="auto"/>
        </w:rPr>
      </w:pPr>
    </w:p>
    <w:p>
      <w:pPr>
        <w:ind w:left="1720" w:hanging="402"/>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44" w:lineRule="exact"/>
        <w:rPr>
          <w:rFonts w:ascii="Arial" w:cs="Arial" w:eastAsia="Arial" w:hAnsi="Arial"/>
          <w:sz w:val="18"/>
          <w:szCs w:val="18"/>
          <w:color w:val="auto"/>
        </w:rPr>
      </w:pPr>
    </w:p>
    <w:p>
      <w:pPr>
        <w:ind w:left="1720" w:hanging="402"/>
        <w:spacing w:after="0"/>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Determination of the transaction price, including the constraint on variable consideration;</w:t>
      </w:r>
    </w:p>
    <w:p>
      <w:pPr>
        <w:spacing w:after="0" w:line="169" w:lineRule="exact"/>
        <w:rPr>
          <w:rFonts w:ascii="Arial" w:cs="Arial" w:eastAsia="Arial" w:hAnsi="Arial"/>
          <w:sz w:val="17"/>
          <w:szCs w:val="17"/>
          <w:color w:val="auto"/>
        </w:rPr>
      </w:pPr>
    </w:p>
    <w:p>
      <w:pPr>
        <w:ind w:left="1720" w:hanging="402"/>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1700" w:hanging="382"/>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44"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4"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Warrants</w:t>
      </w:r>
    </w:p>
    <w:p>
      <w:pPr>
        <w:spacing w:after="0" w:line="148" w:lineRule="exact"/>
        <w:rPr>
          <w:sz w:val="20"/>
          <w:szCs w:val="20"/>
          <w:color w:val="auto"/>
        </w:rPr>
      </w:pPr>
    </w:p>
    <w:p>
      <w:pPr>
        <w:jc w:val="both"/>
        <w:ind w:left="880" w:right="459"/>
        <w:spacing w:after="0" w:line="291" w:lineRule="auto"/>
        <w:rPr>
          <w:sz w:val="20"/>
          <w:szCs w:val="20"/>
          <w:color w:val="auto"/>
        </w:rPr>
      </w:pPr>
      <w:r>
        <w:rPr>
          <w:rFonts w:ascii="Arial" w:cs="Arial" w:eastAsia="Arial" w:hAnsi="Arial"/>
          <w:sz w:val="16"/>
          <w:szCs w:val="16"/>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62"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8"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has been no interest expense or penalties related to unrecognized tax benefits recorded through December 31, 2022.</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148"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all forfeitures as they occur. The Company uses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by using the Black-Scholes option-pricing model with the following assumptions:</w:t>
      </w:r>
    </w:p>
    <w:p>
      <w:pPr>
        <w:spacing w:after="0" w:line="118" w:lineRule="exact"/>
        <w:rPr>
          <w:sz w:val="20"/>
          <w:szCs w:val="20"/>
          <w:color w:val="auto"/>
        </w:rPr>
      </w:pPr>
    </w:p>
    <w:p>
      <w:pPr>
        <w:jc w:val="both"/>
        <w:ind w:left="1320" w:right="459"/>
        <w:spacing w:after="0" w:line="28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the awards by evaluating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volatility of a peer group of companies for the period immediately preceding the award grant for a term that is approximately equal to the awards’s expected term.</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1320" w:right="459"/>
        <w:spacing w:after="0" w:line="31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The expected term of the Company’s awards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82" w:lineRule="exact"/>
        <w:rPr>
          <w:sz w:val="20"/>
          <w:szCs w:val="20"/>
          <w:color w:val="auto"/>
        </w:rPr>
      </w:pPr>
    </w:p>
    <w:p>
      <w:pPr>
        <w:jc w:val="both"/>
        <w:ind w:left="1320" w:right="459"/>
        <w:spacing w:after="0" w:line="26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U.S. Treasury zero-coupon issues with a term that is equal to the awards’ expected term at the grant date.</w:t>
      </w:r>
    </w:p>
    <w:p>
      <w:pPr>
        <w:spacing w:after="0" w:line="103" w:lineRule="exact"/>
        <w:rPr>
          <w:sz w:val="20"/>
          <w:szCs w:val="20"/>
          <w:color w:val="auto"/>
        </w:rPr>
      </w:pPr>
    </w:p>
    <w:p>
      <w:pPr>
        <w:jc w:val="both"/>
        <w:ind w:left="1320" w:right="47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has not declared or paid dividends to date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declaring dividends. As such, expected dividend yield is zero.</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1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03"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19" w:lineRule="exact"/>
        <w:rPr>
          <w:sz w:val="20"/>
          <w:szCs w:val="20"/>
          <w:color w:val="auto"/>
        </w:rPr>
      </w:pPr>
    </w:p>
    <w:p>
      <w:pPr>
        <w:ind w:left="1760" w:right="479" w:hanging="442"/>
        <w:spacing w:after="0" w:line="277" w:lineRule="auto"/>
        <w:tabs>
          <w:tab w:leader="none" w:pos="17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Inputs are unadjusted quoted prices in active markets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the measurement date.</w:t>
      </w:r>
    </w:p>
    <w:p>
      <w:pPr>
        <w:spacing w:after="0" w:line="89" w:lineRule="exact"/>
        <w:rPr>
          <w:rFonts w:ascii="Arial" w:cs="Arial" w:eastAsia="Arial" w:hAnsi="Arial"/>
          <w:sz w:val="18"/>
          <w:szCs w:val="18"/>
          <w:color w:val="auto"/>
        </w:rPr>
      </w:pPr>
    </w:p>
    <w:p>
      <w:pPr>
        <w:jc w:val="both"/>
        <w:ind w:left="1760" w:right="479" w:hanging="442"/>
        <w:spacing w:after="0" w:line="286" w:lineRule="auto"/>
        <w:tabs>
          <w:tab w:leader="none" w:pos="1755"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Inputs (other than quoted market prices included in Level 1) are either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observable for the asset or liability through correlation with market data at the measurement date and for the duration of the instrument’s anticipated life.</w:t>
      </w:r>
    </w:p>
    <w:p>
      <w:pPr>
        <w:spacing w:after="0" w:line="97" w:lineRule="exact"/>
        <w:rPr>
          <w:rFonts w:ascii="Arial" w:cs="Arial" w:eastAsia="Arial" w:hAnsi="Arial"/>
          <w:sz w:val="17"/>
          <w:szCs w:val="17"/>
          <w:color w:val="auto"/>
        </w:rPr>
      </w:pPr>
    </w:p>
    <w:p>
      <w:pPr>
        <w:jc w:val="both"/>
        <w:ind w:left="1760" w:right="479" w:hanging="442"/>
        <w:spacing w:after="0" w:line="286" w:lineRule="auto"/>
        <w:tabs>
          <w:tab w:leader="none" w:pos="1755"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Level 3 — </w:t>
      </w:r>
      <w:r>
        <w:rPr>
          <w:rFonts w:ascii="Arial" w:cs="Arial" w:eastAsia="Arial" w:hAnsi="Arial"/>
          <w:sz w:val="17"/>
          <w:szCs w:val="17"/>
          <w:color w:val="auto"/>
        </w:rPr>
        <w:t>Inputs reflect management’s best estimate of what market participants would use in</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the asset or liability at the measurement date. Consideration is given to the risk inherent in the valuation technique and the risk inherent in the inputs to the model.</w:t>
      </w:r>
    </w:p>
    <w:p>
      <w:pPr>
        <w:spacing w:after="0" w:line="9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Redeemable Convertible Preferred Stock</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Legacy SoundHound Preferred Stock did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27"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See Note 11 for additional information.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Convertible Notes and Derivative Liabilities</w:t>
      </w:r>
    </w:p>
    <w:p>
      <w:pPr>
        <w:spacing w:after="0" w:line="14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4"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162"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3"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ESPP shares, RSUs, warrants and convertible notes are considered to be potentially dilutive securities. See Note 16 for further information.</w:t>
      </w:r>
    </w:p>
    <w:p>
      <w:pPr>
        <w:spacing w:after="0" w:line="10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Recent Accounting Pronouncements — Adopted</w:t>
      </w:r>
    </w:p>
    <w:p>
      <w:pPr>
        <w:spacing w:after="0" w:line="162"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20" w:lineRule="exact"/>
        <w:rPr>
          <w:sz w:val="20"/>
          <w:szCs w:val="20"/>
          <w:color w:val="auto"/>
        </w:rPr>
      </w:pPr>
    </w:p>
    <w:p>
      <w:pPr>
        <w:jc w:val="both"/>
        <w:ind w:left="880" w:right="459"/>
        <w:spacing w:after="0" w:line="274" w:lineRule="auto"/>
        <w:rPr>
          <w:sz w:val="20"/>
          <w:szCs w:val="20"/>
          <w:color w:val="auto"/>
        </w:rPr>
      </w:pPr>
      <w:r>
        <w:rPr>
          <w:rFonts w:ascii="Arial" w:cs="Arial" w:eastAsia="Arial" w:hAnsi="Arial"/>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880" w:right="459" w:firstLine="6"/>
        <w:spacing w:after="0" w:line="253" w:lineRule="auto"/>
        <w:tabs>
          <w:tab w:leader="none" w:pos="12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10" w:lineRule="exact"/>
        <w:rPr>
          <w:sz w:val="20"/>
          <w:szCs w:val="20"/>
          <w:color w:val="auto"/>
        </w:rPr>
      </w:pPr>
    </w:p>
    <w:p>
      <w:pPr>
        <w:jc w:val="both"/>
        <w:ind w:left="880" w:right="459"/>
        <w:spacing w:after="0" w:line="296" w:lineRule="auto"/>
        <w:rPr>
          <w:sz w:val="20"/>
          <w:szCs w:val="20"/>
          <w:color w:val="auto"/>
        </w:rPr>
      </w:pPr>
      <w:r>
        <w:rPr>
          <w:rFonts w:ascii="Arial" w:cs="Arial" w:eastAsia="Arial" w:hAnsi="Arial"/>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94"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As a result of the adoption of the new lease accounting guidance, the Company recognized on January 1, 2021:</w:t>
      </w:r>
    </w:p>
    <w:p>
      <w:pPr>
        <w:spacing w:after="0" w:line="103" w:lineRule="exact"/>
        <w:rPr>
          <w:sz w:val="20"/>
          <w:szCs w:val="20"/>
          <w:color w:val="auto"/>
        </w:rPr>
      </w:pPr>
    </w:p>
    <w:p>
      <w:pPr>
        <w:jc w:val="both"/>
        <w:ind w:left="1760" w:right="479" w:hanging="442"/>
        <w:spacing w:after="0" w:line="263" w:lineRule="auto"/>
        <w:tabs>
          <w:tab w:leader="none" w:pos="17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102" w:lineRule="exact"/>
        <w:rPr>
          <w:rFonts w:ascii="Arial" w:cs="Arial" w:eastAsia="Arial" w:hAnsi="Arial"/>
          <w:sz w:val="18"/>
          <w:szCs w:val="18"/>
          <w:color w:val="auto"/>
        </w:rPr>
      </w:pPr>
    </w:p>
    <w:p>
      <w:pPr>
        <w:jc w:val="both"/>
        <w:ind w:left="1760" w:right="459" w:hanging="442"/>
        <w:spacing w:after="0" w:line="274" w:lineRule="auto"/>
        <w:tabs>
          <w:tab w:leader="none" w:pos="17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Operating lease ROU assets of approximately $9.8 million which represent the operating lease liabilities of $11.4 million, adjusted for (1) deferred rent of approximately $0.8 million,</w:t>
      </w:r>
    </w:p>
    <w:p>
      <w:pPr>
        <w:ind w:left="1760" w:right="479" w:hanging="10"/>
        <w:spacing w:after="0" w:line="260" w:lineRule="auto"/>
        <w:tabs>
          <w:tab w:leader="none" w:pos="2026" w:val="left"/>
        </w:tabs>
        <w:numPr>
          <w:ilvl w:val="1"/>
          <w:numId w:val="81"/>
        </w:numPr>
        <w:rPr>
          <w:rFonts w:ascii="Arial" w:cs="Arial" w:eastAsia="Arial" w:hAnsi="Arial"/>
          <w:sz w:val="18"/>
          <w:szCs w:val="18"/>
          <w:color w:val="auto"/>
        </w:rPr>
      </w:pPr>
      <w:r>
        <w:rPr>
          <w:rFonts w:ascii="Arial" w:cs="Arial" w:eastAsia="Arial" w:hAnsi="Arial"/>
          <w:sz w:val="18"/>
          <w:szCs w:val="18"/>
          <w:color w:val="auto"/>
        </w:rPr>
        <w:t>lease incentives or tenant improvement allowance of $1.1 million and (3) prepaid rent of $0.3 million.</w:t>
      </w:r>
    </w:p>
    <w:p>
      <w:pPr>
        <w:spacing w:after="0" w:line="117" w:lineRule="exact"/>
        <w:rPr>
          <w:rFonts w:ascii="Arial" w:cs="Arial" w:eastAsia="Arial" w:hAnsi="Arial"/>
          <w:sz w:val="18"/>
          <w:szCs w:val="18"/>
          <w:color w:val="auto"/>
        </w:rPr>
      </w:pPr>
    </w:p>
    <w:p>
      <w:pPr>
        <w:ind w:left="1760" w:right="479" w:hanging="442"/>
        <w:spacing w:after="0" w:line="308" w:lineRule="auto"/>
        <w:tabs>
          <w:tab w:leader="none" w:pos="17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additionally recharacterized its capital leases as finance leases. However, there was no quantitative impact to capital leases upon transitioning to the new standard.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Note 14 for additional information.</w:t>
      </w:r>
    </w:p>
    <w:p>
      <w:pPr>
        <w:spacing w:after="0" w:line="221" w:lineRule="exact"/>
        <w:rPr>
          <w:sz w:val="20"/>
          <w:szCs w:val="20"/>
          <w:color w:val="auto"/>
        </w:rPr>
      </w:pPr>
    </w:p>
    <w:p>
      <w:pPr>
        <w:ind w:left="860" w:hanging="406"/>
        <w:spacing w:after="0"/>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48"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December 31, 2022.</w:t>
      </w:r>
    </w:p>
    <w:p>
      <w:pPr>
        <w:spacing w:after="0" w:line="11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20" w:lineRule="exact"/>
        <w:rPr>
          <w:sz w:val="20"/>
          <w:szCs w:val="20"/>
          <w:color w:val="auto"/>
        </w:rPr>
      </w:pPr>
    </w:p>
    <w:p>
      <w:pPr>
        <w:jc w:val="both"/>
        <w:ind w:left="880" w:right="459"/>
        <w:spacing w:after="0" w:line="296" w:lineRule="auto"/>
        <w:rPr>
          <w:sz w:val="20"/>
          <w:szCs w:val="20"/>
          <w:color w:val="auto"/>
        </w:rPr>
      </w:pPr>
      <w:r>
        <w:rPr>
          <w:rFonts w:ascii="Arial" w:cs="Arial" w:eastAsia="Arial" w:hAnsi="Arial"/>
          <w:sz w:val="16"/>
          <w:szCs w:val="16"/>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01"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8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1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880" w:type="dxa"/>
        <w:tblCellMar>
          <w:top w:w="0" w:type="dxa"/>
          <w:left w:w="0" w:type="dxa"/>
          <w:bottom w:w="0" w:type="dxa"/>
          <w:right w:w="0" w:type="dxa"/>
        </w:tblCellMar>
      </w:tblPr>
      <w:tr>
        <w:trPr>
          <w:trHeight w:val="264"/>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ATSP trust and cash (net of redemption)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Cash – PIPE Investment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113,000</w:t>
            </w:r>
          </w:p>
        </w:tc>
        <w:tc>
          <w:tcPr>
            <w:tcW w:w="140" w:type="dxa"/>
            <w:vAlign w:val="bottom"/>
          </w:tcPr>
          <w:p>
            <w:pPr>
              <w:spacing w:after="0"/>
              <w:rPr>
                <w:sz w:val="21"/>
                <w:szCs w:val="21"/>
                <w:color w:val="auto"/>
              </w:rPr>
            </w:pPr>
          </w:p>
        </w:tc>
      </w:tr>
      <w:tr>
        <w:trPr>
          <w:trHeight w:val="40"/>
        </w:trPr>
        <w:tc>
          <w:tcPr>
            <w:tcW w:w="6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transaction costs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(27,668)</w:t>
            </w:r>
          </w:p>
        </w:tc>
      </w:tr>
      <w:tr>
        <w:trPr>
          <w:trHeight w:val="244"/>
        </w:trPr>
        <w:tc>
          <w:tcPr>
            <w:tcW w:w="6440" w:type="dxa"/>
            <w:vAlign w:val="bottom"/>
          </w:tcPr>
          <w:p>
            <w:pPr>
              <w:ind w:left="180"/>
              <w:spacing w:after="0"/>
              <w:rPr>
                <w:sz w:val="20"/>
                <w:szCs w:val="20"/>
                <w:color w:val="auto"/>
              </w:rPr>
            </w:pPr>
            <w:r>
              <w:rPr>
                <w:rFonts w:ascii="Arial" w:cs="Arial" w:eastAsia="Arial" w:hAnsi="Arial"/>
                <w:sz w:val="18"/>
                <w:szCs w:val="18"/>
                <w:color w:val="auto"/>
              </w:rPr>
              <w:t>Net proceeds from Business Combination and PIPE Investment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90,689</w:t>
            </w:r>
          </w:p>
        </w:tc>
        <w:tc>
          <w:tcPr>
            <w:tcW w:w="14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consolidated balance sheets. Total transaction expenses were recorded as an offset against proceeds received on the closing of the Business Combination, accounted for as additional paid-in capital.</w:t>
      </w:r>
    </w:p>
    <w:p>
      <w:pPr>
        <w:spacing w:after="0" w:line="97"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amount recorded to additional paid-in-capital was comprised of $86.6 million net proceeds from the PIPE investment and $4.1 million after net redemptions of ATSP shareholders.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(cont.)</w:t>
      </w:r>
    </w:p>
    <w:p>
      <w:pPr>
        <w:spacing w:after="0" w:line="189"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440" w:type="dxa"/>
            <w:vAlign w:val="bottom"/>
          </w:tcPr>
          <w:p>
            <w:pPr>
              <w:spacing w:after="0"/>
              <w:rPr>
                <w:sz w:val="20"/>
                <w:szCs w:val="20"/>
                <w:color w:val="auto"/>
              </w:rPr>
            </w:pPr>
            <w:r>
              <w:rPr>
                <w:rFonts w:ascii="Arial" w:cs="Arial" w:eastAsia="Arial" w:hAnsi="Arial"/>
                <w:sz w:val="18"/>
                <w:szCs w:val="18"/>
                <w:color w:val="auto"/>
                <w:w w:val="98"/>
              </w:rPr>
              <w:t>Class A Common Stock – conversion of Legacy SoundHound Common Stock and</w:t>
            </w:r>
          </w:p>
        </w:tc>
        <w:tc>
          <w:tcPr>
            <w:tcW w:w="1260" w:type="dxa"/>
            <w:vAlign w:val="bottom"/>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w w:val="97"/>
              </w:rPr>
              <w:t>Legacy SoundHound Preferred Stock outstanding prior to Business Combination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140,114,060</w:t>
            </w:r>
          </w:p>
        </w:tc>
      </w:tr>
      <w:tr>
        <w:trPr>
          <w:trHeight w:val="40"/>
        </w:trPr>
        <w:tc>
          <w:tcPr>
            <w:tcW w:w="6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B Common Stock – conversion of Legacy SoundHound Common Stock and</w:t>
            </w:r>
          </w:p>
        </w:tc>
        <w:tc>
          <w:tcPr>
            <w:tcW w:w="1260" w:type="dxa"/>
            <w:vAlign w:val="bottom"/>
            <w:shd w:val="clear" w:color="auto" w:fill="CCEEFF"/>
          </w:tcPr>
          <w:p>
            <w:pPr>
              <w:spacing w:after="0"/>
              <w:rPr>
                <w:sz w:val="17"/>
                <w:szCs w:val="17"/>
                <w:color w:val="auto"/>
              </w:rPr>
            </w:pPr>
          </w:p>
        </w:tc>
      </w:tr>
      <w:tr>
        <w:trPr>
          <w:trHeight w:val="251"/>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Legacy SoundHound Preferred Stock outstanding prior to Business Combination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40,396,600</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Class A Common Stock – PIPE Investment</w:t>
            </w:r>
          </w:p>
        </w:tc>
        <w:tc>
          <w:tcPr>
            <w:tcW w:w="1260" w:type="dxa"/>
            <w:vAlign w:val="bottom"/>
          </w:tcPr>
          <w:p>
            <w:pPr>
              <w:jc w:val="right"/>
              <w:spacing w:after="0"/>
              <w:rPr>
                <w:sz w:val="20"/>
                <w:szCs w:val="20"/>
                <w:color w:val="auto"/>
              </w:rPr>
            </w:pPr>
            <w:r>
              <w:rPr>
                <w:rFonts w:ascii="Arial" w:cs="Arial" w:eastAsia="Arial" w:hAnsi="Arial"/>
                <w:sz w:val="18"/>
                <w:szCs w:val="18"/>
                <w:color w:val="auto"/>
              </w:rPr>
              <w:t>11,300,000</w:t>
            </w:r>
          </w:p>
        </w:tc>
      </w:tr>
      <w:tr>
        <w:trPr>
          <w:trHeight w:val="40"/>
        </w:trPr>
        <w:tc>
          <w:tcPr>
            <w:tcW w:w="6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 issuance to ATSP shareholders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532,050</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Class A Common Stock – issuance to Legacy SoundHound founders and</w:t>
            </w:r>
          </w:p>
        </w:tc>
        <w:tc>
          <w:tcPr>
            <w:tcW w:w="1260" w:type="dxa"/>
            <w:vAlign w:val="bottom"/>
          </w:tcPr>
          <w:p>
            <w:pPr>
              <w:spacing w:after="0"/>
              <w:rPr>
                <w:sz w:val="17"/>
                <w:szCs w:val="17"/>
                <w:color w:val="auto"/>
              </w:rPr>
            </w:pPr>
          </w:p>
        </w:tc>
      </w:tr>
      <w:tr>
        <w:trPr>
          <w:trHeight w:val="244"/>
        </w:trPr>
        <w:tc>
          <w:tcPr>
            <w:tcW w:w="6440" w:type="dxa"/>
            <w:vAlign w:val="bottom"/>
          </w:tcPr>
          <w:p>
            <w:pPr>
              <w:ind w:left="180"/>
              <w:spacing w:after="0"/>
              <w:rPr>
                <w:sz w:val="20"/>
                <w:szCs w:val="20"/>
                <w:color w:val="auto"/>
              </w:rPr>
            </w:pPr>
            <w:r>
              <w:rPr>
                <w:rFonts w:ascii="Arial" w:cs="Arial" w:eastAsia="Arial" w:hAnsi="Arial"/>
                <w:sz w:val="18"/>
                <w:szCs w:val="18"/>
                <w:color w:val="auto"/>
              </w:rPr>
              <w:t>representatives</w:t>
            </w:r>
          </w:p>
        </w:tc>
        <w:tc>
          <w:tcPr>
            <w:tcW w:w="1260" w:type="dxa"/>
            <w:vAlign w:val="bottom"/>
          </w:tcPr>
          <w:p>
            <w:pPr>
              <w:jc w:val="right"/>
              <w:spacing w:after="0"/>
              <w:rPr>
                <w:sz w:val="20"/>
                <w:szCs w:val="20"/>
                <w:color w:val="auto"/>
              </w:rPr>
            </w:pPr>
            <w:r>
              <w:rPr>
                <w:rFonts w:ascii="Arial" w:cs="Arial" w:eastAsia="Arial" w:hAnsi="Arial"/>
                <w:sz w:val="18"/>
                <w:szCs w:val="18"/>
                <w:color w:val="auto"/>
              </w:rPr>
              <w:t>4,161,000</w:t>
            </w:r>
          </w:p>
        </w:tc>
      </w:tr>
      <w:tr>
        <w:trPr>
          <w:trHeight w:val="27"/>
        </w:trPr>
        <w:tc>
          <w:tcPr>
            <w:tcW w:w="6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immediately after Business Combination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196,503,710</w:t>
            </w:r>
          </w:p>
        </w:tc>
      </w:tr>
      <w:tr>
        <w:trPr>
          <w:trHeight w:val="20"/>
        </w:trPr>
        <w:tc>
          <w:tcPr>
            <w:tcW w:w="6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406"/>
        <w:spacing w:after="0"/>
        <w:tabs>
          <w:tab w:leader="none" w:pos="8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62"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7"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03"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162"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68"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25" w:lineRule="exact"/>
        <w:rPr>
          <w:sz w:val="20"/>
          <w:szCs w:val="20"/>
          <w:color w:val="auto"/>
        </w:rPr>
      </w:pPr>
    </w:p>
    <w:p>
      <w:pPr>
        <w:jc w:val="both"/>
        <w:ind w:left="880" w:right="479"/>
        <w:spacing w:after="0" w:line="275" w:lineRule="auto"/>
        <w:rPr>
          <w:sz w:val="20"/>
          <w:szCs w:val="20"/>
          <w:color w:val="auto"/>
        </w:rPr>
      </w:pPr>
      <w:r>
        <w:rPr>
          <w:rFonts w:ascii="Arial" w:cs="Arial" w:eastAsia="Arial" w:hAnsi="Arial"/>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00"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2022, $2.2 million of professional service revenue was recognized over time, with the remaining $2.0 million recognized at a point in time when the performance obligation was fulfilled and control of the service was transferred to the customer. During the year ended December 31, 2021, $2.4 million of professional service revenue was recognized over time, with the remaining $4.7 million recognized at a point in time when the performance obligation was fulfilled and control of the service was transferred to the customer.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Licensing</w:t>
      </w:r>
    </w:p>
    <w:p>
      <w:pPr>
        <w:spacing w:after="0" w:line="162"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84"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16" w:lineRule="exact"/>
        <w:rPr>
          <w:sz w:val="20"/>
          <w:szCs w:val="20"/>
          <w:color w:val="auto"/>
        </w:rPr>
      </w:pPr>
    </w:p>
    <w:p>
      <w:pPr>
        <w:ind w:left="1740" w:hanging="422"/>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144" w:lineRule="exact"/>
        <w:rPr>
          <w:rFonts w:ascii="Arial" w:cs="Arial" w:eastAsia="Arial" w:hAnsi="Arial"/>
          <w:sz w:val="18"/>
          <w:szCs w:val="18"/>
          <w:color w:val="auto"/>
        </w:rPr>
      </w:pPr>
    </w:p>
    <w:p>
      <w:pPr>
        <w:ind w:left="1740" w:hanging="422"/>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Major product groupings; and</w:t>
      </w:r>
    </w:p>
    <w:p>
      <w:pPr>
        <w:spacing w:after="0" w:line="157" w:lineRule="exact"/>
        <w:rPr>
          <w:rFonts w:ascii="Arial" w:cs="Arial" w:eastAsia="Arial" w:hAnsi="Arial"/>
          <w:sz w:val="18"/>
          <w:szCs w:val="18"/>
          <w:color w:val="auto"/>
        </w:rPr>
      </w:pPr>
    </w:p>
    <w:p>
      <w:pPr>
        <w:ind w:left="1760" w:right="479" w:hanging="442"/>
        <w:spacing w:after="0" w:line="277" w:lineRule="auto"/>
        <w:tabs>
          <w:tab w:leader="none" w:pos="17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8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For the years ended December 31, 2022 and 2021, revenue under each performance obligation was as follows (in thousands):</w:t>
      </w:r>
    </w:p>
    <w:p>
      <w:pPr>
        <w:spacing w:after="0" w:line="130"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3360" w:type="dxa"/>
            <w:vAlign w:val="bottom"/>
            <w:tcBorders>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Hosted services</w:t>
            </w:r>
          </w:p>
        </w:tc>
        <w:tc>
          <w:tcPr>
            <w:tcW w:w="1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12,764</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4,220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7,142</w:t>
            </w:r>
          </w:p>
        </w:tc>
      </w:tr>
      <w:tr>
        <w:trPr>
          <w:trHeight w:val="40"/>
        </w:trPr>
        <w:tc>
          <w:tcPr>
            <w:tcW w:w="3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1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Licensing</w:t>
            </w: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8,322</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For the years ended December 31, 2022 and 2021, the disaggregated revenue by geographic location was as follows (in thousands):</w:t>
      </w:r>
    </w:p>
    <w:p>
      <w:pPr>
        <w:spacing w:after="0" w:line="130"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47"/>
        </w:trPr>
        <w:tc>
          <w:tcPr>
            <w:tcW w:w="308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Korea</w:t>
            </w:r>
          </w:p>
        </w:tc>
        <w:tc>
          <w:tcPr>
            <w:tcW w:w="2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Germany</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4,134</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7,526</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3,344</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Japan</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3,866</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3,797</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4,023</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57"/>
        </w:trPr>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3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For the years ended December 31, 2022 and 2021, the disaggregated revenue by recognition pattern was as follows (in thousands):</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400" w:type="dxa"/>
            <w:vAlign w:val="bottom"/>
          </w:tcPr>
          <w:p>
            <w:pPr>
              <w:spacing w:after="0"/>
              <w:rPr>
                <w:sz w:val="4"/>
                <w:szCs w:val="4"/>
                <w:color w:val="auto"/>
              </w:rPr>
            </w:pPr>
          </w:p>
        </w:tc>
        <w:tc>
          <w:tcPr>
            <w:tcW w:w="2400" w:type="dxa"/>
            <w:vAlign w:val="bottom"/>
            <w:tcBorders>
              <w:bottom w:val="single" w:sz="8" w:color="CCEEFF"/>
            </w:tcBorders>
          </w:tcPr>
          <w:p>
            <w:pPr>
              <w:spacing w:after="0"/>
              <w:rPr>
                <w:sz w:val="4"/>
                <w:szCs w:val="4"/>
                <w:color w:val="auto"/>
              </w:rPr>
            </w:pPr>
          </w:p>
        </w:tc>
        <w:tc>
          <w:tcPr>
            <w:tcW w:w="28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4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Over time revenue</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r>
      <w:tr>
        <w:trPr>
          <w:trHeight w:val="256"/>
        </w:trPr>
        <w:tc>
          <w:tcPr>
            <w:tcW w:w="400" w:type="dxa"/>
            <w:vAlign w:val="bottom"/>
          </w:tcPr>
          <w:p>
            <w:pPr>
              <w:spacing w:after="0"/>
              <w:rPr>
                <w:sz w:val="22"/>
                <w:szCs w:val="22"/>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Point-in-time</w:t>
            </w:r>
          </w:p>
        </w:tc>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11,174</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5,987</w:t>
            </w:r>
          </w:p>
        </w:tc>
      </w:tr>
      <w:tr>
        <w:trPr>
          <w:trHeight w:val="27"/>
        </w:trPr>
        <w:tc>
          <w:tcPr>
            <w:tcW w:w="40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w:t>
            </w:r>
          </w:p>
        </w:tc>
      </w:tr>
      <w:tr>
        <w:trPr>
          <w:trHeight w:val="20"/>
        </w:trPr>
        <w:tc>
          <w:tcPr>
            <w:tcW w:w="40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1547"/>
              <w:spacing w:after="0"/>
              <w:rPr>
                <w:sz w:val="20"/>
                <w:szCs w:val="20"/>
                <w:color w:val="auto"/>
              </w:rPr>
            </w:pPr>
            <w:r>
              <w:rPr>
                <w:rFonts w:ascii="Arial" w:cs="Arial" w:eastAsia="Arial" w:hAnsi="Arial"/>
                <w:sz w:val="18"/>
                <w:szCs w:val="18"/>
                <w:color w:val="auto"/>
              </w:rPr>
              <w:t>F-21</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years ended December 31, 2022 and 2021, the disaggregated revenue by service type was as follows (in thousands):</w:t>
      </w:r>
    </w:p>
    <w:p>
      <w:pPr>
        <w:spacing w:after="0" w:line="128"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royalties</w:t>
            </w:r>
          </w:p>
        </w:tc>
        <w:tc>
          <w:tcPr>
            <w:tcW w:w="1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Service subscriptions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1,838</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1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20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31,129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21,197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year ended December 31, 2022, we recognized $7.6 million of licensing revenue from our Houndify Edge solution, which we delivered to a customer during the second half of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consolidated financial statements.</w:t>
      </w:r>
    </w:p>
    <w:p>
      <w:pPr>
        <w:spacing w:after="0" w:line="113"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Revenue recognized included in the deferred revenue balance at the beginning of the reporting period for the years ended December 31, 2022 and 2021 was $6.4 million and $14.9 million, respectively. As of December 31, 2022, the aggregate amount of the transaction price allocated to the remaining performance obligations related to customer contracts that were unsatisfied or partially unsatisfied was $20.7 million. Given the applicable contract terms, $8.1 million is expected to be recognized as revenue within one year, $9.3 million is expected to be recognized between two to five years and the remainder of $3.3 million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3"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83" w:lineRule="exact"/>
        <w:rPr>
          <w:sz w:val="20"/>
          <w:szCs w:val="20"/>
          <w:color w:val="auto"/>
        </w:rPr>
      </w:pPr>
    </w:p>
    <w:p>
      <w:pPr>
        <w:ind w:left="860" w:hanging="406"/>
        <w:spacing w:after="0"/>
        <w:tabs>
          <w:tab w:leader="none" w:pos="8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20,571</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Software and voice recordings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8,687</w:t>
            </w: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3,567</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at cost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33,554</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(31,530)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(27,399)</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Property and equipment, net includes assets under finance lease obligations (see Note 14 for additional information) with an aggregate cost of approximately $0.6 million and $16.6 million and accumulated depreciation of approximately $0.3 million and $13.9 million as of December 31, 2022 and 2021, respectively. Depreciation and amortization expense totaled approximately $4.0 million and $5.5 million for the years ended December 31, 2022 and 2021, respectively.</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auto"/>
                <w:w w:val="70"/>
              </w:rPr>
              <w:t>6.</w:t>
            </w:r>
          </w:p>
        </w:tc>
        <w:tc>
          <w:tcPr>
            <w:tcW w:w="4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ACCRUED LIABILITIES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Accrued liabilities consisted of the following (in thousands):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interest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40"/>
        </w:trPr>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vendor payables</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40"/>
        </w:trPr>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w w:val="70"/>
              </w:rPr>
              <w:t>7.</w:t>
            </w:r>
          </w:p>
        </w:tc>
        <w:tc>
          <w:tcPr>
            <w:tcW w:w="49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COMMITMENTS AND CONTINGENCIES</w:t>
            </w: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0" w:type="dxa"/>
            <w:vAlign w:val="bottom"/>
            <w:vMerge w:val="continue"/>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Contracts</w:t>
      </w:r>
    </w:p>
    <w:p>
      <w:pPr>
        <w:spacing w:after="0" w:line="162"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Aggregate non-cancelable future minimum payments were as follows as of December 31, 2022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880" w:type="dxa"/>
        <w:tblCellMar>
          <w:top w:w="0" w:type="dxa"/>
          <w:left w:w="0" w:type="dxa"/>
          <w:bottom w:w="0" w:type="dxa"/>
          <w:right w:w="0" w:type="dxa"/>
        </w:tblCellMar>
      </w:tblP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40"/>
        </w:trPr>
        <w:tc>
          <w:tcPr>
            <w:tcW w:w="6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40"/>
        </w:trPr>
        <w:tc>
          <w:tcPr>
            <w:tcW w:w="6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6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w:t>
            </w:r>
          </w:p>
        </w:tc>
      </w:tr>
      <w:tr>
        <w:trPr>
          <w:trHeight w:val="20"/>
        </w:trPr>
        <w:tc>
          <w:tcPr>
            <w:tcW w:w="6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62"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December 31, 2022 and 2021.</w:t>
      </w:r>
    </w:p>
    <w:p>
      <w:pPr>
        <w:spacing w:after="0" w:line="177" w:lineRule="exact"/>
        <w:rPr>
          <w:sz w:val="20"/>
          <w:szCs w:val="20"/>
          <w:color w:val="auto"/>
        </w:rPr>
      </w:pPr>
    </w:p>
    <w:p>
      <w:pPr>
        <w:ind w:left="860" w:hanging="406"/>
        <w:spacing w:after="0"/>
        <w:tabs>
          <w:tab w:leader="none" w:pos="8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Series C Warrants</w:t>
      </w:r>
    </w:p>
    <w:p>
      <w:pPr>
        <w:spacing w:after="0" w:line="162"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Warrants Related to Convertible Notes and Note Payable</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recorded the warrants initially at fair value as paid-in-capital on the consolidated balance sheets based on the allocation of its relative fair value of the debt proceeds. See Note 10 for additional information on the fair value calculation. The fair value in relation to the SVB March 2021 Note was allocated to the notes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25"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Warrants Related to the Business Combination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44" w:lineRule="exact"/>
        <w:rPr>
          <w:sz w:val="20"/>
          <w:szCs w:val="20"/>
          <w:color w:val="auto"/>
        </w:rPr>
      </w:pPr>
    </w:p>
    <w:p>
      <w:pPr>
        <w:jc w:val="both"/>
        <w:ind w:left="880" w:right="459"/>
        <w:spacing w:after="0" w:line="288" w:lineRule="auto"/>
        <w:rPr>
          <w:sz w:val="20"/>
          <w:szCs w:val="20"/>
          <w:color w:val="auto"/>
        </w:rPr>
      </w:pPr>
      <w:r>
        <w:rPr>
          <w:rFonts w:ascii="Arial" w:cs="Arial" w:eastAsia="Arial" w:hAnsi="Arial"/>
          <w:sz w:val="16"/>
          <w:szCs w:val="16"/>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01"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Subsequent to the closing of the Business Combination, the Company’s Public Warrants continue to be classified as equity instruments, as they are indexed to the Company’s stock. As of December 31, 2022, there were 3,457,996 Public Warrants issued and outstanding.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58"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83"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instruments, as they are indexed to the Company’s stock. As of December 31, 2022, there were 208,000 Private Warrants issued and outstanding.</w:t>
      </w:r>
    </w:p>
    <w:p>
      <w:pPr>
        <w:spacing w:after="0" w:line="172" w:lineRule="exact"/>
        <w:rPr>
          <w:sz w:val="20"/>
          <w:szCs w:val="20"/>
          <w:color w:val="auto"/>
        </w:rPr>
      </w:pPr>
    </w:p>
    <w:p>
      <w:pPr>
        <w:ind w:left="860" w:hanging="406"/>
        <w:spacing w:after="0"/>
        <w:tabs>
          <w:tab w:leader="none" w:pos="8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AND NOTE PAYABLE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SNAP June 2020 Note</w:t>
      </w:r>
    </w:p>
    <w:p>
      <w:pPr>
        <w:spacing w:after="0" w:line="15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84" w:lineRule="auto"/>
        <w:rPr>
          <w:sz w:val="20"/>
          <w:szCs w:val="20"/>
          <w:color w:val="auto"/>
        </w:rPr>
      </w:pPr>
      <w:r>
        <w:rPr>
          <w:rFonts w:ascii="Arial" w:cs="Arial" w:eastAsia="Arial" w:hAnsi="Arial"/>
          <w:sz w:val="16"/>
          <w:szCs w:val="16"/>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spacing w:after="0" w:line="4" w:lineRule="exact"/>
        <w:rPr>
          <w:sz w:val="20"/>
          <w:szCs w:val="20"/>
          <w:color w:val="auto"/>
        </w:rPr>
      </w:pPr>
    </w:p>
    <w:p>
      <w:pPr>
        <w:jc w:val="both"/>
        <w:ind w:left="880" w:right="479" w:firstLine="6"/>
        <w:spacing w:after="0" w:line="302" w:lineRule="auto"/>
        <w:tabs>
          <w:tab w:leader="none" w:pos="11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88"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Furthermore, upon a change of control event, the Company shall settle the SNAP June 2020 Note in cash, pursuant to the following terms (“Redemption Feature”):</w:t>
      </w:r>
    </w:p>
    <w:p>
      <w:pPr>
        <w:spacing w:after="0" w:line="89" w:lineRule="exact"/>
        <w:rPr>
          <w:sz w:val="20"/>
          <w:szCs w:val="20"/>
          <w:color w:val="auto"/>
        </w:rPr>
      </w:pPr>
    </w:p>
    <w:p>
      <w:pPr>
        <w:ind w:left="1760" w:right="459" w:hanging="442"/>
        <w:spacing w:after="0" w:line="277" w:lineRule="auto"/>
        <w:tabs>
          <w:tab w:leader="none" w:pos="17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200% of the then outstanding principal amount of the respective note plus any unpaid accrued interest on the original principal of such note; and</w:t>
      </w:r>
    </w:p>
    <w:p>
      <w:pPr>
        <w:spacing w:after="0" w:line="102" w:lineRule="exact"/>
        <w:rPr>
          <w:rFonts w:ascii="Arial" w:cs="Arial" w:eastAsia="Arial" w:hAnsi="Arial"/>
          <w:sz w:val="18"/>
          <w:szCs w:val="18"/>
          <w:color w:val="auto"/>
        </w:rPr>
      </w:pPr>
    </w:p>
    <w:p>
      <w:pPr>
        <w:jc w:val="both"/>
        <w:ind w:left="1760" w:right="459" w:hanging="442"/>
        <w:spacing w:after="0" w:line="311" w:lineRule="auto"/>
        <w:tabs>
          <w:tab w:leader="none" w:pos="17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1" w:lineRule="exact"/>
        <w:rPr>
          <w:sz w:val="20"/>
          <w:szCs w:val="20"/>
          <w:color w:val="auto"/>
        </w:rPr>
      </w:pPr>
    </w:p>
    <w:p>
      <w:pPr>
        <w:jc w:val="both"/>
        <w:ind w:left="880" w:right="479"/>
        <w:spacing w:after="0" w:line="269" w:lineRule="auto"/>
        <w:rPr>
          <w:sz w:val="20"/>
          <w:szCs w:val="20"/>
          <w:color w:val="auto"/>
        </w:rPr>
      </w:pPr>
      <w:r>
        <w:rPr>
          <w:rFonts w:ascii="Arial" w:cs="Arial" w:eastAsia="Arial" w:hAnsi="Arial"/>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consolidated balance sheet. The Redemption Feature of the SNAP June 2020 Note does not meet the definition of a derivative. Therefore, the Redemption Feature is not bifurcated.</w:t>
      </w:r>
    </w:p>
    <w:p>
      <w:pPr>
        <w:spacing w:after="0" w:line="101"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year ended December 31, 2022, out of which $0.4 relates to amortization of the debt discount. The Company recognized total interest expense of $2.0 million associated with the SNAP June 2020 Note for the year ended December 31, 2021, out of which $1.3 million relates to amortization of the debt discount. The debt discount related to the SNAP June 2020 Note is amortized over the life of the instrument, beginning at note issuance and ending on April 26, 2022, the date on which the note was converted.</w:t>
      </w:r>
    </w:p>
    <w:p>
      <w:pPr>
        <w:spacing w:after="0" w:line="9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20"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following table summarizes the unamortized debt discount, fair value of conversion feature, and accrued interest as of April 26, 2022 and December 31, 2021 (in thousands).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April 26,</w:t>
            </w:r>
          </w:p>
        </w:tc>
        <w:tc>
          <w:tcPr>
            <w:tcW w:w="12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46"/>
        </w:trPr>
        <w:tc>
          <w:tcPr>
            <w:tcW w:w="374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Unamortized debt discount</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Fair value of conversion feature</w:t>
            </w:r>
          </w:p>
        </w:tc>
        <w:tc>
          <w:tcPr>
            <w:tcW w:w="1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3,488</w:t>
            </w:r>
          </w:p>
        </w:tc>
      </w:tr>
      <w:tr>
        <w:trPr>
          <w:trHeight w:val="40"/>
        </w:trPr>
        <w:tc>
          <w:tcPr>
            <w:tcW w:w="3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41"/>
        </w:trPr>
        <w:tc>
          <w:tcPr>
            <w:tcW w:w="37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Accrued interest is included in accrued liabilities on the consolidated balance sheets to reflect the classification of the SNAP June 2020 Note as short-term in nature on December 31, 2021.</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144"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98" w:lineRule="exact"/>
        <w:rPr>
          <w:sz w:val="20"/>
          <w:szCs w:val="20"/>
          <w:color w:val="auto"/>
        </w:rPr>
      </w:pPr>
    </w:p>
    <w:p>
      <w:pPr>
        <w:jc w:val="both"/>
        <w:ind w:left="880" w:right="479"/>
        <w:spacing w:after="0" w:line="290" w:lineRule="auto"/>
        <w:rPr>
          <w:sz w:val="20"/>
          <w:szCs w:val="20"/>
          <w:color w:val="auto"/>
        </w:rPr>
      </w:pPr>
      <w:r>
        <w:rPr>
          <w:rFonts w:ascii="Arial" w:cs="Arial" w:eastAsia="Arial" w:hAnsi="Arial"/>
          <w:sz w:val="16"/>
          <w:szCs w:val="16"/>
          <w:color w:val="auto"/>
        </w:rPr>
        <w:t>The loan bears interest at an annual rate equal to the greater of 9.00% or 5.75% above the Prime Rate. As of December 31, 2022, the interest rate was 13.25%. Payments were interest-only for the first twelve months and are now principal and interest through maturity. The Company recorded stated interest expense in the consolidated statements of operations and comprehensive loss for the years ended December 31, 2022 and 2021 of $2.8 million and $4.5 million, respectively, of which $0.2 million remained unpaid as accrued interest at December 31, 2022 and 2021. The total amount of debt discount at issuance was $3.5 million. During the years ended December 31, 2022 and 2021, the Company recorded $1.0 million and $2.4 million in interest expense related to the debt discounts, respectively.</w:t>
      </w:r>
    </w:p>
    <w:p>
      <w:pPr>
        <w:spacing w:after="0" w:line="98"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 As a result of the Business Combination, the SNAP June 2020 Note converted on the Closing Date and the performance milestone was met, satisfying the requirements to extend the maturity date to September 1, 2024</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144"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The loan bears interest at an annual rate equal to the greater of 9.00% or 5.75% above the Prime Rate. As of December 31, 2022, the interest rate was 13.25%. Payments were interest-only for the first twelve months and are now principal and interest through maturity. The Company incurred and paid $1.5 million and $0.3 million in stated interest in the consolidated statements of operations and comprehensive loss for the years ended December 31, 2022 and 2021, respectively.</w:t>
      </w:r>
    </w:p>
    <w:p>
      <w:pPr>
        <w:spacing w:after="0" w:line="109"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consolidated balance sheets. The Company is amortizing the cost on a straight-line basis from the issuance date through the maturity date of May 31, 2025. The Company recorded $0.8 million and $1.0 million in interest expense related to the debt discounts during the years ended December 31, 2022 and 2021, respectively.</w:t>
      </w:r>
    </w:p>
    <w:p>
      <w:pPr>
        <w:spacing w:after="0" w:line="97"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104"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Additionally, as the Company and its Agent did not mutually consent to the equity conversion that could have been triggered by the Business Combination, the conversion feature no longer existed subsequent to the Closing Date. As of December 31, 2022, the SCI June 2021 Note was classified as a note payable.</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below tables summarize the Company’s debt balances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December 31, 2022</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7"/>
              </w:rPr>
              <w:t>SVB</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SCI</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2021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Note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Notes payable, net of current portion</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8,261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18,311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Unamortized loan discount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40" w:type="dxa"/>
            <w:vAlign w:val="bottom"/>
            <w:vMerge w:val="restart"/>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394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21,988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12,979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34,967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96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1"/>
              </w:rPr>
              <w:t>Unamortized debt issuance cost recorded as an asset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97"/>
              </w:rPr>
              <w:t>SVB</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March 2021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Note</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Carrying value</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29,964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ind w:left="3460"/>
              <w:spacing w:after="0"/>
              <w:rPr>
                <w:sz w:val="20"/>
                <w:szCs w:val="20"/>
                <w:color w:val="auto"/>
              </w:rPr>
            </w:pPr>
            <w:r>
              <w:rPr>
                <w:rFonts w:ascii="Arial" w:cs="Arial" w:eastAsia="Arial" w:hAnsi="Arial"/>
                <w:sz w:val="18"/>
                <w:szCs w:val="18"/>
                <w:color w:val="auto"/>
              </w:rPr>
              <w:t>F-28</w:t>
            </w: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6"/>
          </w:tcPr>
          <w:p>
            <w:pPr>
              <w:jc w:val="right"/>
              <w:ind w:right="169"/>
              <w:spacing w:after="0"/>
              <w:rPr>
                <w:sz w:val="20"/>
                <w:szCs w:val="20"/>
                <w:color w:val="auto"/>
              </w:rPr>
            </w:pPr>
            <w:r>
              <w:rPr>
                <w:rFonts w:ascii="Arial" w:cs="Arial" w:eastAsia="Arial" w:hAnsi="Arial"/>
                <w:sz w:val="16"/>
                <w:szCs w:val="16"/>
                <w:b w:val="1"/>
                <w:bCs w:val="1"/>
                <w:color w:val="auto"/>
                <w:w w:val="94"/>
              </w:rPr>
              <w:t>December 31, 2021</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4"/>
              </w:rPr>
              <w:t>SNAP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7"/>
              </w:rPr>
              <w:t>SCI</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Note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9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current portion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30,525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14,343</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w:t>
            </w: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29,868</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1"/>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5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FAIR VALUE MEASUREMENTS</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following tables present the fair value of the Company’s financial instruments that are measured or disclosed at fair value on a recurring basis (in thousands):</w:t>
      </w:r>
    </w:p>
    <w:p>
      <w:pPr>
        <w:spacing w:after="0" w:line="130" w:lineRule="exact"/>
        <w:rPr>
          <w:sz w:val="20"/>
          <w:szCs w:val="20"/>
          <w:color w:val="auto"/>
        </w:rPr>
      </w:pPr>
    </w:p>
    <w:p>
      <w:pPr>
        <w:jc w:val="center"/>
        <w:ind w:left="4360"/>
        <w:spacing w:after="0"/>
        <w:rPr>
          <w:sz w:val="20"/>
          <w:szCs w:val="20"/>
          <w:color w:val="auto"/>
        </w:rPr>
      </w:pPr>
      <w:r>
        <w:rPr>
          <w:rFonts w:ascii="Arial" w:cs="Arial" w:eastAsia="Arial" w:hAnsi="Arial"/>
          <w:sz w:val="16"/>
          <w:szCs w:val="16"/>
          <w:b w:val="1"/>
          <w:bCs w:val="1"/>
          <w:color w:val="auto"/>
        </w:rPr>
        <w:t>Fair Value Measurements as of</w:t>
      </w:r>
    </w:p>
    <w:p>
      <w:pPr>
        <w:spacing w:after="0" w:line="26" w:lineRule="exact"/>
        <w:rPr>
          <w:sz w:val="20"/>
          <w:szCs w:val="20"/>
          <w:color w:val="auto"/>
        </w:rPr>
      </w:pPr>
    </w:p>
    <w:p>
      <w:pPr>
        <w:jc w:val="center"/>
        <w:ind w:left="436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41275</wp:posOffset>
            </wp:positionV>
            <wp:extent cx="23660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102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rPr>
              <w:t>Level 3</w:t>
            </w:r>
          </w:p>
        </w:tc>
      </w:tr>
      <w:tr>
        <w:trPr>
          <w:trHeight w:val="47"/>
        </w:trPr>
        <w:tc>
          <w:tcPr>
            <w:tcW w:w="39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3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7"/>
        </w:trPr>
        <w:tc>
          <w:tcPr>
            <w:tcW w:w="396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(3,488)</w:t>
            </w: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fair values of the derivative liabilities were determined based on significant inputs not observable in the market, which represent Level 3 measurements within the fair value hierarchy.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Series C Warrants (April 2013 and November 2013)</w:t>
      </w:r>
    </w:p>
    <w:p>
      <w:pPr>
        <w:spacing w:after="0" w:line="148"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In December 2021, the Series C Warrants were fully exercised. Immediately prior to their exercise, the Company revalued the warrants to their intrinsic value, resulting in a change in fair value of $3.8 million. This change in fair value was recorded as a component of other expense, net, in the accompanying consolidated statements of operations and comprehensive loss. The warrants were recorded as Series C Preferred Stock at their fair value of $5.8 million upon net share settlement.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Common Stock Warrants (SVB March 2021 Note and SCI June 2021 Note)</w:t>
      </w:r>
    </w:p>
    <w:p>
      <w:pPr>
        <w:spacing w:after="0" w:line="162" w:lineRule="exact"/>
        <w:rPr>
          <w:sz w:val="20"/>
          <w:szCs w:val="20"/>
          <w:color w:val="auto"/>
        </w:rPr>
      </w:pPr>
    </w:p>
    <w:p>
      <w:pPr>
        <w:jc w:val="both"/>
        <w:ind w:left="880" w:right="479"/>
        <w:spacing w:after="0" w:line="253" w:lineRule="auto"/>
        <w:rPr>
          <w:sz w:val="20"/>
          <w:szCs w:val="20"/>
          <w:color w:val="auto"/>
        </w:rPr>
      </w:pPr>
      <w:r>
        <w:rPr>
          <w:rFonts w:ascii="Arial" w:cs="Arial" w:eastAsia="Arial" w:hAnsi="Arial"/>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The Company determined the fair value of the SVB March 2021 Note and SCI June 2021 Note common stock warrants at issuance using the Black-Scholes option-pricing model using the following assumptions: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SVB March 2021 Note Common Stock Warrants</w:t>
      </w:r>
    </w:p>
    <w:p>
      <w:pPr>
        <w:spacing w:after="0" w:line="49" w:lineRule="exact"/>
        <w:rPr>
          <w:sz w:val="20"/>
          <w:szCs w:val="20"/>
          <w:color w:val="auto"/>
        </w:rPr>
      </w:pPr>
    </w:p>
    <w:tbl>
      <w:tblPr>
        <w:tblLayout w:type="fixed"/>
        <w:tblInd w:w="860" w:type="dxa"/>
        <w:tblCellMar>
          <w:top w:w="0" w:type="dxa"/>
          <w:left w:w="0" w:type="dxa"/>
          <w:bottom w:w="0" w:type="dxa"/>
          <w:right w:w="0" w:type="dxa"/>
        </w:tblCellMar>
      </w:tblPr>
      <w:tr>
        <w:trPr>
          <w:trHeight w:val="263"/>
        </w:trPr>
        <w:tc>
          <w:tcPr>
            <w:tcW w:w="6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40"/>
        </w:trPr>
        <w:tc>
          <w:tcPr>
            <w:tcW w:w="63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467"/>
        </w:trPr>
        <w:tc>
          <w:tcPr>
            <w:tcW w:w="6340" w:type="dxa"/>
            <w:vAlign w:val="bottom"/>
          </w:tcPr>
          <w:p>
            <w:pPr>
              <w:spacing w:after="0"/>
              <w:rPr>
                <w:sz w:val="20"/>
                <w:szCs w:val="20"/>
                <w:color w:val="auto"/>
              </w:rPr>
            </w:pPr>
            <w:r>
              <w:rPr>
                <w:rFonts w:ascii="Arial" w:cs="Arial" w:eastAsia="Arial" w:hAnsi="Arial"/>
                <w:sz w:val="16"/>
                <w:szCs w:val="16"/>
                <w:b w:val="1"/>
                <w:bCs w:val="1"/>
                <w:i w:val="1"/>
                <w:iCs w:val="1"/>
                <w:color w:val="auto"/>
              </w:rPr>
              <w:t>SCI June 2021 Note Common Stock Warrants</w:t>
            </w:r>
          </w:p>
        </w:tc>
        <w:tc>
          <w:tcPr>
            <w:tcW w:w="1360" w:type="dxa"/>
            <w:vAlign w:val="bottom"/>
          </w:tcPr>
          <w:p>
            <w:pPr>
              <w:spacing w:after="0"/>
              <w:rPr>
                <w:sz w:val="24"/>
                <w:szCs w:val="24"/>
                <w:color w:val="auto"/>
              </w:rPr>
            </w:pPr>
          </w:p>
        </w:tc>
      </w:tr>
      <w:tr>
        <w:trPr>
          <w:trHeight w:val="47"/>
        </w:trPr>
        <w:tc>
          <w:tcPr>
            <w:tcW w:w="6340" w:type="dxa"/>
            <w:vAlign w:val="bottom"/>
            <w:tcBorders>
              <w:bottom w:val="single" w:sz="8" w:color="auto"/>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4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41"/>
        </w:trPr>
        <w:tc>
          <w:tcPr>
            <w:tcW w:w="63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Upon the Closing of the Business Combination, all outstanding warrants associated with the SVB March 2021 Note and SCI June 2021 Note were exercised, leading to a net issuance of 673,416 shares of Class A Common Stock.</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Derivative Liability (SNAP June 2020 Note)</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42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7"/>
        </w:trPr>
        <w:tc>
          <w:tcPr>
            <w:tcW w:w="64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Next Equity Financing</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Probability of SPAC/PIPE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40"/>
        </w:trPr>
        <w:tc>
          <w:tcPr>
            <w:tcW w:w="6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IPO</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6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4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40"/>
        </w:trPr>
        <w:tc>
          <w:tcPr>
            <w:tcW w:w="6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term (years)</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20"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expense, net on the consolidated statements of operations and comprehensive loss. The fair value of the embedded derivative was recorded as additional paid-in capital upon extinguishment on the consolidated balance sheet.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(cont.)</w:t>
      </w:r>
    </w:p>
    <w:p>
      <w:pPr>
        <w:spacing w:after="0" w:line="189"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 following table summarizes the fair value remeasurement of the embedded derivative for the years ended December 31, 2022 and 2021 (in thousands):</w:t>
      </w:r>
    </w:p>
    <w:p>
      <w:pPr>
        <w:spacing w:after="0" w:line="130"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ind w:left="6480"/>
        <w:spacing w:after="0"/>
        <w:tabs>
          <w:tab w:leader="none" w:pos="77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46355</wp:posOffset>
            </wp:positionV>
            <wp:extent cx="488632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86325" cy="179705"/>
                    </a:xfrm>
                    <a:prstGeom prst="rect">
                      <a:avLst/>
                    </a:prstGeom>
                    <a:noFill/>
                  </pic:spPr>
                </pic:pic>
              </a:graphicData>
            </a:graphic>
          </wp:anchor>
        </w:drawing>
      </w:r>
    </w:p>
    <w:p>
      <w:pPr>
        <w:spacing w:after="0" w:line="66" w:lineRule="exact"/>
        <w:rPr>
          <w:sz w:val="20"/>
          <w:szCs w:val="20"/>
          <w:color w:val="auto"/>
        </w:rPr>
      </w:pPr>
    </w:p>
    <w:p>
      <w:pPr>
        <w:ind w:left="860"/>
        <w:spacing w:after="0"/>
        <w:tabs>
          <w:tab w:leader="none" w:pos="6060" w:val="left"/>
          <w:tab w:leader="none" w:pos="6720" w:val="left"/>
          <w:tab w:leader="none" w:pos="7280" w:val="left"/>
          <w:tab w:leader="none" w:pos="7920" w:val="left"/>
        </w:tabs>
        <w:rPr>
          <w:sz w:val="20"/>
          <w:szCs w:val="20"/>
          <w:color w:val="auto"/>
        </w:rPr>
      </w:pPr>
      <w:r>
        <w:rPr>
          <w:rFonts w:ascii="Arial" w:cs="Arial" w:eastAsia="Arial" w:hAnsi="Arial"/>
          <w:sz w:val="18"/>
          <w:szCs w:val="18"/>
          <w:color w:val="auto"/>
        </w:rPr>
        <w:t>Remeasurement of conversion feature –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(606)</w:t>
        <w:tab/>
        <w:t>$</w:t>
      </w:r>
      <w:r>
        <w:rPr>
          <w:sz w:val="20"/>
          <w:szCs w:val="20"/>
          <w:color w:val="auto"/>
        </w:rPr>
        <w:tab/>
      </w:r>
      <w:r>
        <w:rPr>
          <w:rFonts w:ascii="Arial" w:cs="Arial" w:eastAsia="Arial" w:hAnsi="Arial"/>
          <w:sz w:val="16"/>
          <w:szCs w:val="16"/>
          <w:color w:val="auto"/>
        </w:rPr>
        <w:t>(1,108)</w:t>
      </w:r>
    </w:p>
    <w:p>
      <w:pPr>
        <w:spacing w:after="0" w:line="239"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The following table sets forth a summary of changes in fair value of the Company’s derivative liability and warrant liability for which fair value was determined by Level 3 inputs: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Derivative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Warrant</w:t>
            </w:r>
          </w:p>
        </w:tc>
      </w:tr>
      <w:tr>
        <w:trPr>
          <w:trHeight w:val="210"/>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Liability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Liability</w:t>
            </w:r>
          </w:p>
        </w:tc>
      </w:tr>
      <w:tr>
        <w:trPr>
          <w:trHeight w:val="46"/>
        </w:trPr>
        <w:tc>
          <w:tcPr>
            <w:tcW w:w="52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2,004</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3,812</w:t>
            </w: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(5,816)</w:t>
            </w: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40"/>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Extinguishment of embedded derivative upon conversion of</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4"/>
        </w:trPr>
        <w:tc>
          <w:tcPr>
            <w:tcW w:w="5200" w:type="dxa"/>
            <w:vAlign w:val="bottom"/>
          </w:tcPr>
          <w:p>
            <w:pPr>
              <w:ind w:left="180"/>
              <w:spacing w:after="0"/>
              <w:rPr>
                <w:sz w:val="20"/>
                <w:szCs w:val="20"/>
                <w:color w:val="auto"/>
              </w:rPr>
            </w:pPr>
            <w:r>
              <w:rPr>
                <w:rFonts w:ascii="Arial" w:cs="Arial" w:eastAsia="Arial" w:hAnsi="Arial"/>
                <w:sz w:val="18"/>
                <w:szCs w:val="18"/>
                <w:color w:val="auto"/>
              </w:rPr>
              <w:t>convertible note</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There were no transfers of financial instruments between the three levels of the fair value hierarchy during the years ended December 31, 2022 and 2021.</w:t>
      </w:r>
    </w:p>
    <w:p>
      <w:pPr>
        <w:spacing w:after="0" w:line="166" w:lineRule="exact"/>
        <w:rPr>
          <w:sz w:val="20"/>
          <w:szCs w:val="20"/>
          <w:color w:val="auto"/>
        </w:rPr>
      </w:pPr>
    </w:p>
    <w:p>
      <w:pPr>
        <w:ind w:left="840" w:hanging="386"/>
        <w:spacing w:after="0"/>
        <w:tabs>
          <w:tab w:leader="none" w:pos="8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 summary of the Legacy SoundHound Preferred Stock authorized, issued and outstanding as of the date of the Business Combination is as follows</w:t>
      </w:r>
      <w:r>
        <w:rPr>
          <w:rFonts w:ascii="Arial" w:cs="Arial" w:eastAsia="Arial" w:hAnsi="Arial"/>
          <w:sz w:val="18"/>
          <w:szCs w:val="18"/>
          <w:i w:val="1"/>
          <w:iCs w:val="1"/>
          <w:color w:val="auto"/>
        </w:rPr>
        <w:t>:</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Liquidation</w:t>
            </w:r>
          </w:p>
        </w:tc>
        <w:tc>
          <w:tcPr>
            <w:tcW w:w="200" w:type="dxa"/>
            <w:vAlign w:val="bottom"/>
          </w:tcPr>
          <w:p>
            <w:pPr>
              <w:spacing w:after="0"/>
              <w:rPr>
                <w:sz w:val="17"/>
                <w:szCs w:val="17"/>
                <w:color w:val="auto"/>
              </w:rPr>
            </w:pPr>
          </w:p>
        </w:tc>
        <w:tc>
          <w:tcPr>
            <w:tcW w:w="108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r>
      <w:tr>
        <w:trPr>
          <w:trHeight w:val="210"/>
        </w:trPr>
        <w:tc>
          <w:tcPr>
            <w:tcW w:w="27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Authorized</w:t>
            </w: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Issued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Preference</w:t>
            </w:r>
          </w:p>
        </w:tc>
        <w:tc>
          <w:tcPr>
            <w:tcW w:w="20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6"/>
                <w:szCs w:val="16"/>
                <w:b w:val="1"/>
                <w:bCs w:val="1"/>
                <w:color w:val="auto"/>
              </w:rPr>
              <w:t>Value</w:t>
            </w:r>
          </w:p>
        </w:tc>
      </w:tr>
      <w:tr>
        <w:trPr>
          <w:trHeight w:val="47"/>
        </w:trPr>
        <w:tc>
          <w:tcPr>
            <w:tcW w:w="27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86"/>
              </w:rPr>
              <w:t>19,106,048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B</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33,702,134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33,702,134</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66,360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40"/>
        </w:trPr>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5,687,525</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5,687,525</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38,163</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C-1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4,436,090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4,436,090</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89,298</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40"/>
        </w:trPr>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20,258,299</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20,258,299</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527,992</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D-1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8,418,535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8,418,535</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277,812</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40"/>
        </w:trPr>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D-2</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8,418,530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8,418,530</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277,811</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D-3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6,922,165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6,922,165</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276,887</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40"/>
        </w:trPr>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D-3A</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20,835,869</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44"/>
        </w:trPr>
        <w:tc>
          <w:tcPr>
            <w:tcW w:w="27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127,785,195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106,949,326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1,582,562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279,503</w:t>
            </w:r>
          </w:p>
        </w:tc>
      </w:tr>
      <w:tr>
        <w:trPr>
          <w:trHeight w:val="20"/>
        </w:trPr>
        <w:tc>
          <w:tcPr>
            <w:tcW w:w="2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Upon the closing of the Business Combination, the outstanding shares of Series A, B, C, C-1, D, D-1, D-2, and D-3 preferred stock were converted into 106,949,326 shares of SoundHound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December 31, 2022.</w:t>
      </w:r>
    </w:p>
    <w:p>
      <w:pPr>
        <w:spacing w:after="0" w:line="1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tab/>
        <w:t>COMMON STOCK</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Company had 250,030,433 shares of Legacy SoundHound common stock authorized for issuance prior to the closing of the Business Combination.</w:t>
      </w:r>
    </w:p>
    <w:p>
      <w:pPr>
        <w:spacing w:after="0" w:line="89"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1" w:lineRule="exact"/>
        <w:rPr>
          <w:sz w:val="20"/>
          <w:szCs w:val="20"/>
          <w:color w:val="auto"/>
        </w:rPr>
      </w:pPr>
    </w:p>
    <w:p>
      <w:pPr>
        <w:jc w:val="both"/>
        <w:ind w:left="880" w:right="459" w:firstLine="6"/>
        <w:spacing w:after="0" w:line="255" w:lineRule="auto"/>
        <w:tabs>
          <w:tab w:leader="none" w:pos="11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22"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9"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tab/>
        <w:t>STOCK INCENTIVE PLANS</w:t>
      </w:r>
    </w:p>
    <w:p>
      <w:pPr>
        <w:spacing w:after="0" w:line="148"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97"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 As of December 31, 2022, the Company had 2,640,309 awards remaining for issuance under the 2016 Plan.</w:t>
      </w:r>
    </w:p>
    <w:p>
      <w:pPr>
        <w:spacing w:after="0" w:line="118"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December 31, 2022, the Company had 1,929,334 awards remaining for issuance under the 2022 Incentive Plan.</w:t>
      </w:r>
    </w:p>
    <w:p>
      <w:pPr>
        <w:spacing w:after="0" w:line="9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2022, we had not yet issued any shares pursuant to the ESPP.</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STOCK INCENTIVE PLANS </w:t>
      </w:r>
      <w:r>
        <w:rPr>
          <w:rFonts w:ascii="Arial" w:cs="Arial" w:eastAsia="Arial" w:hAnsi="Arial"/>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Option Activity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Stock option activity under the Plans was as follows for the years ended December 31, 2022 and 2021:</w:t>
      </w:r>
    </w:p>
    <w:p>
      <w:pPr>
        <w:spacing w:after="0" w:line="222"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7"/>
                <w:szCs w:val="17"/>
                <w:color w:val="auto"/>
              </w:rPr>
            </w:pPr>
          </w:p>
        </w:tc>
        <w:tc>
          <w:tcPr>
            <w:tcW w:w="1180" w:type="dxa"/>
            <w:vAlign w:val="bottom"/>
          </w:tcPr>
          <w:p>
            <w:pPr>
              <w:jc w:val="center"/>
              <w:ind w:right="1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Contractual</w:t>
            </w:r>
          </w:p>
        </w:tc>
        <w:tc>
          <w:tcPr>
            <w:tcW w:w="100" w:type="dxa"/>
            <w:vAlign w:val="bottom"/>
          </w:tcPr>
          <w:p>
            <w:pPr>
              <w:spacing w:after="0"/>
              <w:rPr>
                <w:sz w:val="17"/>
                <w:szCs w:val="17"/>
                <w:color w:val="auto"/>
              </w:rPr>
            </w:pPr>
          </w:p>
        </w:tc>
        <w:tc>
          <w:tcPr>
            <w:tcW w:w="1180" w:type="dxa"/>
            <w:vAlign w:val="bottom"/>
          </w:tcPr>
          <w:p>
            <w:pPr>
              <w:jc w:val="center"/>
              <w:ind w:right="15"/>
              <w:spacing w:after="0"/>
              <w:rPr>
                <w:sz w:val="20"/>
                <w:szCs w:val="20"/>
                <w:color w:val="auto"/>
              </w:rPr>
            </w:pPr>
            <w:r>
              <w:rPr>
                <w:rFonts w:ascii="Arial" w:cs="Arial" w:eastAsia="Arial" w:hAnsi="Arial"/>
                <w:sz w:val="16"/>
                <w:szCs w:val="16"/>
                <w:b w:val="1"/>
                <w:bCs w:val="1"/>
                <w:color w:val="auto"/>
                <w:w w:val="95"/>
              </w:rPr>
              <w:t>Intrinsic Value</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Exercise Price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Term (Years)</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46"/>
        </w:trPr>
        <w:tc>
          <w:tcPr>
            <w:tcW w:w="27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28,772,180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6,303,953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(2,590,780)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(2,123,948)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30,361,405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391,619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(3,595,706)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(1,736,893)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25,420,425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December 31, 2022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3.04</w:t>
            </w:r>
          </w:p>
        </w:tc>
        <w:tc>
          <w:tcPr>
            <w:tcW w:w="124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line="20" w:lineRule="exact"/>
              <w:rPr>
                <w:sz w:val="1"/>
                <w:szCs w:val="1"/>
                <w:color w:val="auto"/>
              </w:rPr>
            </w:pPr>
          </w:p>
        </w:tc>
      </w:tr>
      <w:tr>
        <w:trPr>
          <w:trHeight w:val="217"/>
        </w:trPr>
        <w:tc>
          <w:tcPr>
            <w:tcW w:w="272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18,952,826</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2022 and 2021 that were subject to repurchase.</w:t>
      </w:r>
    </w:p>
    <w:p>
      <w:pPr>
        <w:spacing w:after="0" w:line="119" w:lineRule="exact"/>
        <w:rPr>
          <w:sz w:val="20"/>
          <w:szCs w:val="20"/>
          <w:color w:val="auto"/>
        </w:rPr>
      </w:pPr>
    </w:p>
    <w:p>
      <w:pPr>
        <w:jc w:val="both"/>
        <w:ind w:left="880" w:right="479"/>
        <w:spacing w:after="0" w:line="255" w:lineRule="auto"/>
        <w:rPr>
          <w:sz w:val="20"/>
          <w:szCs w:val="20"/>
          <w:color w:val="auto"/>
        </w:rPr>
      </w:pPr>
      <w:r>
        <w:rPr>
          <w:rFonts w:ascii="Arial" w:cs="Arial" w:eastAsia="Arial" w:hAnsi="Arial"/>
          <w:sz w:val="18"/>
          <w:szCs w:val="18"/>
          <w:color w:val="auto"/>
        </w:rPr>
        <w:t>The weighted average grant date fair value per option granted was $3.11 and $3.06, during the years ended December 31, 2022 and 2021, respectively. The total fair value of options vested was approximately $9.9 million and $5.4 million, during the years ended December 31, 2022 and 2021, respectively. As of December 31, 2022, the unamortized expense related to outstanding options was $15.3 million. The weighted average remaining amortization period over which the balance as of December 31, 2022 is to be amortized is 2.33 years.</w:t>
      </w:r>
    </w:p>
    <w:p>
      <w:pPr>
        <w:spacing w:after="0" w:line="111"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For the purpose of determining the estimated fair value of share-based payment awards issued in the form of stock options, the Company uses the Black-Scholes option-pricing model. The assumptions under the Black-Scholes option-pricing model during the years ended December 31, 2022 and 2021 were as follows for option awards: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700" w:type="dxa"/>
            <w:vAlign w:val="bottom"/>
            <w:gridSpan w:val="3"/>
          </w:tcPr>
          <w:p>
            <w:pPr>
              <w:ind w:left="860"/>
              <w:spacing w:after="0"/>
              <w:rPr>
                <w:sz w:val="20"/>
                <w:szCs w:val="20"/>
                <w:color w:val="auto"/>
              </w:rPr>
            </w:pPr>
            <w:r>
              <w:rPr>
                <w:rFonts w:ascii="Arial" w:cs="Arial" w:eastAsia="Arial" w:hAnsi="Arial"/>
                <w:sz w:val="16"/>
                <w:szCs w:val="16"/>
                <w:b w:val="1"/>
                <w:bCs w:val="1"/>
                <w:color w:val="auto"/>
                <w:w w:val="93"/>
              </w:rPr>
              <w:t>Year Ended</w:t>
            </w:r>
          </w:p>
        </w:tc>
        <w:tc>
          <w:tcPr>
            <w:tcW w:w="840" w:type="dxa"/>
            <w:vAlign w:val="bottom"/>
          </w:tcPr>
          <w:p>
            <w:pPr>
              <w:spacing w:after="0"/>
              <w:rPr>
                <w:sz w:val="17"/>
                <w:szCs w:val="17"/>
                <w:color w:val="auto"/>
              </w:rPr>
            </w:pPr>
          </w:p>
        </w:tc>
      </w:tr>
      <w:tr>
        <w:trPr>
          <w:trHeight w:val="210"/>
        </w:trPr>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4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4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4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800" w:type="dxa"/>
            <w:vAlign w:val="bottom"/>
            <w:gridSpan w:val="2"/>
          </w:tcPr>
          <w:p>
            <w:pPr>
              <w:jc w:val="right"/>
              <w:ind w:right="336"/>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2021</w:t>
            </w:r>
          </w:p>
        </w:tc>
      </w:tr>
      <w:tr>
        <w:trPr>
          <w:trHeight w:val="47"/>
        </w:trPr>
        <w:tc>
          <w:tcPr>
            <w:tcW w:w="400" w:type="dxa"/>
            <w:vAlign w:val="bottom"/>
          </w:tcPr>
          <w:p>
            <w:pPr>
              <w:spacing w:after="0"/>
              <w:rPr>
                <w:sz w:val="4"/>
                <w:szCs w:val="4"/>
                <w:color w:val="auto"/>
              </w:rPr>
            </w:pPr>
          </w:p>
        </w:tc>
        <w:tc>
          <w:tcPr>
            <w:tcW w:w="2540" w:type="dxa"/>
            <w:vAlign w:val="bottom"/>
            <w:tcBorders>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40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0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Expected volatility</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0"/>
        </w:trPr>
        <w:tc>
          <w:tcPr>
            <w:tcW w:w="4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40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8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5.88</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6.01</w:t>
            </w:r>
          </w:p>
        </w:tc>
      </w:tr>
      <w:tr>
        <w:trPr>
          <w:trHeight w:val="243"/>
        </w:trPr>
        <w:tc>
          <w:tcPr>
            <w:tcW w:w="40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color w:val="auto"/>
              </w:rPr>
              <w:t>F-34</w:t>
            </w: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STOCK INCENTIVE PLANS </w:t>
      </w:r>
      <w:r>
        <w:rPr>
          <w:rFonts w:ascii="Arial" w:cs="Arial" w:eastAsia="Arial" w:hAnsi="Arial"/>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ESPP Activity</w:t>
      </w:r>
    </w:p>
    <w:p>
      <w:pPr>
        <w:spacing w:after="0" w:line="14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For the purpose of determining the estimated fair value of ESPP shares, the Company uses the Black-Scholes option-pricing model. The assumptions under the Black-Scholes option-pricing model during the year ended December 31, 2022 were as follows for ESPP awards: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64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6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46"/>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0.52</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4.53%</w:t>
            </w:r>
          </w:p>
        </w:tc>
      </w:tr>
    </w:tbl>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Restricted Stock Unit Activity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Restricted stock unit activity under the Plans was as follows for the year ended December 31, 2022:</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5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2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52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Fair Value</w:t>
            </w:r>
          </w:p>
        </w:tc>
      </w:tr>
      <w:tr>
        <w:trPr>
          <w:trHeight w:val="46"/>
        </w:trPr>
        <w:tc>
          <w:tcPr>
            <w:tcW w:w="52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20,416,417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40"/>
        </w:trPr>
        <w:tc>
          <w:tcPr>
            <w:tcW w:w="5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(2,515,851)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(1,184,183)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5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16,716,383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recorded stock-based compensation expense of $0.4 million related to Performance-Based RSUs during the year ended December 31, 2022. Unamortized expense related to Performance-Based RSUs was $7.1 million as of December 31, 2022.</w:t>
      </w:r>
    </w:p>
    <w:p>
      <w:pPr>
        <w:spacing w:after="0" w:line="11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assumptions under the Monte Carlo simulation model and the calculated fair value of the Market-</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Based RSUs granted to employees during the year ended December 31, 2022 were as follows: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64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64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47"/>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4</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Drift rate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40"/>
        </w:trPr>
        <w:tc>
          <w:tcPr>
            <w:tcW w:w="64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weighted average grant date fair value of the Market-Based RSUs was $3.91. The Company recorded $1.1 million in stock-based compensation expense related to Market-Based RSUs during the year ended December 31, 2022. Unamortized expense related to Market-Based RSUs was $2.6 million as of December 31, 2022.</w:t>
      </w:r>
    </w:p>
    <w:p>
      <w:pPr>
        <w:spacing w:after="0" w:line="11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During the year ended December 31, 2022, the fair value of RSUs that vested was $12.0 million. During the year ended December 31, 2022, the Company recorded $19.0 million, of stock-based compensation related to RSUs. As of December 31, 2022, the unamortized expense related to RSUs was $55.6 million. The weighted average remaining amortization period over which the balance as of December 31, 2022 is to be amortized is 2.84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STOCK INCENTIVE PLANS </w:t>
      </w:r>
      <w:r>
        <w:rPr>
          <w:rFonts w:ascii="Arial" w:cs="Arial" w:eastAsia="Arial" w:hAnsi="Arial"/>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Compensation Costs</w:t>
      </w:r>
    </w:p>
    <w:p>
      <w:pPr>
        <w:spacing w:after="0" w:line="148"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consolidated statements of operations and comprehensive loss for the year ended December 31, 2022.</w:t>
      </w:r>
    </w:p>
    <w:p>
      <w:pPr>
        <w:spacing w:after="0" w:line="9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Stock-based compensation is classified in the following operating expense accounts on the consolidated statements of operations and comprehensive loss for the years ended December 31, 2022 and 2021 (in thousands):</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7"/>
                <w:szCs w:val="17"/>
                <w:color w:val="auto"/>
              </w:rPr>
            </w:pPr>
          </w:p>
        </w:tc>
      </w:tr>
      <w:tr>
        <w:trPr>
          <w:trHeight w:val="210"/>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35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2"/>
              <w:spacing w:after="0"/>
              <w:rPr>
                <w:sz w:val="20"/>
                <w:szCs w:val="20"/>
                <w:color w:val="auto"/>
              </w:rPr>
            </w:pPr>
            <w:r>
              <w:rPr>
                <w:rFonts w:ascii="Arial" w:cs="Arial" w:eastAsia="Arial" w:hAnsi="Arial"/>
                <w:sz w:val="16"/>
                <w:szCs w:val="16"/>
                <w:b w:val="1"/>
                <w:bCs w:val="1"/>
                <w:color w:val="auto"/>
                <w:w w:val="89"/>
              </w:rPr>
              <w:t>2021</w:t>
            </w:r>
          </w:p>
        </w:tc>
      </w:tr>
      <w:tr>
        <w:trPr>
          <w:trHeight w:val="46"/>
        </w:trPr>
        <w:tc>
          <w:tcPr>
            <w:tcW w:w="358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2,794</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41"/>
        </w:trPr>
        <w:tc>
          <w:tcPr>
            <w:tcW w:w="3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13,986</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11,913</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7"/>
        </w:trPr>
        <w:tc>
          <w:tcPr>
            <w:tcW w:w="35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28,792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LEASES</w:t>
      </w:r>
    </w:p>
    <w:p>
      <w:pPr>
        <w:spacing w:after="0" w:line="162"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9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Aggregate non-cancelable future minimum lease payments under operating and finance leases were as follows as of December 31, 2022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Finance</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Lease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320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2023</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3,758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2025</w:t>
            </w: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2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2027</w:t>
            </w: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400" w:type="dxa"/>
            <w:vAlign w:val="bottom"/>
          </w:tcPr>
          <w:p>
            <w:pPr>
              <w:spacing w:after="0"/>
              <w:rPr>
                <w:sz w:val="24"/>
                <w:szCs w:val="24"/>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Present value of lease liabilities</w:t>
            </w:r>
          </w:p>
        </w:tc>
        <w:tc>
          <w:tcPr>
            <w:tcW w:w="2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400" w:type="dxa"/>
            <w:vAlign w:val="bottom"/>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0" w:type="dxa"/>
            <w:vAlign w:val="bottom"/>
            <w:vMerge w:val="restart"/>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 w:type="dxa"/>
            <w:vAlign w:val="bottom"/>
          </w:tcPr>
          <w:p>
            <w:pPr>
              <w:spacing w:after="0"/>
              <w:rPr>
                <w:sz w:val="21"/>
                <w:szCs w:val="21"/>
                <w:color w:val="auto"/>
              </w:rPr>
            </w:pPr>
          </w:p>
        </w:tc>
        <w:tc>
          <w:tcPr>
            <w:tcW w:w="3200" w:type="dxa"/>
            <w:vAlign w:val="bottom"/>
            <w:vMerge w:val="continue"/>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5,715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50"/>
              <w:spacing w:after="0"/>
              <w:rPr>
                <w:sz w:val="20"/>
                <w:szCs w:val="20"/>
                <w:color w:val="auto"/>
              </w:rPr>
            </w:pPr>
            <w:r>
              <w:rPr>
                <w:rFonts w:ascii="Arial" w:cs="Arial" w:eastAsia="Arial" w:hAnsi="Arial"/>
                <w:sz w:val="18"/>
                <w:szCs w:val="18"/>
                <w:color w:val="auto"/>
              </w:rPr>
              <w:t>F-36</w:t>
            </w: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860" w:hanging="406"/>
        <w:spacing w:after="0"/>
        <w:tabs>
          <w:tab w:leader="none" w:pos="8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9"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The components of lease cost were as follows during the years ended December 31, 2022 and 2021 (in thousands):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rPr>
              <w:t>Year Ended</w:t>
            </w:r>
          </w:p>
        </w:tc>
        <w:tc>
          <w:tcPr>
            <w:tcW w:w="44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4"/>
              </w:rPr>
              <w:t>December 31,</w:t>
            </w:r>
          </w:p>
        </w:tc>
        <w:tc>
          <w:tcPr>
            <w:tcW w:w="440" w:type="dxa"/>
            <w:vAlign w:val="bottom"/>
          </w:tcPr>
          <w:p>
            <w:pPr>
              <w:spacing w:after="0"/>
              <w:rPr>
                <w:sz w:val="18"/>
                <w:szCs w:val="18"/>
                <w:color w:val="auto"/>
              </w:rPr>
            </w:pPr>
          </w:p>
        </w:tc>
      </w:tr>
      <w:tr>
        <w:trPr>
          <w:trHeight w:val="46"/>
        </w:trPr>
        <w:tc>
          <w:tcPr>
            <w:tcW w:w="4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404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20"/>
                <w:szCs w:val="20"/>
                <w:color w:val="auto"/>
              </w:rPr>
            </w:pPr>
          </w:p>
        </w:tc>
      </w:tr>
      <w:tr>
        <w:trPr>
          <w:trHeight w:val="47"/>
        </w:trPr>
        <w:tc>
          <w:tcPr>
            <w:tcW w:w="404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3,423</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3,654</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Short-term lease cost</w:t>
            </w:r>
          </w:p>
        </w:tc>
        <w:tc>
          <w:tcPr>
            <w:tcW w:w="18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40"/>
        </w:trPr>
        <w:tc>
          <w:tcPr>
            <w:tcW w:w="4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83"/>
        </w:trPr>
        <w:tc>
          <w:tcPr>
            <w:tcW w:w="40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Finance lease cost:</w:t>
            </w: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0"/>
        </w:trPr>
        <w:tc>
          <w:tcPr>
            <w:tcW w:w="4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finance leased assets</w:t>
            </w:r>
          </w:p>
        </w:tc>
        <w:tc>
          <w:tcPr>
            <w:tcW w:w="1880" w:type="dxa"/>
            <w:vAlign w:val="bottom"/>
            <w:tcBorders>
              <w:bottom w:val="single" w:sz="8" w:color="CCEEFF"/>
            </w:tcBorders>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2,575</w:t>
            </w: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18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472</w:t>
            </w: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table below presents additional information related to our leases as of December 31, 2022:</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Operating</w:t>
            </w:r>
          </w:p>
        </w:tc>
        <w:tc>
          <w:tcPr>
            <w:tcW w:w="1280" w:type="dxa"/>
            <w:vAlign w:val="bottom"/>
          </w:tcPr>
          <w:p>
            <w:pPr>
              <w:jc w:val="right"/>
              <w:ind w:right="275"/>
              <w:spacing w:after="0"/>
              <w:rPr>
                <w:sz w:val="20"/>
                <w:szCs w:val="20"/>
                <w:color w:val="auto"/>
              </w:rPr>
            </w:pPr>
            <w:r>
              <w:rPr>
                <w:rFonts w:ascii="Arial" w:cs="Arial" w:eastAsia="Arial" w:hAnsi="Arial"/>
                <w:sz w:val="16"/>
                <w:szCs w:val="16"/>
                <w:b w:val="1"/>
                <w:bCs w:val="1"/>
                <w:color w:val="auto"/>
              </w:rPr>
              <w:t>Finance</w:t>
            </w:r>
          </w:p>
        </w:tc>
      </w:tr>
      <w:tr>
        <w:trPr>
          <w:trHeight w:val="210"/>
        </w:trPr>
        <w:tc>
          <w:tcPr>
            <w:tcW w:w="516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3"/>
              </w:rPr>
              <w:t>Lease</w:t>
            </w:r>
          </w:p>
        </w:tc>
        <w:tc>
          <w:tcPr>
            <w:tcW w:w="1280" w:type="dxa"/>
            <w:vAlign w:val="bottom"/>
          </w:tcPr>
          <w:p>
            <w:pPr>
              <w:jc w:val="right"/>
              <w:ind w:right="355"/>
              <w:spacing w:after="0"/>
              <w:rPr>
                <w:sz w:val="20"/>
                <w:szCs w:val="20"/>
                <w:color w:val="auto"/>
              </w:rPr>
            </w:pPr>
            <w:r>
              <w:rPr>
                <w:rFonts w:ascii="Arial" w:cs="Arial" w:eastAsia="Arial" w:hAnsi="Arial"/>
                <w:sz w:val="16"/>
                <w:szCs w:val="16"/>
                <w:b w:val="1"/>
                <w:bCs w:val="1"/>
                <w:color w:val="auto"/>
              </w:rPr>
              <w:t>Lease</w:t>
            </w:r>
          </w:p>
        </w:tc>
      </w:tr>
      <w:tr>
        <w:trPr>
          <w:trHeight w:val="46"/>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80" w:type="dxa"/>
            <w:vAlign w:val="bottom"/>
          </w:tcPr>
          <w:p>
            <w:pPr>
              <w:ind w:left="700"/>
              <w:spacing w:after="0"/>
              <w:rPr>
                <w:sz w:val="20"/>
                <w:szCs w:val="20"/>
                <w:color w:val="auto"/>
              </w:rPr>
            </w:pPr>
            <w:r>
              <w:rPr>
                <w:rFonts w:ascii="Arial" w:cs="Arial" w:eastAsia="Arial" w:hAnsi="Arial"/>
                <w:sz w:val="18"/>
                <w:szCs w:val="18"/>
                <w:color w:val="auto"/>
                <w:w w:val="90"/>
              </w:rPr>
              <w:t>5.89%</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10.80%</w:t>
            </w:r>
          </w:p>
        </w:tc>
      </w:tr>
    </w:tbl>
    <w:p>
      <w:pPr>
        <w:spacing w:after="0" w:line="202"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The Company’s rent expense totaled approximately $3.9 million and $4.2 million during the years ended December 31, 2022 and 2021, respectively.</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OTHER EXPENSE, NET</w:t>
      </w:r>
    </w:p>
    <w:p>
      <w:pPr>
        <w:spacing w:after="0" w:line="162"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Other expense, net on the consolidated statements of operations and comprehensive loss is comprised of the following for the years ended December 31, 2022 and 2021 (in thousands):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701"/>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32"/>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20"/>
                <w:szCs w:val="20"/>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390</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7</w:t>
            </w: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and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(4,920)</w:t>
            </w:r>
          </w:p>
        </w:tc>
      </w:tr>
      <w:tr>
        <w:trPr>
          <w:trHeight w:val="257"/>
        </w:trPr>
        <w:tc>
          <w:tcPr>
            <w:tcW w:w="52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(502)</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NET LOSS PER SHARE</w:t>
      </w:r>
    </w:p>
    <w:p>
      <w:pPr>
        <w:spacing w:after="0" w:line="162"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for the years ended December 31, 2022 and 2021:</w:t>
      </w:r>
    </w:p>
    <w:p>
      <w:pPr>
        <w:spacing w:after="0" w:line="130"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Net loss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(115,373)</w:t>
            </w:r>
          </w:p>
        </w:tc>
        <w:tc>
          <w:tcPr>
            <w:tcW w:w="10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(79,540)</w:t>
            </w:r>
          </w:p>
        </w:tc>
      </w:tr>
      <w:tr>
        <w:trPr>
          <w:trHeight w:val="40"/>
        </w:trPr>
        <w:tc>
          <w:tcPr>
            <w:tcW w:w="5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304"/>
        </w:trPr>
        <w:tc>
          <w:tcPr>
            <w:tcW w:w="5180" w:type="dxa"/>
            <w:vAlign w:val="bottom"/>
          </w:tcPr>
          <w:p>
            <w:pPr>
              <w:ind w:left="180"/>
              <w:spacing w:after="0"/>
              <w:rPr>
                <w:sz w:val="20"/>
                <w:szCs w:val="20"/>
                <w:color w:val="auto"/>
              </w:rPr>
            </w:pPr>
            <w:r>
              <w:rPr>
                <w:rFonts w:ascii="Arial" w:cs="Arial" w:eastAsia="Arial" w:hAnsi="Arial"/>
                <w:sz w:val="18"/>
                <w:szCs w:val="18"/>
                <w:color w:val="auto"/>
              </w:rPr>
              <w:t>Weighted average shares outstanding – basic and dilutive</w:t>
            </w: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157,317,695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67,255,538</w:t>
            </w:r>
          </w:p>
        </w:tc>
      </w:tr>
      <w:tr>
        <w:trPr>
          <w:trHeight w:val="224"/>
        </w:trPr>
        <w:tc>
          <w:tcPr>
            <w:tcW w:w="51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Basic and diluted net loss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right="479"/>
        <w:spacing w:after="0" w:line="308" w:lineRule="auto"/>
        <w:rPr>
          <w:sz w:val="20"/>
          <w:szCs w:val="20"/>
          <w:color w:val="auto"/>
        </w:rPr>
      </w:pPr>
      <w:r>
        <w:rPr>
          <w:rFonts w:ascii="Arial" w:cs="Arial" w:eastAsia="Arial" w:hAnsi="Arial"/>
          <w:sz w:val="17"/>
          <w:szCs w:val="17"/>
          <w:color w:val="auto"/>
        </w:rPr>
        <w:t>For the years ended December 31, 2022 and 2021, the diluted earnings per share is equal to the basic earnings per share as the effect of potentially dilutive securities would have been antidilutive.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 xml:space="preserve">NET LOSS PER SHARE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2022 and 2021:</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12"/>
          </w:tcPr>
          <w:p>
            <w:pPr>
              <w:jc w:val="center"/>
              <w:ind w:right="141"/>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12"/>
          </w:tcPr>
          <w:p>
            <w:pPr>
              <w:jc w:val="center"/>
              <w:ind w:right="14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25,420,425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30,361,405</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w w:val="99"/>
              </w:rPr>
              <w:t>16,716,383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ESPP stock units</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476,636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3,665,996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1,063,214</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106,949,326</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46,279,440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138,373,945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17.  INCOME TAXES</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5420" w:type="dxa"/>
            <w:vAlign w:val="bottom"/>
            <w:gridSpan w:val="4"/>
          </w:tcPr>
          <w:p>
            <w:pPr>
              <w:ind w:left="20"/>
              <w:spacing w:after="0"/>
              <w:rPr>
                <w:sz w:val="20"/>
                <w:szCs w:val="20"/>
                <w:color w:val="auto"/>
              </w:rPr>
            </w:pPr>
            <w:r>
              <w:rPr>
                <w:rFonts w:ascii="Arial" w:cs="Arial" w:eastAsia="Arial" w:hAnsi="Arial"/>
                <w:sz w:val="18"/>
                <w:szCs w:val="18"/>
                <w:color w:val="auto"/>
                <w:w w:val="94"/>
              </w:rPr>
              <w:t>The following is a geographical breakdown of loss before income taxes: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12"/>
          </w:tcPr>
          <w:p>
            <w:pPr>
              <w:jc w:val="center"/>
              <w:ind w:right="141"/>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12"/>
          </w:tcPr>
          <w:p>
            <w:pPr>
              <w:jc w:val="center"/>
              <w:ind w:right="14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(115,624)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(79,962)</w:t>
            </w: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3"/>
          </w:tcPr>
          <w:p>
            <w:pPr>
              <w:jc w:val="right"/>
              <w:ind w:right="1"/>
              <w:spacing w:after="0"/>
              <w:rPr>
                <w:sz w:val="20"/>
                <w:szCs w:val="20"/>
                <w:color w:val="auto"/>
              </w:rPr>
            </w:pPr>
            <w:r>
              <w:rPr>
                <w:rFonts w:ascii="Arial" w:cs="Arial" w:eastAsia="Arial" w:hAnsi="Arial"/>
                <w:sz w:val="18"/>
                <w:szCs w:val="18"/>
                <w:color w:val="auto"/>
              </w:rPr>
              <w:t>3,140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8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(112,484</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gridSpan w:val="4"/>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The provision for income taxes consisted of the following:</w:t>
            </w: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9"/>
          </w:tcPr>
          <w:p>
            <w:pPr>
              <w:jc w:val="right"/>
              <w:spacing w:after="0"/>
              <w:rPr>
                <w:sz w:val="20"/>
                <w:szCs w:val="20"/>
                <w:color w:val="auto"/>
              </w:rPr>
            </w:pPr>
            <w:r>
              <w:rPr>
                <w:rFonts w:ascii="Arial" w:cs="Arial" w:eastAsia="Arial" w:hAnsi="Arial"/>
                <w:sz w:val="16"/>
                <w:szCs w:val="16"/>
                <w:b w:val="1"/>
                <w:bCs w:val="1"/>
                <w:color w:val="auto"/>
              </w:rPr>
              <w:t>Year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12"/>
          </w:tcPr>
          <w:p>
            <w:pPr>
              <w:jc w:val="right"/>
              <w:ind w:right="76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0" w:type="dxa"/>
            <w:vAlign w:val="bottom"/>
            <w:tcBorders>
              <w:right w:val="single" w:sz="8" w:color="CCEEFF"/>
            </w:tcBorders>
          </w:tcPr>
          <w:p>
            <w:pPr>
              <w:spacing w:after="0"/>
              <w:rPr>
                <w:sz w:val="22"/>
                <w:szCs w:val="22"/>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center"/>
              <w:ind w:right="227"/>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Borders>
              <w:right w:val="single" w:sz="8" w:color="CCEEFF"/>
            </w:tcBorders>
          </w:tcPr>
          <w:p>
            <w:pPr>
              <w:spacing w:after="0"/>
              <w:rPr>
                <w:sz w:val="22"/>
                <w:szCs w:val="22"/>
                <w:color w:val="auto"/>
              </w:rPr>
            </w:pPr>
          </w:p>
        </w:tc>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 w:type="dxa"/>
            <w:vAlign w:val="bottom"/>
            <w:tcBorders>
              <w:right w:val="single" w:sz="8" w:color="CCEEFF"/>
            </w:tcBorders>
          </w:tcPr>
          <w:p>
            <w:pPr>
              <w:spacing w:after="0"/>
              <w:rPr>
                <w:sz w:val="22"/>
                <w:szCs w:val="22"/>
                <w:color w:val="auto"/>
              </w:rPr>
            </w:pPr>
          </w:p>
        </w:tc>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provision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4"/>
            <w:shd w:val="clear" w:color="auto" w:fill="CCEEFF"/>
          </w:tcPr>
          <w:p>
            <w:pPr>
              <w:jc w:val="center"/>
              <w:ind w:right="22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Deferred provision:</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gridSpan w:val="3"/>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Borders>
              <w:right w:val="single" w:sz="8" w:color="CCEEFF"/>
            </w:tcBorders>
          </w:tcPr>
          <w:p>
            <w:pPr>
              <w:spacing w:after="0"/>
              <w:rPr>
                <w:sz w:val="22"/>
                <w:szCs w:val="22"/>
                <w:color w:val="auto"/>
              </w:rPr>
            </w:pPr>
          </w:p>
        </w:tc>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4"/>
            <w:shd w:val="clear" w:color="auto" w:fill="CCEEFF"/>
          </w:tcPr>
          <w:p>
            <w:pPr>
              <w:jc w:val="center"/>
              <w:ind w:right="227"/>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0" w:type="dxa"/>
            <w:vAlign w:val="bottom"/>
            <w:tcBorders>
              <w:right w:val="single" w:sz="8" w:color="CCEEFF"/>
            </w:tcBorders>
          </w:tcPr>
          <w:p>
            <w:pPr>
              <w:spacing w:after="0"/>
              <w:rPr>
                <w:sz w:val="24"/>
                <w:szCs w:val="24"/>
                <w:color w:val="auto"/>
              </w:rPr>
            </w:pPr>
          </w:p>
        </w:tc>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deferred provision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gridSpan w:val="3"/>
          </w:tcPr>
          <w:p>
            <w:pPr>
              <w:jc w:val="center"/>
              <w:ind w:right="24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Borders>
              <w:right w:val="single" w:sz="8" w:color="CCEEFF"/>
            </w:tcBorders>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3"/>
            <w:shd w:val="clear" w:color="auto" w:fill="CCEEFF"/>
          </w:tcPr>
          <w:p>
            <w:pPr>
              <w:jc w:val="center"/>
              <w:ind w:right="24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380"/>
              <w:spacing w:after="0"/>
              <w:rPr>
                <w:sz w:val="20"/>
                <w:szCs w:val="20"/>
                <w:color w:val="auto"/>
              </w:rPr>
            </w:pPr>
            <w:r>
              <w:rPr>
                <w:rFonts w:ascii="Arial" w:cs="Arial" w:eastAsia="Arial" w:hAnsi="Arial"/>
                <w:sz w:val="18"/>
                <w:szCs w:val="18"/>
                <w:color w:val="auto"/>
              </w:rPr>
              <w:t>Effective income tax expense rate</w:t>
            </w: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The Company has incurred net pre-tax losses in the United States only for all periods presented. The Company recorded an income tax expense of $2.9 million and $0.5 million for the years ended December 31, 2022 and 2021, respectively, which reflects withholding tax paid on the U.S. books for sales in foreign jurisdictions and estimated 2022 income tax related to foreign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w:t>
      </w:r>
    </w:p>
    <w:p>
      <w:pPr>
        <w:spacing w:after="0" w:line="189"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The provision for income taxes differed from the amount computed by applying the federal statutory rate to our income before income taxes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7"/>
          </w:tcPr>
          <w:p>
            <w:pPr>
              <w:jc w:val="center"/>
              <w:ind w:left="452"/>
              <w:spacing w:after="0"/>
              <w:rPr>
                <w:sz w:val="20"/>
                <w:szCs w:val="20"/>
                <w:color w:val="auto"/>
              </w:rPr>
            </w:pPr>
            <w:r>
              <w:rPr>
                <w:rFonts w:ascii="Arial" w:cs="Arial" w:eastAsia="Arial" w:hAnsi="Arial"/>
                <w:sz w:val="16"/>
                <w:szCs w:val="16"/>
                <w:b w:val="1"/>
                <w:bCs w:val="1"/>
                <w:color w:val="auto"/>
                <w:w w:val="93"/>
              </w:rPr>
              <w:t>Year Ended</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10"/>
          </w:tcPr>
          <w:p>
            <w:pPr>
              <w:jc w:val="center"/>
              <w:ind w:right="20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jc w:val="right"/>
              <w:ind w:right="211"/>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Tax provision at statutory rate</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(23,622)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41"/>
              <w:spacing w:after="0"/>
              <w:rPr>
                <w:sz w:val="20"/>
                <w:szCs w:val="20"/>
                <w:color w:val="auto"/>
              </w:rPr>
            </w:pPr>
            <w:r>
              <w:rPr>
                <w:rFonts w:ascii="Arial" w:cs="Arial" w:eastAsia="Arial" w:hAnsi="Arial"/>
                <w:sz w:val="18"/>
                <w:szCs w:val="18"/>
                <w:color w:val="auto"/>
              </w:rPr>
              <w:t>(16,608)</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income tax rate</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Foreign withholding and income tax</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41"/>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24,272</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Permanent book tax differences</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1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0" w:type="dxa"/>
            <w:vAlign w:val="bottom"/>
          </w:tcPr>
          <w:p>
            <w:pPr>
              <w:spacing w:after="0"/>
              <w:rPr>
                <w:sz w:val="24"/>
                <w:szCs w:val="24"/>
                <w:color w:val="auto"/>
              </w:rPr>
            </w:pPr>
          </w:p>
        </w:tc>
        <w:tc>
          <w:tcPr>
            <w:tcW w:w="5440" w:type="dxa"/>
            <w:vAlign w:val="bottom"/>
            <w:gridSpan w:val="4"/>
          </w:tcPr>
          <w:p>
            <w:pPr>
              <w:ind w:left="20"/>
              <w:spacing w:after="0"/>
              <w:rPr>
                <w:sz w:val="20"/>
                <w:szCs w:val="20"/>
                <w:color w:val="auto"/>
              </w:rPr>
            </w:pPr>
            <w:r>
              <w:rPr>
                <w:rFonts w:ascii="Arial" w:cs="Arial" w:eastAsia="Arial" w:hAnsi="Arial"/>
                <w:sz w:val="18"/>
                <w:szCs w:val="18"/>
                <w:color w:val="auto"/>
                <w:w w:val="92"/>
              </w:rPr>
              <w:t>The components of our deferred tax assets and liabilities were as follows: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7"/>
          </w:tcPr>
          <w:p>
            <w:pPr>
              <w:jc w:val="center"/>
              <w:ind w:left="492"/>
              <w:spacing w:after="0"/>
              <w:rPr>
                <w:sz w:val="20"/>
                <w:szCs w:val="20"/>
                <w:color w:val="auto"/>
              </w:rPr>
            </w:pPr>
            <w:r>
              <w:rPr>
                <w:rFonts w:ascii="Arial" w:cs="Arial" w:eastAsia="Arial" w:hAnsi="Arial"/>
                <w:sz w:val="16"/>
                <w:szCs w:val="16"/>
                <w:b w:val="1"/>
                <w:bCs w:val="1"/>
                <w:color w:val="auto"/>
                <w:w w:val="93"/>
              </w:rPr>
              <w:t>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10"/>
          </w:tcPr>
          <w:p>
            <w:pPr>
              <w:jc w:val="center"/>
              <w:ind w:right="16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jc w:val="right"/>
              <w:ind w:right="211"/>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79,060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70,808</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13,809</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10,650</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Property and equipment and intangible assets</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1,612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Contract liability</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3,062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174 research and development capitalization</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13,319</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Total deferred tax assets</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114,057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91,324</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(112,204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(86,695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Total deferred tax assets, net</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color w:val="auto"/>
              </w:rPr>
              <w:t>(1,811)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jc w:val="right"/>
              <w:ind w:right="21"/>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assets</w:t>
            </w:r>
          </w:p>
        </w:tc>
        <w:tc>
          <w:tcPr>
            <w:tcW w:w="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240" w:type="dxa"/>
            <w:vAlign w:val="bottom"/>
            <w:gridSpan w:val="2"/>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Recorded as: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Non-current deferred tax assets</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4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Non-current deferred tax liabilities (included as a component of</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assets</w:t>
            </w:r>
          </w:p>
        </w:tc>
        <w:tc>
          <w:tcPr>
            <w:tcW w:w="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 w:type="dxa"/>
            <w:vAlign w:val="bottom"/>
          </w:tcPr>
          <w:p>
            <w:pPr>
              <w:spacing w:after="0"/>
              <w:rPr>
                <w:sz w:val="21"/>
                <w:szCs w:val="21"/>
                <w:color w:val="auto"/>
              </w:rPr>
            </w:pPr>
          </w:p>
        </w:tc>
        <w:tc>
          <w:tcPr>
            <w:tcW w:w="4960" w:type="dxa"/>
            <w:vAlign w:val="bottom"/>
            <w:vMerge w:val="continue"/>
          </w:tcPr>
          <w:p>
            <w:pPr>
              <w:spacing w:after="0"/>
              <w:rPr>
                <w:sz w:val="21"/>
                <w:szCs w:val="21"/>
                <w:color w:val="auto"/>
              </w:rPr>
            </w:pPr>
          </w:p>
        </w:tc>
        <w:tc>
          <w:tcPr>
            <w:tcW w:w="240" w:type="dxa"/>
            <w:vAlign w:val="bottom"/>
            <w:gridSpan w:val="2"/>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61"/>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vMerge w:val="restart"/>
          </w:tcPr>
          <w:p>
            <w:pPr>
              <w:ind w:left="3480"/>
              <w:spacing w:after="0"/>
              <w:rPr>
                <w:sz w:val="20"/>
                <w:szCs w:val="20"/>
                <w:color w:val="auto"/>
              </w:rPr>
            </w:pPr>
            <w:r>
              <w:rPr>
                <w:rFonts w:ascii="Arial" w:cs="Arial" w:eastAsia="Arial" w:hAnsi="Arial"/>
                <w:sz w:val="18"/>
                <w:szCs w:val="18"/>
                <w:color w:val="auto"/>
              </w:rPr>
              <w:t>F-39</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Based on available objective evidence, management believes it is more-likely-than-not that the domestic federal and state deferred tax assets; and excess Canadian SR&amp;ED tax credits will not be fully realized due to the Company’s cumulative losses and inability to utilize excess tax credits. Accordingly, the Company has provided a valuation allowance on deferred tax assets in excess of deferred tax liabilities against its federal and state deferred tax assets as of December 31, 2022 and 2021. The valuation allowance increased by $25.5 million and by $17.9 million for the years ended December 31, 2022 and 2021, respectively.</w:t>
      </w:r>
    </w:p>
    <w:p>
      <w:pPr>
        <w:spacing w:after="0" w:line="127"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capitalized research and development expenditures incurred during the year ended December 31, 2022 and amortizes such expenditures over 5 or 15 years, as applicable, pursuant to Section 174 of the Internal Revenue Code as required by the 2017 Tax Cuts and Jobs Act. The mandatory capitalization requirement did not have a material impact on our net deferred tax assets or cash tax liabilities.</w:t>
      </w:r>
    </w:p>
    <w:p>
      <w:pPr>
        <w:spacing w:after="0" w:line="107"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is not asserting permanent reinvestment of its unrepatriated foreign earnings. As of December 31, 2022, the Company anticipated that the tax liability associated with any potential repatriation of foreign earnings is not material.</w:t>
      </w:r>
    </w:p>
    <w:p>
      <w:pPr>
        <w:spacing w:after="0" w:line="116"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w:t>
      </w:r>
    </w:p>
    <w:p>
      <w:pPr>
        <w:spacing w:after="0" w:line="120"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spacing w:after="0" w:line="68"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1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files U.S. federal income tax returns as well as income tax returns in many U.S. states and foreign jurisdictions. As of December 31, 2022, the tax years 2006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Changes in gross unrecognized tax benefits during the periods presented were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880" w:type="dxa"/>
        <w:tblCellMar>
          <w:top w:w="0" w:type="dxa"/>
          <w:left w:w="0" w:type="dxa"/>
          <w:bottom w:w="0" w:type="dxa"/>
          <w:right w:w="0" w:type="dxa"/>
        </w:tblCellMar>
      </w:tblP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46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Increase for tax positions of prior years</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0"/>
        </w:trPr>
        <w:tc>
          <w:tcPr>
            <w:tcW w:w="6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for tax positions of current year</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24"/>
        </w:trPr>
        <w:tc>
          <w:tcPr>
            <w:tcW w:w="644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5,068</w:t>
            </w:r>
          </w:p>
        </w:tc>
      </w:tr>
      <w:tr>
        <w:trPr>
          <w:trHeight w:val="40"/>
        </w:trPr>
        <w:tc>
          <w:tcPr>
            <w:tcW w:w="6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for tax positions of current year</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Balance as of December 31, 2022</w:t>
            </w: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6,130</w:t>
            </w:r>
          </w:p>
        </w:tc>
      </w:tr>
      <w:tr>
        <w:trPr>
          <w:trHeight w:val="20"/>
        </w:trPr>
        <w:tc>
          <w:tcPr>
            <w:tcW w:w="6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These unrecognized tax benefits, if recognized, would not affect the effective tax rate and would be offset by the reversal of related deferred tax assets which are subject to a full valuation allowance. As of December 31, 2022, the Company has not accrued any interest or penalties. The Company does not anticipate any significant change in the Company’s uncertain tax positions within 12 months of this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RELATED PARTY TRANSACTIONS</w:t>
      </w:r>
    </w:p>
    <w:p>
      <w:pPr>
        <w:spacing w:after="0" w:line="162"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83"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During the six months ended June 30, 2022, we recognized revenue from the companies of $5.2 million. During the year ended December 31, 2021, we recognized revenue from the companies of $7.0 million. As of December 31, 2021, we had accounts receivable and deferred revenue balances related to the companies of $0.6 million and $15.2 million, respectively.</w:t>
      </w:r>
    </w:p>
    <w:p>
      <w:pPr>
        <w:spacing w:after="0" w:line="18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SUBSEQUENT EVENTS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Restructuring</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On January 5, 2023, SoundHound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w:t>
      </w:r>
    </w:p>
    <w:p>
      <w:pPr>
        <w:spacing w:after="0" w:line="11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estimates that it will incur approximately $4.5 million to $5.5 million in charges in connection with the Restructuring Plan, of which the majority is expected to be incurred in the first quarter of 2023 and consists of severance payments, employee benefits and share-based compensation. Of the aggregate amount of charges that the Company estimates it will incur in connection with the Restructuring Plan, the Company expects that approximately $2.0 million to $3.0 million will be in cash expenditures.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Issuance of Preferred Stock</w:t>
      </w:r>
    </w:p>
    <w:p>
      <w:pPr>
        <w:spacing w:after="0" w:line="14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Our Chief Financial Officer, Nitesh Sharan, and one of our directors, Eric Ball, each participated in the Transaction, purchasing 3,334 shares of Series A Preferred Stock each for $100,000 each.</w:t>
      </w:r>
    </w:p>
    <w:p>
      <w:pPr>
        <w:spacing w:after="0" w:line="127"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Equity Line of Credit</w:t>
      </w:r>
    </w:p>
    <w:p>
      <w:pPr>
        <w:spacing w:after="0" w:line="162" w:lineRule="exact"/>
        <w:rPr>
          <w:sz w:val="20"/>
          <w:szCs w:val="20"/>
          <w:color w:val="auto"/>
        </w:rPr>
      </w:pPr>
    </w:p>
    <w:p>
      <w:pPr>
        <w:jc w:val="both"/>
        <w:ind w:left="880" w:right="459"/>
        <w:spacing w:after="0" w:line="288" w:lineRule="auto"/>
        <w:rPr>
          <w:sz w:val="20"/>
          <w:szCs w:val="20"/>
          <w:color w:val="auto"/>
        </w:rPr>
      </w:pPr>
      <w:r>
        <w:rPr>
          <w:rFonts w:ascii="Arial" w:cs="Arial" w:eastAsia="Arial" w:hAnsi="Arial"/>
          <w:sz w:val="16"/>
          <w:szCs w:val="16"/>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On February 14, 2023, the Company’s Registration Statement on Form S-1 registering the resale of the ELOC Shares was declared effective. The Company expects to utilize proceeds from the ELOC for working capital and other general corporate purposes. Through March 17, 2023, the Company has sold approximately 8.8 million shares under the ELOC program for aggregate proceeds of approximately $24.9 million.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09"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In connection with the execution of the Common Stock Purchase Agreement, the Company issued CFPI 250,000 shares as consideration for its irrevocable commitment to purchase the shares upon the terms and subject to the satisfaction of the conditions set forth in the Common Stock Purchase Agreement. The Company has also agreed to make a cash payment of $250,000 within 120 days after the commencement date of the offering and to reimburse CFPI of up to $75,000 of expenses.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166370</wp:posOffset>
            </wp:positionV>
            <wp:extent cx="514350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209550</wp:posOffset>
            </wp:positionV>
            <wp:extent cx="514350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14,301,448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54" w:lineRule="exact"/>
        <w:rPr>
          <w:sz w:val="20"/>
          <w:szCs w:val="20"/>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40" w:type="dxa"/>
            <w:vAlign w:val="bottom"/>
          </w:tcPr>
          <w:p>
            <w:pPr>
              <w:ind w:left="2400"/>
              <w:spacing w:after="0"/>
              <w:rPr>
                <w:sz w:val="20"/>
                <w:szCs w:val="20"/>
                <w:color w:val="auto"/>
              </w:rPr>
            </w:pPr>
            <w:r>
              <w:rPr>
                <w:rFonts w:ascii="Arial" w:cs="Arial" w:eastAsia="Arial" w:hAnsi="Arial"/>
                <w:sz w:val="18"/>
                <w:szCs w:val="18"/>
                <w:b w:val="1"/>
                <w:bCs w:val="1"/>
                <w:color w:val="auto"/>
                <w:w w:val="98"/>
              </w:rPr>
              <w:t>The date of this Prospectus is</w:t>
            </w:r>
          </w:p>
        </w:tc>
        <w:tc>
          <w:tcPr>
            <w:tcW w:w="3160" w:type="dxa"/>
            <w:vAlign w:val="bottom"/>
          </w:tcPr>
          <w:p>
            <w:pPr>
              <w:jc w:val="right"/>
              <w:ind w:right="2330"/>
              <w:spacing w:after="0"/>
              <w:rPr>
                <w:sz w:val="20"/>
                <w:szCs w:val="20"/>
                <w:color w:val="auto"/>
              </w:rPr>
            </w:pPr>
            <w:r>
              <w:rPr>
                <w:rFonts w:ascii="Arial" w:cs="Arial" w:eastAsia="Arial" w:hAnsi="Arial"/>
                <w:sz w:val="18"/>
                <w:szCs w:val="18"/>
                <w:b w:val="1"/>
                <w:bCs w:val="1"/>
                <w:color w:val="auto"/>
              </w:rPr>
              <w:t>, 2023</w:t>
            </w:r>
          </w:p>
        </w:tc>
      </w:tr>
      <w:tr>
        <w:trPr>
          <w:trHeight w:val="1060"/>
        </w:trPr>
        <w:tc>
          <w:tcPr>
            <w:tcW w:w="49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48"/>
        </w:trPr>
        <w:tc>
          <w:tcPr>
            <w:tcW w:w="494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405"/>
        </w:trPr>
        <w:tc>
          <w:tcPr>
            <w:tcW w:w="49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7,279.50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FINRA fee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12,279.13</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30,441.37</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As permitted by Section 102 of the Delaware General Corporation Law, we have adopted provisions in our Amended Charter and our Amended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7" w:lineRule="exact"/>
        <w:rPr>
          <w:sz w:val="20"/>
          <w:szCs w:val="20"/>
          <w:color w:val="auto"/>
        </w:rPr>
      </w:pPr>
    </w:p>
    <w:p>
      <w:pPr>
        <w:ind w:left="1320" w:hanging="43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Charter also authorizes us to indemnify our officers, directors and other agents to the fullest extent permitted under Delaware law.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permitted by Section 145 of the Delaware General Corporation Law, our Amended Bylaws provide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w:t>
      </w:r>
    </w:p>
    <w:p>
      <w:pPr>
        <w:spacing w:after="0" w:line="143" w:lineRule="exact"/>
        <w:rPr>
          <w:sz w:val="20"/>
          <w:szCs w:val="20"/>
          <w:color w:val="auto"/>
        </w:rPr>
      </w:pPr>
    </w:p>
    <w:p>
      <w:pPr>
        <w:ind w:left="1320" w:right="479" w:hanging="434"/>
        <w:spacing w:after="0" w:line="277" w:lineRule="auto"/>
        <w:tabs>
          <w:tab w:leader="none" w:pos="13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rights provided in our Amended Bylaws are not exclusive.</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Amended Charter and our Amended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1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0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1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1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ATSP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or around January 20, 2023, the Company entered into Preferred Stock Purchase Agreements (the “PS Purchase Agreements”) with certain investors (the “PS Investors”) pursuant to which the Company issued and sold to the PS Investors an aggregate of 835,011 shares of its newly designated Series A Preferred Stock for an aggregate issue price of approximately $25.0 million. The PS Purchase Agreements contain customary representations, warranties and covenants. The shares of Series A Preferred Stock were issued and sold in a private placement exempt from the registration requirements of the Securities Act pursuant to Section 4(a)(2) therein. The Company does not intend to register the shares of Series A Preferred Stock or the underlying Common Stock for resale under the Securities Act.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ind w:left="220"/>
              <w:spacing w:after="0"/>
              <w:rPr>
                <w:sz w:val="20"/>
                <w:szCs w:val="20"/>
                <w:color w:val="auto"/>
              </w:rPr>
            </w:pPr>
            <w:r>
              <w:rPr>
                <w:rFonts w:ascii="Arial" w:cs="Arial" w:eastAsia="Arial" w:hAnsi="Arial"/>
                <w:sz w:val="16"/>
                <w:szCs w:val="16"/>
                <w:b w:val="1"/>
                <w:bCs w:val="1"/>
                <w:color w:val="auto"/>
                <w:w w:val="97"/>
              </w:rPr>
              <w:t>Description</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120" w:type="dxa"/>
            <w:vAlign w:val="bottom"/>
            <w:vMerge w:val="continue"/>
          </w:tcPr>
          <w:p>
            <w:pPr>
              <w:spacing w:after="0"/>
              <w:rPr>
                <w:sz w:val="14"/>
                <w:szCs w:val="14"/>
                <w:color w:val="auto"/>
              </w:rPr>
            </w:pPr>
          </w:p>
        </w:tc>
        <w:tc>
          <w:tcPr>
            <w:tcW w:w="3360" w:type="dxa"/>
            <w:vAlign w:val="bottom"/>
            <w:gridSpan w:val="22"/>
          </w:tcPr>
          <w:p>
            <w:pPr>
              <w:spacing w:after="0" w:line="169"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Merger Agreement dated as of November 15,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2021 by and among Archimedes Tech SPAC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r:id="rId195">
              <w:r>
                <w:rPr>
                  <w:rFonts w:ascii="Arial" w:cs="Arial" w:eastAsia="Arial" w:hAnsi="Arial"/>
                  <w:sz w:val="18"/>
                  <w:szCs w:val="18"/>
                  <w:color w:val="0000EE"/>
                  <w:w w:val="97"/>
                </w:rPr>
                <w:t>Partners Co., ATSPC Merger Sub, Inc.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95">
              <w:r>
                <w:rPr>
                  <w:rFonts w:ascii="Arial" w:cs="Arial" w:eastAsia="Arial" w:hAnsi="Arial"/>
                  <w:sz w:val="18"/>
                  <w:szCs w:val="18"/>
                  <w:color w:val="0000EE"/>
                  <w:w w:val="88"/>
                </w:rPr>
                <w:t>SoundHound, Inc.</w:t>
              </w:r>
            </w:hyperlink>
          </w:p>
        </w:tc>
        <w:tc>
          <w:tcPr>
            <w:tcW w:w="8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360" w:type="dxa"/>
            <w:vAlign w:val="bottom"/>
            <w:gridSpan w:val="22"/>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Second Amended and Restated Certificate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Incorporation of SoundHound AI, Inc.</w:t>
              </w:r>
            </w:hyperlink>
          </w:p>
        </w:tc>
        <w:tc>
          <w:tcPr>
            <w:tcW w:w="6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rPr>
            </w:pPr>
            <w:hyperlink r:id="rId197">
              <w:r>
                <w:rPr>
                  <w:rFonts w:ascii="Arial" w:cs="Arial" w:eastAsia="Arial" w:hAnsi="Arial"/>
                  <w:sz w:val="18"/>
                  <w:szCs w:val="18"/>
                  <w:color w:val="0000EE"/>
                </w:rPr>
                <w:t>Amended   and   Restated   Bylaws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9"/>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SoundHound AI, Inc.</w:t>
              </w:r>
            </w:hyperlink>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rPr>
            </w:pPr>
            <w:hyperlink r:id="rId198">
              <w:r>
                <w:rPr>
                  <w:rFonts w:ascii="Arial" w:cs="Arial" w:eastAsia="Arial" w:hAnsi="Arial"/>
                  <w:sz w:val="18"/>
                  <w:szCs w:val="18"/>
                  <w:color w:val="0000EE"/>
                </w:rPr>
                <w:t>SoundHound   AI,   Inc.   Certificate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r:id="rId198">
              <w:r>
                <w:rPr>
                  <w:rFonts w:ascii="Arial" w:cs="Arial" w:eastAsia="Arial" w:hAnsi="Arial"/>
                  <w:sz w:val="18"/>
                  <w:szCs w:val="18"/>
                  <w:color w:val="0000EE"/>
                  <w:w w:val="97"/>
                </w:rPr>
                <w:t>Designations  of  Preferences,  Rights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22"/>
          </w:tcPr>
          <w:p>
            <w:pPr>
              <w:spacing w:after="0" w:line="196" w:lineRule="exact"/>
              <w:rPr>
                <w:rFonts w:ascii="Arial" w:cs="Arial" w:eastAsia="Arial" w:hAnsi="Arial"/>
                <w:sz w:val="18"/>
                <w:szCs w:val="18"/>
                <w:color w:val="0000EE"/>
                <w:w w:val="94"/>
              </w:rPr>
            </w:pPr>
            <w:hyperlink r:id="rId198">
              <w:r>
                <w:rPr>
                  <w:rFonts w:ascii="Arial" w:cs="Arial" w:eastAsia="Arial" w:hAnsi="Arial"/>
                  <w:sz w:val="18"/>
                  <w:szCs w:val="18"/>
                  <w:color w:val="0000EE"/>
                  <w:w w:val="94"/>
                </w:rPr>
                <w:t>Limitations of Series A Convertible Preferred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Stock.</w:t>
              </w:r>
            </w:hyperlink>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360" w:type="dxa"/>
            <w:vAlign w:val="bottom"/>
            <w:gridSpan w:val="22"/>
          </w:tcPr>
          <w:p>
            <w:pPr>
              <w:spacing w:after="0"/>
              <w:rPr>
                <w:rFonts w:ascii="Arial" w:cs="Arial" w:eastAsia="Arial" w:hAnsi="Arial"/>
                <w:sz w:val="18"/>
                <w:szCs w:val="18"/>
                <w:color w:val="0000EE"/>
                <w:w w:val="93"/>
              </w:rPr>
            </w:pPr>
            <w:hyperlink r:id="rId199">
              <w:r>
                <w:rPr>
                  <w:rFonts w:ascii="Arial" w:cs="Arial" w:eastAsia="Arial" w:hAnsi="Arial"/>
                  <w:sz w:val="18"/>
                  <w:szCs w:val="18"/>
                  <w:color w:val="0000EE"/>
                  <w:w w:val="93"/>
                </w:rPr>
                <w:t>Amended and Restated Warrant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w w:val="97"/>
              </w:rPr>
            </w:pPr>
            <w:hyperlink r:id="rId200">
              <w:r>
                <w:rPr>
                  <w:rFonts w:ascii="Arial" w:cs="Arial" w:eastAsia="Arial" w:hAnsi="Arial"/>
                  <w:sz w:val="18"/>
                  <w:szCs w:val="18"/>
                  <w:color w:val="0000EE"/>
                  <w:w w:val="97"/>
                </w:rPr>
                <w:t>Form of Specimen Class A Common Stock</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Certificate.</w:t>
              </w:r>
            </w:hyperlink>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780" w:type="dxa"/>
            <w:vAlign w:val="bottom"/>
            <w:tcBorders>
              <w:bottom w:val="single" w:sz="8" w:color="0000EE"/>
            </w:tcBorders>
            <w:gridSpan w:val="13"/>
          </w:tcPr>
          <w:p>
            <w:pPr>
              <w:spacing w:after="0"/>
              <w:rPr>
                <w:rFonts w:ascii="Arial" w:cs="Arial" w:eastAsia="Arial" w:hAnsi="Arial"/>
                <w:sz w:val="18"/>
                <w:szCs w:val="18"/>
                <w:color w:val="0000EE"/>
                <w:w w:val="89"/>
              </w:rPr>
            </w:pPr>
            <w:hyperlink r:id="rId201">
              <w:r>
                <w:rPr>
                  <w:rFonts w:ascii="Arial" w:cs="Arial" w:eastAsia="Arial" w:hAnsi="Arial"/>
                  <w:sz w:val="18"/>
                  <w:szCs w:val="18"/>
                  <w:color w:val="0000EE"/>
                  <w:w w:val="89"/>
                </w:rPr>
                <w:t>Form of Specimen Warrant Certificate.</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360" w:type="dxa"/>
            <w:vAlign w:val="bottom"/>
            <w:gridSpan w:val="22"/>
          </w:tcPr>
          <w:p>
            <w:pPr>
              <w:spacing w:after="0"/>
              <w:rPr>
                <w:rFonts w:ascii="Arial" w:cs="Arial" w:eastAsia="Arial" w:hAnsi="Arial"/>
                <w:sz w:val="18"/>
                <w:szCs w:val="18"/>
                <w:color w:val="0000EE"/>
                <w:w w:val="93"/>
              </w:rPr>
            </w:pPr>
            <w:hyperlink r:id="rId199">
              <w:r>
                <w:rPr>
                  <w:rFonts w:ascii="Arial" w:cs="Arial" w:eastAsia="Arial" w:hAnsi="Arial"/>
                  <w:sz w:val="18"/>
                  <w:szCs w:val="18"/>
                  <w:color w:val="0000EE"/>
                  <w:w w:val="93"/>
                </w:rPr>
                <w:t>Amended and Restated Warrant Agreement.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280" w:type="dxa"/>
            <w:vAlign w:val="bottom"/>
            <w:tcBorders>
              <w:bottom w:val="single" w:sz="8" w:color="0000EE"/>
            </w:tcBorders>
            <w:gridSpan w:val="20"/>
          </w:tcPr>
          <w:p>
            <w:pPr>
              <w:spacing w:after="0"/>
              <w:rPr>
                <w:rFonts w:ascii="Arial" w:cs="Arial" w:eastAsia="Arial" w:hAnsi="Arial"/>
                <w:sz w:val="18"/>
                <w:szCs w:val="18"/>
                <w:color w:val="0000EE"/>
                <w:w w:val="92"/>
              </w:rPr>
            </w:pPr>
            <w:hyperlink r:id="rId202">
              <w:r>
                <w:rPr>
                  <w:rFonts w:ascii="Arial" w:cs="Arial" w:eastAsia="Arial" w:hAnsi="Arial"/>
                  <w:sz w:val="18"/>
                  <w:szCs w:val="18"/>
                  <w:color w:val="0000EE"/>
                  <w:w w:val="92"/>
                </w:rPr>
                <w:t>Opinion of Ellenoff Grossman &amp; Schole LLP.</w:t>
              </w:r>
            </w:hyperlink>
          </w:p>
        </w:tc>
        <w:tc>
          <w:tcPr>
            <w:tcW w:w="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3360" w:type="dxa"/>
            <w:vAlign w:val="bottom"/>
            <w:gridSpan w:val="22"/>
          </w:tcPr>
          <w:p>
            <w:pPr>
              <w:spacing w:after="0"/>
              <w:rPr>
                <w:rFonts w:ascii="Arial" w:cs="Arial" w:eastAsia="Arial" w:hAnsi="Arial"/>
                <w:sz w:val="18"/>
                <w:szCs w:val="18"/>
                <w:color w:val="0000EE"/>
              </w:rPr>
            </w:pPr>
            <w:hyperlink r:id="rId203">
              <w:r>
                <w:rPr>
                  <w:rFonts w:ascii="Arial" w:cs="Arial" w:eastAsia="Arial" w:hAnsi="Arial"/>
                  <w:sz w:val="18"/>
                  <w:szCs w:val="18"/>
                  <w:color w:val="0000EE"/>
                </w:rPr>
                <w:t>Form of PIPE Subscription Agreement.</w:t>
              </w:r>
            </w:hyperlink>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21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Form of Lock-Up Agreement.</w:t>
              </w:r>
            </w:hyperlink>
          </w:p>
        </w:tc>
        <w:tc>
          <w:tcPr>
            <w:tcW w:w="10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w w:val="96"/>
              </w:rPr>
            </w:pPr>
            <w:hyperlink r:id="rId205">
              <w:r>
                <w:rPr>
                  <w:rFonts w:ascii="Arial" w:cs="Arial" w:eastAsia="Arial" w:hAnsi="Arial"/>
                  <w:sz w:val="18"/>
                  <w:szCs w:val="18"/>
                  <w:color w:val="0000EE"/>
                  <w:w w:val="96"/>
                </w:rPr>
                <w:t>Amended and Restated Registration Rights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Agreement, dated April 26, 2022, by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between SoundHound AI, Inc. and certain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stockholders of SoundHound AI, Inc.</w:t>
              </w:r>
            </w:hyperlink>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3360" w:type="dxa"/>
            <w:vAlign w:val="bottom"/>
            <w:gridSpan w:val="22"/>
          </w:tcPr>
          <w:p>
            <w:pPr>
              <w:spacing w:after="0"/>
              <w:rPr>
                <w:rFonts w:ascii="Arial" w:cs="Arial" w:eastAsia="Arial" w:hAnsi="Arial"/>
                <w:sz w:val="18"/>
                <w:szCs w:val="18"/>
                <w:color w:val="0000EE"/>
                <w:w w:val="97"/>
              </w:rPr>
            </w:pPr>
            <w:hyperlink r:id="rId206">
              <w:r>
                <w:rPr>
                  <w:rFonts w:ascii="Arial" w:cs="Arial" w:eastAsia="Arial" w:hAnsi="Arial"/>
                  <w:sz w:val="18"/>
                  <w:szCs w:val="18"/>
                  <w:color w:val="0000EE"/>
                  <w:w w:val="97"/>
                </w:rPr>
                <w:t>SoundHound AI, Inc. 2022 Incentive Award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r:id="rId206">
              <w:r>
                <w:rPr>
                  <w:rFonts w:ascii="Arial" w:cs="Arial" w:eastAsia="Arial" w:hAnsi="Arial"/>
                  <w:sz w:val="18"/>
                  <w:szCs w:val="18"/>
                  <w:color w:val="0000EE"/>
                  <w:w w:val="82"/>
                </w:rPr>
                <w:t>Plan.</w:t>
              </w:r>
            </w:hyperlink>
          </w:p>
        </w:tc>
        <w:tc>
          <w:tcPr>
            <w:tcW w:w="660" w:type="dxa"/>
            <w:vAlign w:val="bottom"/>
            <w:tcBorders>
              <w:top w:val="single" w:sz="8" w:color="0000EE"/>
            </w:tcBorders>
            <w:gridSpan w:val="3"/>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w w:val="96"/>
              </w:rPr>
            </w:pPr>
            <w:hyperlink r:id="rId207">
              <w:r>
                <w:rPr>
                  <w:rFonts w:ascii="Arial" w:cs="Arial" w:eastAsia="Arial" w:hAnsi="Arial"/>
                  <w:sz w:val="18"/>
                  <w:szCs w:val="18"/>
                  <w:color w:val="0000EE"/>
                  <w:w w:val="96"/>
                </w:rPr>
                <w:t>SoundHound AI, Inc. 2022 Employee Stock</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r:id="rId207">
              <w:r>
                <w:rPr>
                  <w:rFonts w:ascii="Arial" w:cs="Arial" w:eastAsia="Arial" w:hAnsi="Arial"/>
                  <w:sz w:val="18"/>
                  <w:szCs w:val="18"/>
                  <w:color w:val="0000EE"/>
                  <w:w w:val="83"/>
                </w:rPr>
                <w:t>Purchase Plan.</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3040" w:type="dxa"/>
            <w:vAlign w:val="bottom"/>
            <w:tcBorders>
              <w:bottom w:val="single" w:sz="8" w:color="0000EE"/>
            </w:tcBorders>
            <w:gridSpan w:val="18"/>
          </w:tcPr>
          <w:p>
            <w:pPr>
              <w:spacing w:after="0"/>
              <w:rPr>
                <w:rFonts w:ascii="Arial" w:cs="Arial" w:eastAsia="Arial" w:hAnsi="Arial"/>
                <w:sz w:val="18"/>
                <w:szCs w:val="18"/>
                <w:color w:val="0000EE"/>
                <w:w w:val="90"/>
              </w:rPr>
            </w:pPr>
            <w:hyperlink r:id="rId208">
              <w:r>
                <w:rPr>
                  <w:rFonts w:ascii="Arial" w:cs="Arial" w:eastAsia="Arial" w:hAnsi="Arial"/>
                  <w:sz w:val="18"/>
                  <w:szCs w:val="18"/>
                  <w:color w:val="0000EE"/>
                  <w:w w:val="90"/>
                </w:rPr>
                <w:t>Form of Restricted Stock Unit Agreement.</w:t>
              </w:r>
            </w:hyperlink>
          </w:p>
        </w:tc>
        <w:tc>
          <w:tcPr>
            <w:tcW w:w="3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3360" w:type="dxa"/>
            <w:vAlign w:val="bottom"/>
            <w:gridSpan w:val="22"/>
          </w:tcPr>
          <w:p>
            <w:pPr>
              <w:spacing w:after="0"/>
              <w:rPr>
                <w:rFonts w:ascii="Arial" w:cs="Arial" w:eastAsia="Arial" w:hAnsi="Arial"/>
                <w:sz w:val="18"/>
                <w:szCs w:val="18"/>
                <w:color w:val="0000EE"/>
              </w:rPr>
            </w:pPr>
            <w:hyperlink r:id="rId209">
              <w:r>
                <w:rPr>
                  <w:rFonts w:ascii="Arial" w:cs="Arial" w:eastAsia="Arial" w:hAnsi="Arial"/>
                  <w:sz w:val="18"/>
                  <w:szCs w:val="18"/>
                  <w:color w:val="0000EE"/>
                </w:rPr>
                <w:t>Form of Stock Option Award Agreement.</w:t>
              </w:r>
            </w:hyperlink>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22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Form of Indemnity Agreement.</w:t>
              </w:r>
            </w:hyperlink>
          </w:p>
        </w:tc>
        <w:tc>
          <w:tcPr>
            <w:tcW w:w="560" w:type="dxa"/>
            <w:vAlign w:val="bottom"/>
            <w:tcBorders>
              <w:top w:val="single" w:sz="8" w:color="0000EE"/>
            </w:tcBorders>
            <w:gridSpan w:val="4"/>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040" w:type="dxa"/>
            <w:vAlign w:val="bottom"/>
            <w:gridSpan w:val="4"/>
          </w:tcPr>
          <w:p>
            <w:pPr>
              <w:spacing w:after="0"/>
              <w:rPr>
                <w:rFonts w:ascii="Arial" w:cs="Arial" w:eastAsia="Arial" w:hAnsi="Arial"/>
                <w:sz w:val="18"/>
                <w:szCs w:val="18"/>
                <w:color w:val="0000EE"/>
              </w:rPr>
            </w:pPr>
            <w:hyperlink r:id="rId211">
              <w:r>
                <w:rPr>
                  <w:rFonts w:ascii="Arial" w:cs="Arial" w:eastAsia="Arial" w:hAnsi="Arial"/>
                  <w:sz w:val="18"/>
                  <w:szCs w:val="18"/>
                  <w:color w:val="0000EE"/>
                </w:rPr>
                <w:t>Employment</w:t>
              </w:r>
            </w:hyperlink>
          </w:p>
        </w:tc>
        <w:tc>
          <w:tcPr>
            <w:tcW w:w="1100" w:type="dxa"/>
            <w:vAlign w:val="bottom"/>
            <w:gridSpan w:val="5"/>
          </w:tcPr>
          <w:p>
            <w:pPr>
              <w:ind w:left="120"/>
              <w:spacing w:after="0"/>
              <w:rPr>
                <w:rFonts w:ascii="Arial" w:cs="Arial" w:eastAsia="Arial" w:hAnsi="Arial"/>
                <w:sz w:val="18"/>
                <w:szCs w:val="18"/>
                <w:color w:val="0000EE"/>
              </w:rPr>
            </w:pPr>
            <w:hyperlink r:id="rId211">
              <w:r>
                <w:rPr>
                  <w:rFonts w:ascii="Arial" w:cs="Arial" w:eastAsia="Arial" w:hAnsi="Arial"/>
                  <w:sz w:val="18"/>
                  <w:szCs w:val="18"/>
                  <w:color w:val="0000EE"/>
                </w:rPr>
                <w:t>Agreement</w:t>
              </w:r>
            </w:hyperlink>
          </w:p>
        </w:tc>
        <w:tc>
          <w:tcPr>
            <w:tcW w:w="660" w:type="dxa"/>
            <w:vAlign w:val="bottom"/>
            <w:gridSpan w:val="5"/>
          </w:tcPr>
          <w:p>
            <w:pPr>
              <w:ind w:left="80"/>
              <w:spacing w:after="0"/>
              <w:rPr>
                <w:rFonts w:ascii="Arial" w:cs="Arial" w:eastAsia="Arial" w:hAnsi="Arial"/>
                <w:sz w:val="18"/>
                <w:szCs w:val="18"/>
                <w:color w:val="0000EE"/>
              </w:rPr>
            </w:pPr>
            <w:hyperlink r:id="rId211">
              <w:r>
                <w:rPr>
                  <w:rFonts w:ascii="Arial" w:cs="Arial" w:eastAsia="Arial" w:hAnsi="Arial"/>
                  <w:sz w:val="18"/>
                  <w:szCs w:val="18"/>
                  <w:color w:val="0000EE"/>
                </w:rPr>
                <w:t>with</w:t>
              </w:r>
            </w:hyperlink>
          </w:p>
        </w:tc>
        <w:tc>
          <w:tcPr>
            <w:tcW w:w="560" w:type="dxa"/>
            <w:vAlign w:val="bottom"/>
            <w:gridSpan w:val="8"/>
          </w:tcPr>
          <w:p>
            <w:pPr>
              <w:jc w:val="right"/>
              <w:ind w:right="20"/>
              <w:spacing w:after="0"/>
              <w:rPr>
                <w:rFonts w:ascii="Arial" w:cs="Arial" w:eastAsia="Arial" w:hAnsi="Arial"/>
                <w:sz w:val="18"/>
                <w:szCs w:val="18"/>
                <w:color w:val="0000EE"/>
                <w:w w:val="86"/>
              </w:rPr>
            </w:pPr>
            <w:hyperlink r:id="rId211">
              <w:r>
                <w:rPr>
                  <w:rFonts w:ascii="Arial" w:cs="Arial" w:eastAsia="Arial" w:hAnsi="Arial"/>
                  <w:sz w:val="18"/>
                  <w:szCs w:val="18"/>
                  <w:color w:val="0000EE"/>
                  <w:w w:val="86"/>
                </w:rPr>
                <w:t>Keyvan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9"/>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Mohajer,  Chief  Executive</w:t>
              </w:r>
            </w:hyperlink>
          </w:p>
        </w:tc>
        <w:tc>
          <w:tcPr>
            <w:tcW w:w="100" w:type="dxa"/>
            <w:vAlign w:val="bottom"/>
          </w:tcPr>
          <w:p>
            <w:pPr>
              <w:spacing w:after="0"/>
              <w:rPr>
                <w:sz w:val="17"/>
                <w:szCs w:val="17"/>
                <w:color w:val="auto"/>
              </w:rPr>
            </w:pPr>
          </w:p>
        </w:tc>
        <w:tc>
          <w:tcPr>
            <w:tcW w:w="560" w:type="dxa"/>
            <w:vAlign w:val="bottom"/>
            <w:gridSpan w:val="4"/>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Officer,</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6"/>
          </w:tcPr>
          <w:p>
            <w:pPr>
              <w:jc w:val="right"/>
              <w:ind w:right="20"/>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dated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211">
              <w:r>
                <w:rPr>
                  <w:rFonts w:ascii="Arial" w:cs="Arial" w:eastAsia="Arial" w:hAnsi="Arial"/>
                  <w:sz w:val="18"/>
                  <w:szCs w:val="18"/>
                  <w:color w:val="0000EE"/>
                  <w:w w:val="84"/>
                </w:rPr>
                <w:t>June 2, 2022.</w:t>
              </w:r>
            </w:hyperlink>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3360" w:type="dxa"/>
            <w:vAlign w:val="bottom"/>
            <w:gridSpan w:val="22"/>
          </w:tcPr>
          <w:p>
            <w:pPr>
              <w:spacing w:after="0"/>
              <w:rPr>
                <w:rFonts w:ascii="Arial" w:cs="Arial" w:eastAsia="Arial" w:hAnsi="Arial"/>
                <w:sz w:val="18"/>
                <w:szCs w:val="18"/>
                <w:color w:val="0000EE"/>
                <w:w w:val="94"/>
              </w:rPr>
            </w:pPr>
            <w:hyperlink r:id="rId212">
              <w:r>
                <w:rPr>
                  <w:rFonts w:ascii="Arial" w:cs="Arial" w:eastAsia="Arial" w:hAnsi="Arial"/>
                  <w:sz w:val="18"/>
                  <w:szCs w:val="18"/>
                  <w:color w:val="0000EE"/>
                  <w:w w:val="94"/>
                </w:rPr>
                <w:t>Employment Agreement with Nitesh Sharan,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top w:val="single" w:sz="8" w:color="0000EE"/>
            </w:tcBorders>
            <w:gridSpan w:val="21"/>
          </w:tcPr>
          <w:p>
            <w:pPr>
              <w:spacing w:after="0" w:line="196" w:lineRule="exact"/>
              <w:rPr>
                <w:rFonts w:ascii="Arial" w:cs="Arial" w:eastAsia="Arial" w:hAnsi="Arial"/>
                <w:sz w:val="18"/>
                <w:szCs w:val="18"/>
                <w:color w:val="0000EE"/>
                <w:w w:val="95"/>
              </w:rPr>
            </w:pPr>
            <w:hyperlink r:id="rId212">
              <w:r>
                <w:rPr>
                  <w:rFonts w:ascii="Arial" w:cs="Arial" w:eastAsia="Arial" w:hAnsi="Arial"/>
                  <w:sz w:val="18"/>
                  <w:szCs w:val="18"/>
                  <w:color w:val="0000EE"/>
                  <w:w w:val="95"/>
                </w:rPr>
                <w:t>Chief Financial Officer, dated June 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1040" w:type="dxa"/>
            <w:vAlign w:val="bottom"/>
            <w:gridSpan w:val="4"/>
          </w:tcPr>
          <w:p>
            <w:pPr>
              <w:spacing w:after="0"/>
              <w:rPr>
                <w:rFonts w:ascii="Arial" w:cs="Arial" w:eastAsia="Arial" w:hAnsi="Arial"/>
                <w:sz w:val="18"/>
                <w:szCs w:val="18"/>
                <w:color w:val="0000EE"/>
              </w:rPr>
            </w:pPr>
            <w:hyperlink r:id="rId213">
              <w:r>
                <w:rPr>
                  <w:rFonts w:ascii="Arial" w:cs="Arial" w:eastAsia="Arial" w:hAnsi="Arial"/>
                  <w:sz w:val="18"/>
                  <w:szCs w:val="18"/>
                  <w:color w:val="0000EE"/>
                </w:rPr>
                <w:t>Employment</w:t>
              </w:r>
            </w:hyperlink>
          </w:p>
        </w:tc>
        <w:tc>
          <w:tcPr>
            <w:tcW w:w="1100" w:type="dxa"/>
            <w:vAlign w:val="bottom"/>
            <w:gridSpan w:val="5"/>
          </w:tcPr>
          <w:p>
            <w:pPr>
              <w:ind w:left="100"/>
              <w:spacing w:after="0"/>
              <w:rPr>
                <w:rFonts w:ascii="Arial" w:cs="Arial" w:eastAsia="Arial" w:hAnsi="Arial"/>
                <w:sz w:val="18"/>
                <w:szCs w:val="18"/>
                <w:color w:val="0000EE"/>
              </w:rPr>
            </w:pPr>
            <w:hyperlink r:id="rId213">
              <w:r>
                <w:rPr>
                  <w:rFonts w:ascii="Arial" w:cs="Arial" w:eastAsia="Arial" w:hAnsi="Arial"/>
                  <w:sz w:val="18"/>
                  <w:szCs w:val="18"/>
                  <w:color w:val="0000EE"/>
                </w:rPr>
                <w:t>Agreement</w:t>
              </w:r>
            </w:hyperlink>
          </w:p>
        </w:tc>
        <w:tc>
          <w:tcPr>
            <w:tcW w:w="1220" w:type="dxa"/>
            <w:vAlign w:val="bottom"/>
            <w:gridSpan w:val="13"/>
          </w:tcPr>
          <w:p>
            <w:pPr>
              <w:jc w:val="right"/>
              <w:ind w:right="20"/>
              <w:spacing w:after="0"/>
              <w:rPr>
                <w:rFonts w:ascii="Arial" w:cs="Arial" w:eastAsia="Arial" w:hAnsi="Arial"/>
                <w:sz w:val="18"/>
                <w:szCs w:val="18"/>
                <w:color w:val="0000EE"/>
              </w:rPr>
            </w:pPr>
            <w:hyperlink r:id="rId213">
              <w:r>
                <w:rPr>
                  <w:rFonts w:ascii="Arial" w:cs="Arial" w:eastAsia="Arial" w:hAnsi="Arial"/>
                  <w:sz w:val="18"/>
                  <w:szCs w:val="18"/>
                  <w:color w:val="0000EE"/>
                </w:rPr>
                <w:t>with   Timothy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Stonehocker, Chief Technology Officer, dated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r:id="rId213">
              <w:r>
                <w:rPr>
                  <w:rFonts w:ascii="Arial" w:cs="Arial" w:eastAsia="Arial" w:hAnsi="Arial"/>
                  <w:sz w:val="18"/>
                  <w:szCs w:val="18"/>
                  <w:color w:val="0000EE"/>
                  <w:w w:val="84"/>
                </w:rPr>
                <w:t>June 2, 2022.</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3340" w:type="dxa"/>
            <w:vAlign w:val="bottom"/>
            <w:tcBorders>
              <w:bottom w:val="single" w:sz="8" w:color="0000EE"/>
            </w:tcBorders>
            <w:gridSpan w:val="21"/>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Non-Employee Director Compensation Policy.</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w w:val="88"/>
              </w:rPr>
            </w:pPr>
            <w:hyperlink r:id="rId215">
              <w:r>
                <w:rPr>
                  <w:rFonts w:ascii="Arial" w:cs="Arial" w:eastAsia="Arial" w:hAnsi="Arial"/>
                  <w:sz w:val="18"/>
                  <w:szCs w:val="18"/>
                  <w:color w:val="0000EE"/>
                  <w:w w:val="88"/>
                </w:rPr>
                <w:t>Common Stock Purchase Agreement, dated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22"/>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of  August  16,  2022,  by  and  between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SoundHound  AI,  Inc.  and  CF  Principal</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15">
              <w:r>
                <w:rPr>
                  <w:rFonts w:ascii="Arial" w:cs="Arial" w:eastAsia="Arial" w:hAnsi="Arial"/>
                  <w:sz w:val="18"/>
                  <w:szCs w:val="18"/>
                  <w:color w:val="0000EE"/>
                  <w:w w:val="89"/>
                </w:rPr>
                <w:t>Investments LLC.</w:t>
              </w:r>
            </w:hyperlink>
          </w:p>
        </w:tc>
        <w:tc>
          <w:tcPr>
            <w:tcW w:w="8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0"/>
                <w:szCs w:val="20"/>
                <w:color w:val="auto"/>
              </w:rPr>
            </w:pPr>
          </w:p>
        </w:tc>
        <w:tc>
          <w:tcPr>
            <w:tcW w:w="3360" w:type="dxa"/>
            <w:vAlign w:val="bottom"/>
            <w:gridSpan w:val="22"/>
          </w:tcPr>
          <w:p>
            <w:pPr>
              <w:spacing w:after="0"/>
              <w:rPr>
                <w:rFonts w:ascii="Arial" w:cs="Arial" w:eastAsia="Arial" w:hAnsi="Arial"/>
                <w:sz w:val="18"/>
                <w:szCs w:val="18"/>
                <w:color w:val="0000EE"/>
                <w:w w:val="97"/>
              </w:rPr>
            </w:pPr>
            <w:hyperlink r:id="rId216">
              <w:r>
                <w:rPr>
                  <w:rFonts w:ascii="Arial" w:cs="Arial" w:eastAsia="Arial" w:hAnsi="Arial"/>
                  <w:sz w:val="18"/>
                  <w:szCs w:val="18"/>
                  <w:color w:val="0000EE"/>
                  <w:w w:val="97"/>
                </w:rPr>
                <w:t>Registration Rights Agreement, dated as of</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Borders>
              <w:left w:val="single" w:sz="8" w:color="0000EE"/>
            </w:tcBorders>
            <w:gridSpan w:val="7"/>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August   16,   2022,   by   and   between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SoundHound  AI,  Inc.  and  CF  Principal</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16">
              <w:r>
                <w:rPr>
                  <w:rFonts w:ascii="Arial" w:cs="Arial" w:eastAsia="Arial" w:hAnsi="Arial"/>
                  <w:sz w:val="18"/>
                  <w:szCs w:val="18"/>
                  <w:color w:val="0000EE"/>
                  <w:w w:val="89"/>
                </w:rPr>
                <w:t>Investments LLC.</w:t>
              </w:r>
            </w:hyperlink>
          </w:p>
        </w:tc>
        <w:tc>
          <w:tcPr>
            <w:tcW w:w="8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rFonts w:ascii="Arial" w:cs="Arial" w:eastAsia="Arial" w:hAnsi="Arial"/>
                <w:sz w:val="18"/>
                <w:szCs w:val="18"/>
                <w:color w:val="0000EE"/>
                <w:w w:val="95"/>
              </w:rPr>
            </w:pPr>
            <w:hyperlink r:id="rId217">
              <w:r>
                <w:rPr>
                  <w:rFonts w:ascii="Arial" w:cs="Arial" w:eastAsia="Arial" w:hAnsi="Arial"/>
                  <w:sz w:val="18"/>
                  <w:szCs w:val="18"/>
                  <w:color w:val="0000EE"/>
                  <w:w w:val="95"/>
                </w:rPr>
                <w:t>Form of Amended and Restated Side Letter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217">
              <w:r>
                <w:rPr>
                  <w:rFonts w:ascii="Arial" w:cs="Arial" w:eastAsia="Arial" w:hAnsi="Arial"/>
                  <w:sz w:val="18"/>
                  <w:szCs w:val="18"/>
                  <w:color w:val="0000EE"/>
                  <w:w w:val="93"/>
                </w:rPr>
                <w:t>Agreement by and between SoundHound AI,</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Inc. and CF Principal Investments LLC.</w:t>
              </w:r>
            </w:hyperlink>
          </w:p>
        </w:tc>
        <w:tc>
          <w:tcPr>
            <w:tcW w:w="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3360" w:type="dxa"/>
            <w:vAlign w:val="bottom"/>
            <w:gridSpan w:val="22"/>
          </w:tcPr>
          <w:p>
            <w:pPr>
              <w:spacing w:after="0"/>
              <w:rPr>
                <w:rFonts w:ascii="Arial" w:cs="Arial" w:eastAsia="Arial" w:hAnsi="Arial"/>
                <w:sz w:val="18"/>
                <w:szCs w:val="18"/>
                <w:color w:val="0000EE"/>
                <w:w w:val="89"/>
              </w:rPr>
            </w:pPr>
            <w:hyperlink r:id="rId218">
              <w:r>
                <w:rPr>
                  <w:rFonts w:ascii="Arial" w:cs="Arial" w:eastAsia="Arial" w:hAnsi="Arial"/>
                  <w:sz w:val="18"/>
                  <w:szCs w:val="18"/>
                  <w:color w:val="0000EE"/>
                  <w:w w:val="89"/>
                </w:rPr>
                <w:t>Form of Preferred Stock Purchase Agreement.</w:t>
              </w:r>
            </w:hyperlink>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8"/>
                <w:szCs w:val="18"/>
                <w:color w:val="0000EE"/>
                <w:w w:val="90"/>
              </w:rPr>
            </w:pPr>
            <w:hyperlink r:id="rId219">
              <w:r>
                <w:rPr>
                  <w:rFonts w:ascii="Arial" w:cs="Arial" w:eastAsia="Arial" w:hAnsi="Arial"/>
                  <w:sz w:val="18"/>
                  <w:szCs w:val="18"/>
                  <w:color w:val="0000EE"/>
                  <w:w w:val="90"/>
                </w:rPr>
                <w:t>Subsidiaries of the Company.</w:t>
              </w:r>
            </w:hyperlink>
          </w:p>
        </w:tc>
        <w:tc>
          <w:tcPr>
            <w:tcW w:w="10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Borders>
              <w:left w:val="single" w:sz="8" w:color="0000EE"/>
            </w:tcBorders>
            <w:gridSpan w:val="7"/>
            <w:shd w:val="clear" w:color="auto" w:fill="0000EE"/>
          </w:tcPr>
          <w:p>
            <w:pPr>
              <w:spacing w:after="0" w:line="20" w:lineRule="exact"/>
              <w:rPr>
                <w:sz w:val="1"/>
                <w:szCs w:val="1"/>
                <w:color w:val="auto"/>
              </w:rPr>
            </w:pPr>
          </w:p>
        </w:tc>
        <w:tc>
          <w:tcPr>
            <w:tcW w:w="1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33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7"/>
              </w:rPr>
              <w:t>Consent of Armanino LLP dated March 29,</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0000EE"/>
                <w:w w:val="79"/>
              </w:rPr>
              <w:t>2023.</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-8408670</wp:posOffset>
            </wp:positionV>
            <wp:extent cx="5143500" cy="5829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5143500" cy="5829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-7526020</wp:posOffset>
            </wp:positionV>
            <wp:extent cx="5143500"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-6651625</wp:posOffset>
            </wp:positionV>
            <wp:extent cx="514350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-6171565</wp:posOffset>
            </wp:positionV>
            <wp:extent cx="514350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-5811520</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-5451475</wp:posOffset>
            </wp:positionV>
            <wp:extent cx="514350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-4697095</wp:posOffset>
            </wp:positionV>
            <wp:extent cx="5143500" cy="300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-4097020</wp:posOffset>
            </wp:positionV>
            <wp:extent cx="514350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-3736975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-3119755</wp:posOffset>
            </wp:positionV>
            <wp:extent cx="5143500" cy="2997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5143500" cy="29972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-2382520</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-1628140</wp:posOffset>
            </wp:positionV>
            <wp:extent cx="5143500" cy="5746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5143500" cy="57467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-616585</wp:posOffset>
            </wp:positionV>
            <wp:extent cx="5143500"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300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23742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Exhibit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c>
          <w:tcPr>
            <w:tcW w:w="0" w:type="dxa"/>
            <w:vAlign w:val="bottom"/>
          </w:tcPr>
          <w:p>
            <w:pPr>
              <w:spacing w:after="0"/>
              <w:rPr>
                <w:sz w:val="1"/>
                <w:szCs w:val="1"/>
                <w:color w:val="auto"/>
              </w:rPr>
            </w:pPr>
          </w:p>
        </w:tc>
      </w:tr>
      <w:tr>
        <w:trPr>
          <w:trHeight w:val="47"/>
        </w:trPr>
        <w:tc>
          <w:tcPr>
            <w:tcW w:w="11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vMerge w:val="continue"/>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80" w:type="dxa"/>
            <w:vAlign w:val="bottom"/>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16, 2021</w:t>
            </w:r>
          </w:p>
        </w:tc>
        <w:tc>
          <w:tcPr>
            <w:tcW w:w="0" w:type="dxa"/>
            <w:vAlign w:val="bottom"/>
          </w:tcPr>
          <w:p>
            <w:pPr>
              <w:spacing w:after="0"/>
              <w:rPr>
                <w:sz w:val="1"/>
                <w:szCs w:val="1"/>
                <w:color w:val="auto"/>
              </w:rPr>
            </w:pPr>
          </w:p>
        </w:tc>
      </w:tr>
      <w:tr>
        <w:trPr>
          <w:trHeight w:val="89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47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47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c>
          <w:tcPr>
            <w:tcW w:w="0" w:type="dxa"/>
            <w:vAlign w:val="bottom"/>
          </w:tcPr>
          <w:p>
            <w:pPr>
              <w:spacing w:after="0"/>
              <w:rPr>
                <w:sz w:val="1"/>
                <w:szCs w:val="1"/>
                <w:color w:val="auto"/>
              </w:rPr>
            </w:pPr>
          </w:p>
        </w:tc>
      </w:tr>
      <w:tr>
        <w:trPr>
          <w:trHeight w:val="90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16, 2022</w:t>
            </w:r>
          </w:p>
        </w:tc>
        <w:tc>
          <w:tcPr>
            <w:tcW w:w="0" w:type="dxa"/>
            <w:vAlign w:val="bottom"/>
          </w:tcPr>
          <w:p>
            <w:pPr>
              <w:spacing w:after="0"/>
              <w:rPr>
                <w:sz w:val="1"/>
                <w:szCs w:val="1"/>
                <w:color w:val="auto"/>
              </w:rPr>
            </w:pPr>
          </w:p>
        </w:tc>
      </w:tr>
      <w:tr>
        <w:trPr>
          <w:trHeight w:val="473"/>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16, 2022</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September 19, 2022</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16, 2021</w:t>
            </w:r>
          </w:p>
        </w:tc>
        <w:tc>
          <w:tcPr>
            <w:tcW w:w="0" w:type="dxa"/>
            <w:vAlign w:val="bottom"/>
          </w:tcPr>
          <w:p>
            <w:pPr>
              <w:spacing w:after="0"/>
              <w:rPr>
                <w:sz w:val="1"/>
                <w:szCs w:val="1"/>
                <w:color w:val="auto"/>
              </w:rPr>
            </w:pPr>
          </w:p>
        </w:tc>
      </w:tr>
      <w:tr>
        <w:trPr>
          <w:trHeight w:val="284"/>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16, 2021</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16, 2022</w:t>
            </w:r>
          </w:p>
        </w:tc>
        <w:tc>
          <w:tcPr>
            <w:tcW w:w="0" w:type="dxa"/>
            <w:vAlign w:val="bottom"/>
          </w:tcPr>
          <w:p>
            <w:pPr>
              <w:spacing w:after="0"/>
              <w:rPr>
                <w:sz w:val="1"/>
                <w:szCs w:val="1"/>
                <w:color w:val="auto"/>
              </w:rPr>
            </w:pPr>
          </w:p>
        </w:tc>
      </w:tr>
      <w:tr>
        <w:trPr>
          <w:trHeight w:val="890"/>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Proxy</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Annex D</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8, 2022</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Statement</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Proxy</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Annex E</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8, 2022</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Statement</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284"/>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June 8, 2022</w:t>
            </w:r>
          </w:p>
        </w:tc>
        <w:tc>
          <w:tcPr>
            <w:tcW w:w="0" w:type="dxa"/>
            <w:vAlign w:val="bottom"/>
          </w:tcPr>
          <w:p>
            <w:pPr>
              <w:spacing w:after="0"/>
              <w:rPr>
                <w:sz w:val="1"/>
                <w:szCs w:val="1"/>
                <w:color w:val="auto"/>
              </w:rPr>
            </w:pPr>
          </w:p>
        </w:tc>
      </w:tr>
      <w:tr>
        <w:trPr>
          <w:trHeight w:val="68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June 8, 2022</w:t>
            </w:r>
          </w:p>
        </w:tc>
        <w:tc>
          <w:tcPr>
            <w:tcW w:w="0" w:type="dxa"/>
            <w:vAlign w:val="bottom"/>
          </w:tcPr>
          <w:p>
            <w:pPr>
              <w:spacing w:after="0"/>
              <w:rPr>
                <w:sz w:val="1"/>
                <w:szCs w:val="1"/>
                <w:color w:val="auto"/>
              </w:rPr>
            </w:pPr>
          </w:p>
        </w:tc>
      </w:tr>
      <w:tr>
        <w:trPr>
          <w:trHeight w:val="47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June 8, 2022</w:t>
            </w:r>
          </w:p>
        </w:tc>
        <w:tc>
          <w:tcPr>
            <w:tcW w:w="0" w:type="dxa"/>
            <w:vAlign w:val="bottom"/>
          </w:tcPr>
          <w:p>
            <w:pPr>
              <w:spacing w:after="0"/>
              <w:rPr>
                <w:sz w:val="1"/>
                <w:szCs w:val="1"/>
                <w:color w:val="auto"/>
              </w:rPr>
            </w:pPr>
          </w:p>
        </w:tc>
      </w:tr>
      <w:tr>
        <w:trPr>
          <w:trHeight w:val="68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June 8, 2022</w:t>
            </w:r>
          </w:p>
        </w:tc>
        <w:tc>
          <w:tcPr>
            <w:tcW w:w="0" w:type="dxa"/>
            <w:vAlign w:val="bottom"/>
          </w:tcPr>
          <w:p>
            <w:pPr>
              <w:spacing w:after="0"/>
              <w:rPr>
                <w:sz w:val="1"/>
                <w:szCs w:val="1"/>
                <w:color w:val="auto"/>
              </w:rPr>
            </w:pPr>
          </w:p>
        </w:tc>
      </w:tr>
      <w:tr>
        <w:trPr>
          <w:trHeight w:val="284"/>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16, 2022</w:t>
            </w:r>
          </w:p>
        </w:tc>
        <w:tc>
          <w:tcPr>
            <w:tcW w:w="0" w:type="dxa"/>
            <w:vAlign w:val="bottom"/>
          </w:tcPr>
          <w:p>
            <w:pPr>
              <w:spacing w:after="0"/>
              <w:rPr>
                <w:sz w:val="1"/>
                <w:szCs w:val="1"/>
                <w:color w:val="auto"/>
              </w:rPr>
            </w:pPr>
          </w:p>
        </w:tc>
      </w:tr>
      <w:tr>
        <w:trPr>
          <w:trHeight w:val="904"/>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16, 2022</w:t>
            </w:r>
          </w:p>
        </w:tc>
        <w:tc>
          <w:tcPr>
            <w:tcW w:w="0" w:type="dxa"/>
            <w:vAlign w:val="bottom"/>
          </w:tcPr>
          <w:p>
            <w:pPr>
              <w:spacing w:after="0"/>
              <w:rPr>
                <w:sz w:val="1"/>
                <w:szCs w:val="1"/>
                <w:color w:val="auto"/>
              </w:rPr>
            </w:pPr>
          </w:p>
        </w:tc>
      </w:tr>
      <w:tr>
        <w:trPr>
          <w:trHeight w:val="904"/>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14, 2023</w:t>
            </w:r>
          </w:p>
        </w:tc>
        <w:tc>
          <w:tcPr>
            <w:tcW w:w="0" w:type="dxa"/>
            <w:vAlign w:val="bottom"/>
          </w:tcPr>
          <w:p>
            <w:pPr>
              <w:spacing w:after="0"/>
              <w:rPr>
                <w:sz w:val="1"/>
                <w:szCs w:val="1"/>
                <w:color w:val="auto"/>
              </w:rPr>
            </w:pPr>
          </w:p>
        </w:tc>
      </w:tr>
      <w:tr>
        <w:trPr>
          <w:trHeight w:val="68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c>
          <w:tcPr>
            <w:tcW w:w="0" w:type="dxa"/>
            <w:vAlign w:val="bottom"/>
          </w:tcPr>
          <w:p>
            <w:pPr>
              <w:spacing w:after="0"/>
              <w:rPr>
                <w:sz w:val="1"/>
                <w:szCs w:val="1"/>
                <w:color w:val="auto"/>
              </w:rPr>
            </w:pPr>
          </w:p>
        </w:tc>
      </w:tr>
      <w:tr>
        <w:trPr>
          <w:trHeight w:val="2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2, 2022</w:t>
            </w:r>
          </w:p>
        </w:tc>
        <w:tc>
          <w:tcPr>
            <w:tcW w:w="0" w:type="dxa"/>
            <w:vAlign w:val="bottom"/>
          </w:tcPr>
          <w:p>
            <w:pPr>
              <w:spacing w:after="0"/>
              <w:rPr>
                <w:sz w:val="1"/>
                <w:szCs w:val="1"/>
                <w:color w:val="auto"/>
              </w:rPr>
            </w:pPr>
          </w:p>
        </w:tc>
      </w:tr>
    </w:tbl>
    <w:p>
      <w:pPr>
        <w:sectPr>
          <w:pgSz w:w="11900" w:h="16838" w:orient="portrait"/>
          <w:cols w:equalWidth="0" w:num="2">
            <w:col w:w="4720" w:space="100"/>
            <w:col w:w="4199"/>
          </w:cols>
          <w:pgMar w:left="1440" w:top="274" w:right="1440" w:bottom="943"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80" w:type="dxa"/>
            <w:vAlign w:val="bottom"/>
            <w:vMerge w:val="restart"/>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46"/>
        </w:trPr>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gridSpan w:val="2"/>
          </w:tcPr>
          <w:p>
            <w:pPr>
              <w:ind w:left="700"/>
              <w:spacing w:after="0"/>
              <w:rPr>
                <w:sz w:val="20"/>
                <w:szCs w:val="20"/>
                <w:color w:val="auto"/>
              </w:rPr>
            </w:pPr>
            <w:r>
              <w:rPr>
                <w:rFonts w:ascii="Arial" w:cs="Arial" w:eastAsia="Arial" w:hAnsi="Arial"/>
                <w:sz w:val="16"/>
                <w:szCs w:val="16"/>
                <w:b w:val="1"/>
                <w:bCs w:val="1"/>
                <w:color w:val="auto"/>
              </w:rPr>
              <w:t>Description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Arial" w:cs="Arial" w:eastAsia="Arial" w:hAnsi="Arial"/>
                <w:sz w:val="16"/>
                <w:szCs w:val="16"/>
                <w:b w:val="1"/>
                <w:bCs w:val="1"/>
                <w:color w:val="auto"/>
              </w:rPr>
              <w:t>Form</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w:t>
            </w:r>
          </w:p>
        </w:tc>
        <w:tc>
          <w:tcPr>
            <w:tcW w:w="1700" w:type="dxa"/>
            <w:vAlign w:val="bottom"/>
          </w:tcPr>
          <w:p>
            <w:pPr>
              <w:ind w:left="46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46"/>
        </w:trPr>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4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101.INS</w:t>
            </w:r>
          </w:p>
        </w:tc>
        <w:tc>
          <w:tcPr>
            <w:tcW w:w="264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w w:val="96"/>
              </w:rPr>
              <w:t>Inline XBRL Instance Document.</w:t>
            </w: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line="201" w:lineRule="exact"/>
              <w:rPr>
                <w:sz w:val="20"/>
                <w:szCs w:val="20"/>
                <w:color w:val="auto"/>
              </w:rPr>
            </w:pPr>
            <w:r>
              <w:rPr>
                <w:rFonts w:ascii="Arial" w:cs="Arial" w:eastAsia="Arial" w:hAnsi="Arial"/>
                <w:sz w:val="18"/>
                <w:szCs w:val="18"/>
                <w:color w:val="auto"/>
              </w:rPr>
              <w:t>101.SCH</w:t>
            </w:r>
          </w:p>
        </w:tc>
        <w:tc>
          <w:tcPr>
            <w:tcW w:w="4440" w:type="dxa"/>
            <w:vAlign w:val="bottom"/>
            <w:gridSpan w:val="7"/>
          </w:tcPr>
          <w:p>
            <w:pPr>
              <w:ind w:left="100"/>
              <w:spacing w:after="0" w:line="201" w:lineRule="exact"/>
              <w:rPr>
                <w:sz w:val="20"/>
                <w:szCs w:val="20"/>
                <w:color w:val="auto"/>
              </w:rPr>
            </w:pPr>
            <w:r>
              <w:rPr>
                <w:rFonts w:ascii="Arial" w:cs="Arial" w:eastAsia="Arial" w:hAnsi="Arial"/>
                <w:sz w:val="18"/>
                <w:szCs w:val="18"/>
                <w:color w:val="auto"/>
              </w:rPr>
              <w:t>Inline XBRL Taxonomy Extension Schema</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Inline</w:t>
            </w:r>
          </w:p>
        </w:tc>
        <w:tc>
          <w:tcPr>
            <w:tcW w:w="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XBRL</w:t>
            </w:r>
          </w:p>
        </w:tc>
        <w:tc>
          <w:tcPr>
            <w:tcW w:w="10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Taxonomy</w:t>
            </w:r>
          </w:p>
        </w:tc>
        <w:tc>
          <w:tcPr>
            <w:tcW w:w="18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Extension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w w:val="97"/>
              </w:rPr>
              <w:t>Calculation Linkbase Document.</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line="201" w:lineRule="exact"/>
              <w:rPr>
                <w:sz w:val="20"/>
                <w:szCs w:val="20"/>
                <w:color w:val="auto"/>
              </w:rPr>
            </w:pPr>
            <w:r>
              <w:rPr>
                <w:rFonts w:ascii="Arial" w:cs="Arial" w:eastAsia="Arial" w:hAnsi="Arial"/>
                <w:sz w:val="18"/>
                <w:szCs w:val="18"/>
                <w:color w:val="auto"/>
              </w:rPr>
              <w:t>101.DEF</w:t>
            </w:r>
          </w:p>
        </w:tc>
        <w:tc>
          <w:tcPr>
            <w:tcW w:w="4440" w:type="dxa"/>
            <w:vAlign w:val="bottom"/>
            <w:gridSpan w:val="7"/>
          </w:tcPr>
          <w:p>
            <w:pPr>
              <w:ind w:left="100"/>
              <w:spacing w:after="0" w:line="201" w:lineRule="exact"/>
              <w:rPr>
                <w:sz w:val="20"/>
                <w:szCs w:val="20"/>
                <w:color w:val="auto"/>
              </w:rPr>
            </w:pPr>
            <w:r>
              <w:rPr>
                <w:rFonts w:ascii="Arial" w:cs="Arial" w:eastAsia="Arial" w:hAnsi="Arial"/>
                <w:sz w:val="18"/>
                <w:szCs w:val="18"/>
                <w:color w:val="auto"/>
              </w:rPr>
              <w:t>Inline XBRL Taxonomy Extension Definition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1"/>
              </w:rPr>
              <w:t>Linkbase Document.</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380" w:type="dxa"/>
            <w:vAlign w:val="bottom"/>
            <w:gridSpan w:val="4"/>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4440" w:type="dxa"/>
            <w:vAlign w:val="bottom"/>
            <w:gridSpan w:val="7"/>
            <w:shd w:val="clear" w:color="auto" w:fill="CCEEFF"/>
          </w:tcPr>
          <w:p>
            <w:pPr>
              <w:ind w:left="100"/>
              <w:spacing w:after="0" w:line="201" w:lineRule="exact"/>
              <w:rPr>
                <w:sz w:val="20"/>
                <w:szCs w:val="20"/>
                <w:color w:val="auto"/>
              </w:rPr>
            </w:pPr>
            <w:r>
              <w:rPr>
                <w:rFonts w:ascii="Arial" w:cs="Arial" w:eastAsia="Arial" w:hAnsi="Arial"/>
                <w:sz w:val="18"/>
                <w:szCs w:val="18"/>
                <w:color w:val="auto"/>
              </w:rPr>
              <w:t>Inline  XBRL  Taxonomy  Extension  Label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w w:val="91"/>
              </w:rPr>
              <w:t>Linkbase Document.</w:t>
            </w:r>
          </w:p>
        </w:tc>
        <w:tc>
          <w:tcPr>
            <w:tcW w:w="1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Inline</w:t>
            </w:r>
          </w:p>
        </w:tc>
        <w:tc>
          <w:tcPr>
            <w:tcW w:w="940" w:type="dxa"/>
            <w:vAlign w:val="bottom"/>
          </w:tcPr>
          <w:p>
            <w:pPr>
              <w:ind w:left="160"/>
              <w:spacing w:after="0"/>
              <w:rPr>
                <w:sz w:val="20"/>
                <w:szCs w:val="20"/>
                <w:color w:val="auto"/>
              </w:rPr>
            </w:pPr>
            <w:r>
              <w:rPr>
                <w:rFonts w:ascii="Arial" w:cs="Arial" w:eastAsia="Arial" w:hAnsi="Arial"/>
                <w:sz w:val="18"/>
                <w:szCs w:val="18"/>
                <w:color w:val="auto"/>
              </w:rPr>
              <w:t>XBRL</w:t>
            </w:r>
          </w:p>
        </w:tc>
        <w:tc>
          <w:tcPr>
            <w:tcW w:w="1020" w:type="dxa"/>
            <w:vAlign w:val="bottom"/>
          </w:tcPr>
          <w:p>
            <w:pPr>
              <w:ind w:left="40"/>
              <w:spacing w:after="0"/>
              <w:rPr>
                <w:sz w:val="20"/>
                <w:szCs w:val="20"/>
                <w:color w:val="auto"/>
              </w:rPr>
            </w:pPr>
            <w:r>
              <w:rPr>
                <w:rFonts w:ascii="Arial" w:cs="Arial" w:eastAsia="Arial" w:hAnsi="Arial"/>
                <w:sz w:val="18"/>
                <w:szCs w:val="18"/>
                <w:color w:val="auto"/>
              </w:rPr>
              <w:t>Taxonomy</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Extension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40"/>
        <w:spacing w:after="0"/>
        <w:rPr>
          <w:sz w:val="20"/>
          <w:szCs w:val="20"/>
          <w:color w:val="auto"/>
        </w:rPr>
      </w:pPr>
      <w:r>
        <w:rPr>
          <w:rFonts w:ascii="Arial" w:cs="Arial" w:eastAsia="Arial" w:hAnsi="Arial"/>
          <w:sz w:val="18"/>
          <w:szCs w:val="18"/>
          <w:color w:val="auto"/>
        </w:rPr>
        <w:t>Presentation Linkbase Document.</w:t>
      </w:r>
    </w:p>
    <w:p>
      <w:pPr>
        <w:spacing w:after="0" w:line="34" w:lineRule="exact"/>
        <w:rPr>
          <w:sz w:val="20"/>
          <w:szCs w:val="20"/>
          <w:color w:val="auto"/>
        </w:rPr>
      </w:pPr>
    </w:p>
    <w:p>
      <w:pPr>
        <w:ind w:left="1340" w:right="4299" w:hanging="886"/>
        <w:spacing w:after="0" w:line="308" w:lineRule="auto"/>
        <w:tabs>
          <w:tab w:leader="none" w:pos="1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-290195</wp:posOffset>
            </wp:positionV>
            <wp:extent cx="5143500" cy="300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237">
        <w:r>
          <w:rPr>
            <w:rFonts w:ascii="Arial" w:cs="Arial" w:eastAsia="Arial" w:hAnsi="Arial"/>
            <w:sz w:val="18"/>
            <w:szCs w:val="18"/>
            <w:u w:val="single" w:color="auto"/>
            <w:color w:val="0000EE"/>
          </w:rPr>
          <w:t>Calculation of Filing Fees Table.</w:t>
        </w:r>
      </w:hyperlink>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6359" w:hanging="6"/>
        <w:spacing w:after="0" w:line="266" w:lineRule="auto"/>
        <w:tabs>
          <w:tab w:leader="none" w:pos="8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Filed or furnished herewith. ** Previously filed.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Management contract or compensatory plan or arrangement.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1320" w:right="479" w:hanging="434"/>
        <w:spacing w:after="0" w:line="277" w:lineRule="auto"/>
        <w:tabs>
          <w:tab w:leader="none" w:pos="12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720" w:hanging="402"/>
        <w:spacing w:after="0"/>
        <w:tabs>
          <w:tab w:leader="none" w:pos="17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44" w:lineRule="exact"/>
        <w:rPr>
          <w:rFonts w:ascii="Arial" w:cs="Arial" w:eastAsia="Arial" w:hAnsi="Arial"/>
          <w:sz w:val="18"/>
          <w:szCs w:val="18"/>
          <w:color w:val="auto"/>
        </w:rPr>
      </w:pPr>
    </w:p>
    <w:p>
      <w:pPr>
        <w:jc w:val="both"/>
        <w:ind w:left="1760" w:right="459" w:hanging="442"/>
        <w:spacing w:after="0" w:line="269" w:lineRule="auto"/>
        <w:tabs>
          <w:tab w:leader="none" w:pos="172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7" w:lineRule="exact"/>
        <w:rPr>
          <w:rFonts w:ascii="Arial" w:cs="Arial" w:eastAsia="Arial" w:hAnsi="Arial"/>
          <w:sz w:val="17"/>
          <w:szCs w:val="17"/>
          <w:color w:val="auto"/>
        </w:rPr>
      </w:pPr>
    </w:p>
    <w:p>
      <w:pPr>
        <w:jc w:val="both"/>
        <w:ind w:left="1760" w:right="479" w:hanging="442"/>
        <w:spacing w:after="0" w:line="263" w:lineRule="auto"/>
        <w:tabs>
          <w:tab w:leader="none" w:pos="173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320" w:right="459" w:hanging="434"/>
        <w:spacing w:after="0" w:line="259" w:lineRule="auto"/>
        <w:tabs>
          <w:tab w:leader="none" w:pos="12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2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the purpose of determining liability under the Securities Act of 1933 to any purchaser:</w:t>
      </w:r>
    </w:p>
    <w:p>
      <w:pPr>
        <w:spacing w:after="0" w:line="157" w:lineRule="exact"/>
        <w:rPr>
          <w:rFonts w:ascii="Arial" w:cs="Arial" w:eastAsia="Arial" w:hAnsi="Arial"/>
          <w:sz w:val="18"/>
          <w:szCs w:val="18"/>
          <w:color w:val="auto"/>
        </w:rPr>
      </w:pPr>
    </w:p>
    <w:p>
      <w:pPr>
        <w:ind w:left="1720" w:hanging="402"/>
        <w:spacing w:after="0"/>
        <w:tabs>
          <w:tab w:leader="none" w:pos="17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44" w:lineRule="exact"/>
        <w:rPr>
          <w:rFonts w:ascii="Arial" w:cs="Arial" w:eastAsia="Arial" w:hAnsi="Arial"/>
          <w:sz w:val="18"/>
          <w:szCs w:val="18"/>
          <w:color w:val="auto"/>
        </w:rPr>
      </w:pPr>
    </w:p>
    <w:p>
      <w:pPr>
        <w:jc w:val="both"/>
        <w:ind w:left="2180" w:right="479" w:hanging="430"/>
        <w:spacing w:after="0" w:line="263" w:lineRule="auto"/>
        <w:tabs>
          <w:tab w:leader="none" w:pos="217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2180" w:right="459" w:hanging="430"/>
        <w:spacing w:after="0" w:line="285" w:lineRule="auto"/>
        <w:tabs>
          <w:tab w:leader="none" w:pos="213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04" w:lineRule="exact"/>
        <w:rPr>
          <w:sz w:val="20"/>
          <w:szCs w:val="20"/>
          <w:color w:val="auto"/>
        </w:rPr>
      </w:pPr>
    </w:p>
    <w:p>
      <w:pPr>
        <w:jc w:val="both"/>
        <w:ind w:left="2180" w:right="459" w:hanging="430"/>
        <w:spacing w:after="0" w:line="287" w:lineRule="auto"/>
        <w:tabs>
          <w:tab w:leader="none" w:pos="2143" w:val="left"/>
        </w:tabs>
        <w:numPr>
          <w:ilvl w:val="2"/>
          <w:numId w:val="111"/>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4" w:lineRule="exact"/>
        <w:rPr>
          <w:rFonts w:ascii="Arial" w:cs="Arial" w:eastAsia="Arial" w:hAnsi="Arial"/>
          <w:sz w:val="16"/>
          <w:szCs w:val="16"/>
          <w:color w:val="auto"/>
        </w:rPr>
      </w:pPr>
    </w:p>
    <w:p>
      <w:pPr>
        <w:jc w:val="both"/>
        <w:ind w:left="1320" w:right="459" w:hanging="434"/>
        <w:spacing w:after="0" w:line="293" w:lineRule="auto"/>
        <w:tabs>
          <w:tab w:leader="none" w:pos="129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3" w:lineRule="exact"/>
        <w:rPr>
          <w:rFonts w:ascii="Arial" w:cs="Arial" w:eastAsia="Arial" w:hAnsi="Arial"/>
          <w:sz w:val="16"/>
          <w:szCs w:val="16"/>
          <w:color w:val="auto"/>
        </w:rPr>
      </w:pPr>
    </w:p>
    <w:p>
      <w:pPr>
        <w:ind w:left="1760" w:right="459" w:hanging="442"/>
        <w:spacing w:after="0" w:line="277" w:lineRule="auto"/>
        <w:tabs>
          <w:tab w:leader="none" w:pos="172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760" w:right="479" w:hanging="442"/>
        <w:spacing w:after="0" w:line="277" w:lineRule="auto"/>
        <w:tabs>
          <w:tab w:leader="none" w:pos="17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jc w:val="both"/>
        <w:ind w:left="1760" w:right="459" w:hanging="442"/>
        <w:spacing w:after="0" w:line="263" w:lineRule="auto"/>
        <w:tabs>
          <w:tab w:leader="none" w:pos="173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760" w:right="479" w:hanging="442"/>
        <w:spacing w:after="0" w:line="277" w:lineRule="auto"/>
        <w:tabs>
          <w:tab w:leader="none" w:pos="17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2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72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jc w:val="both"/>
        <w:ind w:left="1760" w:right="459" w:hanging="442"/>
        <w:spacing w:after="0" w:line="279" w:lineRule="auto"/>
        <w:tabs>
          <w:tab w:leader="none" w:pos="172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Santa Clara, State of California, on the 29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March, 2023.</w:t>
      </w:r>
    </w:p>
    <w:p>
      <w:pPr>
        <w:spacing w:after="0" w:line="11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SoundHound AI, Inc.</w:t>
      </w:r>
    </w:p>
    <w:p>
      <w:pPr>
        <w:spacing w:after="0" w:line="18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Dr. Keyvan Mohajer</w:t>
      </w:r>
    </w:p>
    <w:p>
      <w:pPr>
        <w:spacing w:after="0" w:line="7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19970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7"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Chief Executive Officer</w:t>
      </w:r>
    </w:p>
    <w:p>
      <w:pPr>
        <w:spacing w:after="0" w:line="25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2"/>
          </w:tcPr>
          <w:p>
            <w:pPr>
              <w:ind w:left="1440"/>
              <w:spacing w:after="0"/>
              <w:rPr>
                <w:sz w:val="20"/>
                <w:szCs w:val="20"/>
                <w:color w:val="auto"/>
              </w:rPr>
            </w:pPr>
            <w:r>
              <w:rPr>
                <w:rFonts w:ascii="Arial" w:cs="Arial" w:eastAsia="Arial" w:hAnsi="Arial"/>
                <w:sz w:val="16"/>
                <w:szCs w:val="16"/>
                <w:b w:val="1"/>
                <w:bCs w:val="1"/>
                <w:color w:val="auto"/>
              </w:rPr>
              <w:t>Position</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6"/>
        </w:trPr>
        <w:tc>
          <w:tcPr>
            <w:tcW w:w="25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Arial" w:cs="Arial" w:eastAsia="Arial" w:hAnsi="Arial"/>
                <w:sz w:val="18"/>
                <w:szCs w:val="18"/>
                <w:color w:val="auto"/>
              </w:rPr>
              <w:t>/s/ Dr. Keyvan Mohajer</w:t>
            </w: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29, 2023</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Dr. Keyvan Mohajer</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gridSpan w:val="3"/>
          </w:tcPr>
          <w:p>
            <w:pPr>
              <w:spacing w:after="0"/>
              <w:rPr>
                <w:sz w:val="20"/>
                <w:szCs w:val="20"/>
                <w:color w:val="auto"/>
              </w:rPr>
            </w:pPr>
            <w:r>
              <w:rPr>
                <w:rFonts w:ascii="Arial" w:cs="Arial" w:eastAsia="Arial" w:hAnsi="Arial"/>
                <w:sz w:val="18"/>
                <w:szCs w:val="18"/>
                <w:color w:val="auto"/>
              </w:rPr>
              <w:t>/s/ Nitesh Sharan</w:t>
            </w: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29, 2023</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Nitesh Sharan</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29, 2023</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James Hom</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29, 2023</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Dr. Eric Ball</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29, 2023</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Larry Marcus</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29, 2023</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Diana Sroka</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40" w:type="dxa"/>
            <w:vAlign w:val="bottom"/>
            <w:gridSpan w:val="2"/>
          </w:tcPr>
          <w:p>
            <w:pPr>
              <w:spacing w:after="0"/>
              <w:rPr>
                <w:sz w:val="20"/>
                <w:szCs w:val="20"/>
                <w:color w:val="auto"/>
              </w:rPr>
            </w:pPr>
            <w:r>
              <w:rPr>
                <w:rFonts w:ascii="Arial" w:cs="Arial" w:eastAsia="Arial" w:hAnsi="Arial"/>
                <w:sz w:val="18"/>
                <w:szCs w:val="18"/>
                <w:color w:val="auto"/>
              </w:rPr>
              <w:t>/s/ Dr. Keyvan Mohajer</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90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660" w:type="dxa"/>
            <w:vAlign w:val="bottom"/>
            <w:vMerge w:val="continue"/>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Dr. Keyvan Mohajer</w:t>
            </w:r>
          </w:p>
        </w:tc>
        <w:tc>
          <w:tcPr>
            <w:tcW w:w="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154305</wp:posOffset>
            </wp:positionV>
            <wp:extent cx="1234440" cy="3600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use in this Registration Statement on Post-Effective Amendment No. 1 to Form S-1 of our audit report dated March 28, 2023 relating to the consolidated financial statements of SoundHound AI, Inc. for the years ended December 31, 2022 and 2021, which report appears in the Registration Statement. We also consent to the reference to our firm under the heading “Experts” in this Registration Statement.</w:t>
      </w:r>
    </w:p>
    <w:p>
      <w:pPr>
        <w:spacing w:after="0" w:line="10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Armanino</w:t>
      </w:r>
      <w:r>
        <w:rPr>
          <w:rFonts w:ascii="Arial" w:cs="Arial" w:eastAsia="Arial" w:hAnsi="Arial"/>
          <w:sz w:val="29"/>
          <w:szCs w:val="29"/>
          <w:color w:val="auto"/>
          <w:vertAlign w:val="superscript"/>
        </w:rPr>
        <w:t>LLP</w:t>
      </w:r>
    </w:p>
    <w:p>
      <w:pPr>
        <w:ind w:left="6760"/>
        <w:spacing w:after="0"/>
        <w:rPr>
          <w:sz w:val="20"/>
          <w:szCs w:val="20"/>
          <w:color w:val="auto"/>
        </w:rPr>
      </w:pPr>
      <w:r>
        <w:rPr>
          <w:rFonts w:ascii="Arial" w:cs="Arial" w:eastAsia="Arial" w:hAnsi="Arial"/>
          <w:sz w:val="18"/>
          <w:szCs w:val="18"/>
          <w:color w:val="auto"/>
        </w:rPr>
        <w:t>San Jose, California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1523365</wp:posOffset>
            </wp:positionV>
            <wp:extent cx="822960" cy="5568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822960" cy="55689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lowerRoman"/>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1)"/>
      <w:numFmt w:val="decimal"/>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1)"/>
      <w:numFmt w:val="decimal"/>
      <w:start w:val="1"/>
    </w:lvl>
  </w:abstractNum>
  <w:abstractNum w:abstractNumId="41">
    <w:nsid w:val="42963E5A"/>
    <w:multiLevelType w:val="hybridMultilevel"/>
    <w:lvl w:ilvl="0">
      <w:lvlJc w:val="left"/>
      <w:lvlText w:val="(%1)"/>
      <w:numFmt w:val="upperLetter"/>
      <w:start w:val="2"/>
    </w:lvl>
  </w:abstractNum>
  <w:abstractNum w:abstractNumId="42">
    <w:nsid w:val="A0382C5"/>
    <w:multiLevelType w:val="hybridMultilevel"/>
    <w:lvl w:ilvl="0">
      <w:lvlJc w:val="left"/>
      <w:lvlText w:val="(%1)"/>
      <w:numFmt w:val="upperLetter"/>
      <w:start w:val="4"/>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Letter"/>
      <w:start w:val="2"/>
    </w:lvl>
  </w:abstractNum>
  <w:abstractNum w:abstractNumId="45">
    <w:nsid w:val="3B0FD379"/>
    <w:multiLevelType w:val="hybridMultilevel"/>
    <w:lvl w:ilvl="0">
      <w:lvlJc w:val="left"/>
      <w:lvlText w:val="%1)"/>
      <w:numFmt w:val="lowerLetter"/>
      <w:start w:val="3"/>
    </w:lvl>
  </w:abstractNum>
  <w:abstractNum w:abstractNumId="46">
    <w:nsid w:val="68EB2F63"/>
    <w:multiLevelType w:val="hybridMultilevel"/>
    <w:lvl w:ilvl="0">
      <w:lvlJc w:val="left"/>
      <w:lvlText w:val="(%1)"/>
      <w:numFmt w:val="lowerLetter"/>
      <w:start w:val="2"/>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Letter"/>
      <w:start w:val="3"/>
    </w:lvl>
  </w:abstractNum>
  <w:abstractNum w:abstractNumId="49">
    <w:nsid w:val="6A5EE64"/>
    <w:multiLevelType w:val="hybridMultilevel"/>
    <w:lvl w:ilvl="0">
      <w:lvlJc w:val="left"/>
      <w:lvlText w:val="(%1)"/>
      <w:numFmt w:val="lowerLetter"/>
      <w:start w:val="6"/>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lowerLetter"/>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1)"/>
      <w:numFmt w:val="decimal"/>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1)"/>
      <w:numFmt w:val="decimal"/>
      <w:start w:val="9"/>
    </w:lvl>
  </w:abstractNum>
  <w:abstractNum w:abstractNumId="61">
    <w:nsid w:val="4C04A8AF"/>
    <w:multiLevelType w:val="hybridMultilevel"/>
    <w:lvl w:ilvl="0">
      <w:lvlJc w:val="left"/>
      <w:lvlText w:val="(%1)"/>
      <w:numFmt w:val="lowerRoman"/>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decimal"/>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2"/>
    </w:lvl>
  </w:abstractNum>
  <w:abstractNum w:abstractNumId="69">
    <w:nsid w:val="4A2AC315"/>
    <w:multiLevelType w:val="hybridMultilevel"/>
    <w:lvl w:ilvl="0">
      <w:lvlJc w:val="left"/>
      <w:lvlText w:val="%1."/>
      <w:numFmt w:val="decimal"/>
      <w:start w:val="2"/>
    </w:lvl>
  </w:abstractNum>
  <w:abstractNum w:abstractNumId="70">
    <w:nsid w:val="39EE015C"/>
    <w:multiLevelType w:val="hybridMultilevel"/>
    <w:lvl w:ilvl="0">
      <w:lvlJc w:val="left"/>
      <w:lvlText w:val="%1."/>
      <w:numFmt w:val="decimal"/>
      <w:start w:val="2"/>
    </w:lvl>
  </w:abstractNum>
  <w:abstractNum w:abstractNumId="71">
    <w:nsid w:val="57FC4FBB"/>
    <w:multiLevelType w:val="hybridMultilevel"/>
    <w:lvl w:ilvl="0">
      <w:lvlJc w:val="left"/>
      <w:lvlText w:val="%1."/>
      <w:numFmt w:val="decimal"/>
      <w:start w:val="2"/>
    </w:lvl>
  </w:abstractNum>
  <w:abstractNum w:abstractNumId="72">
    <w:nsid w:val="CC1016F"/>
    <w:multiLevelType w:val="hybridMultilevel"/>
    <w:lvl w:ilvl="0">
      <w:lvlJc w:val="left"/>
      <w:lvlText w:val="(%1)"/>
      <w:numFmt w:val="lowerRoman"/>
      <w:start w:val="2"/>
    </w:lvl>
  </w:abstractNum>
  <w:abstractNum w:abstractNumId="73">
    <w:nsid w:val="43F18422"/>
    <w:multiLevelType w:val="hybridMultilevel"/>
    <w:lvl w:ilvl="0">
      <w:lvlJc w:val="left"/>
      <w:lvlText w:val="(%1)"/>
      <w:numFmt w:val="lowerRoman"/>
      <w:start w:val="1"/>
    </w:lvl>
  </w:abstractNum>
  <w:abstractNum w:abstractNumId="74">
    <w:nsid w:val="60EF0119"/>
    <w:multiLevelType w:val="hybridMultilevel"/>
    <w:lvl w:ilvl="0">
      <w:lvlJc w:val="left"/>
      <w:lvlText w:val="%1."/>
      <w:numFmt w:val="decimal"/>
      <w:start w:val="2"/>
    </w:lvl>
  </w:abstractNum>
  <w:abstractNum w:abstractNumId="75">
    <w:nsid w:val="26F324BA"/>
    <w:multiLevelType w:val="hybridMultilevel"/>
    <w:lvl w:ilvl="0">
      <w:lvlJc w:val="left"/>
      <w:lvlText w:val="%1."/>
      <w:numFmt w:val="decimal"/>
      <w:start w:val="2"/>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1."/>
      <w:numFmt w:val="decimal"/>
      <w:start w:val="2"/>
    </w:lvl>
  </w:abstractNum>
  <w:abstractNum w:abstractNumId="78">
    <w:nsid w:val="7055A5F5"/>
    <w:multiLevelType w:val="hybridMultilevel"/>
    <w:lvl w:ilvl="0">
      <w:lvlJc w:val="left"/>
      <w:lvlText w:val="%1."/>
      <w:numFmt w:val="decimal"/>
      <w:start w:val="2"/>
    </w:lvl>
  </w:abstractNum>
  <w:abstractNum w:abstractNumId="79">
    <w:nsid w:val="5FB8370B"/>
    <w:multiLevelType w:val="hybridMultilevel"/>
    <w:lvl w:ilvl="0">
      <w:lvlJc w:val="left"/>
      <w:lvlText w:val="(%1)"/>
      <w:numFmt w:val="lowerRoman"/>
      <w:start w:val="3"/>
    </w:lvl>
  </w:abstractNum>
  <w:abstractNum w:abstractNumId="80">
    <w:nsid w:val="50801EE1"/>
    <w:multiLevelType w:val="hybridMultilevel"/>
    <w:lvl w:ilvl="0">
      <w:lvlJc w:val="left"/>
      <w:lvlText w:val="•"/>
      <w:numFmt w:val="bullet"/>
      <w:start w:val="1"/>
    </w:lvl>
    <w:lvl w:ilvl="1">
      <w:lvlJc w:val="left"/>
      <w:lvlText w:val="(%2)"/>
      <w:numFmt w:val="decimal"/>
      <w:start w:val="2"/>
    </w:lvl>
  </w:abstractNum>
  <w:abstractNum w:abstractNumId="81">
    <w:nsid w:val="488AC1A"/>
    <w:multiLevelType w:val="hybridMultilevel"/>
    <w:lvl w:ilvl="0">
      <w:lvlJc w:val="left"/>
      <w:lvlText w:val="%1."/>
      <w:numFmt w:val="decimal"/>
      <w:start w:val="3"/>
    </w:lvl>
  </w:abstractNum>
  <w:abstractNum w:abstractNumId="82">
    <w:nsid w:val="5FB8011C"/>
    <w:multiLevelType w:val="hybridMultilevel"/>
    <w:lvl w:ilvl="0">
      <w:lvlJc w:val="left"/>
      <w:lvlText w:val="%1."/>
      <w:numFmt w:val="decimal"/>
      <w:start w:val="3"/>
    </w:lvl>
  </w:abstractNum>
  <w:abstractNum w:abstractNumId="83">
    <w:nsid w:val="6AA78F7F"/>
    <w:multiLevelType w:val="hybridMultilevel"/>
    <w:lvl w:ilvl="0">
      <w:lvlJc w:val="left"/>
      <w:lvlText w:val="%1."/>
      <w:numFmt w:val="decimal"/>
      <w:start w:val="3"/>
    </w:lvl>
  </w:abstractNum>
  <w:abstractNum w:abstractNumId="84">
    <w:nsid w:val="7672BD23"/>
    <w:multiLevelType w:val="hybridMultilevel"/>
    <w:lvl w:ilvl="0">
      <w:lvlJc w:val="left"/>
      <w:lvlText w:val="%1."/>
      <w:numFmt w:val="decimal"/>
      <w:start w:val="4"/>
    </w:lvl>
  </w:abstractNum>
  <w:abstractNum w:abstractNumId="85">
    <w:nsid w:val="6FC75AF8"/>
    <w:multiLevelType w:val="hybridMultilevel"/>
    <w:lvl w:ilvl="0">
      <w:lvlJc w:val="left"/>
      <w:lvlText w:val="%1."/>
      <w:numFmt w:val="decimal"/>
      <w:start w:val="4"/>
    </w:lvl>
  </w:abstractNum>
  <w:abstractNum w:abstractNumId="86">
    <w:nsid w:val="6A5F7029"/>
    <w:multiLevelType w:val="hybridMultilevel"/>
    <w:lvl w:ilvl="0">
      <w:lvlJc w:val="left"/>
      <w:lvlText w:val="%1."/>
      <w:numFmt w:val="decimal"/>
      <w:start w:val="4"/>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1."/>
      <w:numFmt w:val="decimal"/>
      <w:start w:val="4"/>
    </w:lvl>
  </w:abstractNum>
  <w:abstractNum w:abstractNumId="89">
    <w:nsid w:val="73A1821B"/>
    <w:multiLevelType w:val="hybridMultilevel"/>
    <w:lvl w:ilvl="0">
      <w:lvlJc w:val="left"/>
      <w:lvlText w:val="%1."/>
      <w:numFmt w:val="decimal"/>
      <w:start w:val="4"/>
    </w:lvl>
  </w:abstractNum>
  <w:abstractNum w:abstractNumId="90">
    <w:nsid w:val="7DE67713"/>
    <w:multiLevelType w:val="hybridMultilevel"/>
    <w:lvl w:ilvl="0">
      <w:lvlJc w:val="left"/>
      <w:lvlText w:val="%1."/>
      <w:numFmt w:val="decimal"/>
      <w:start w:val="5"/>
    </w:lvl>
  </w:abstractNum>
  <w:abstractNum w:abstractNumId="91">
    <w:nsid w:val="555C55B5"/>
    <w:multiLevelType w:val="hybridMultilevel"/>
    <w:lvl w:ilvl="0">
      <w:lvlJc w:val="left"/>
      <w:lvlText w:val="%1."/>
      <w:numFmt w:val="decimal"/>
      <w:start w:val="7"/>
    </w:lvl>
  </w:abstractNum>
  <w:abstractNum w:abstractNumId="92">
    <w:nsid w:val="3FA62ACA"/>
    <w:multiLevelType w:val="hybridMultilevel"/>
    <w:lvl w:ilvl="0">
      <w:lvlJc w:val="left"/>
      <w:lvlText w:val="%1."/>
      <w:numFmt w:val="decimal"/>
      <w:start w:val="8"/>
    </w:lvl>
  </w:abstractNum>
  <w:abstractNum w:abstractNumId="93">
    <w:nsid w:val="14FCE74E"/>
    <w:multiLevelType w:val="hybridMultilevel"/>
    <w:lvl w:ilvl="0">
      <w:lvlJc w:val="left"/>
      <w:lvlText w:val="%1."/>
      <w:numFmt w:val="decimal"/>
      <w:start w:val="8"/>
    </w:lvl>
  </w:abstractNum>
  <w:abstractNum w:abstractNumId="94">
    <w:nsid w:val="6A3DD3E8"/>
    <w:multiLevelType w:val="hybridMultilevel"/>
    <w:lvl w:ilvl="0">
      <w:lvlJc w:val="left"/>
      <w:lvlText w:val="%1."/>
      <w:numFmt w:val="decimal"/>
      <w:start w:val="9"/>
    </w:lvl>
  </w:abstractNum>
  <w:abstractNum w:abstractNumId="95">
    <w:nsid w:val="71C91298"/>
    <w:multiLevelType w:val="hybridMultilevel"/>
    <w:lvl w:ilvl="0">
      <w:lvlJc w:val="left"/>
      <w:lvlText w:val="%1."/>
      <w:numFmt w:val="decimal"/>
      <w:start w:val="9"/>
    </w:lvl>
  </w:abstractNum>
  <w:abstractNum w:abstractNumId="96">
    <w:nsid w:val="9DAF632"/>
    <w:multiLevelType w:val="hybridMultilevel"/>
    <w:lvl w:ilvl="0">
      <w:lvlJc w:val="left"/>
      <w:lvlText w:val="(%1)"/>
      <w:numFmt w:val="lowerLetter"/>
      <w:start w:val="2"/>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1."/>
      <w:numFmt w:val="decimal"/>
      <w:start w:val="9"/>
    </w:lvl>
  </w:abstractNum>
  <w:abstractNum w:abstractNumId="99">
    <w:nsid w:val="5092CA79"/>
    <w:multiLevelType w:val="hybridMultilevel"/>
    <w:lvl w:ilvl="0">
      <w:lvlJc w:val="left"/>
      <w:lvlText w:val="%1."/>
      <w:numFmt w:val="decimal"/>
      <w:start w:val="9"/>
    </w:lvl>
  </w:abstractNum>
  <w:abstractNum w:abstractNumId="100">
    <w:nsid w:val="1D545C4D"/>
    <w:multiLevelType w:val="hybridMultilevel"/>
    <w:lvl w:ilvl="0">
      <w:lvlJc w:val="left"/>
      <w:lvlText w:val="%1."/>
      <w:numFmt w:val="decimal"/>
      <w:start w:val="9"/>
    </w:lvl>
  </w:abstractNum>
  <w:abstractNum w:abstractNumId="101">
    <w:nsid w:val="59ADEA3D"/>
    <w:multiLevelType w:val="hybridMultilevel"/>
    <w:lvl w:ilvl="0">
      <w:lvlJc w:val="left"/>
      <w:lvlText w:val="%1."/>
      <w:numFmt w:val="decimal"/>
      <w:start w:val="11"/>
    </w:lvl>
  </w:abstractNum>
  <w:abstractNum w:abstractNumId="102">
    <w:nsid w:val="288F1A34"/>
    <w:multiLevelType w:val="hybridMultilevel"/>
    <w:lvl w:ilvl="0">
      <w:lvlJc w:val="left"/>
      <w:lvlText w:val="(%1)"/>
      <w:numFmt w:val="lowerLetter"/>
      <w:start w:val="2"/>
    </w:lvl>
  </w:abstractNum>
  <w:abstractNum w:abstractNumId="103">
    <w:nsid w:val="2A155DBC"/>
    <w:multiLevelType w:val="hybridMultilevel"/>
    <w:lvl w:ilvl="0">
      <w:lvlJc w:val="left"/>
      <w:lvlText w:val="%1."/>
      <w:numFmt w:val="decimal"/>
      <w:start w:val="14"/>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decimal"/>
      <w:start w:val="104"/>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09">
    <w:nsid w:val="415E286C"/>
    <w:multiLevelType w:val="hybridMultilevel"/>
    <w:lvl w:ilvl="0">
      <w:lvlJc w:val="left"/>
      <w:lvlText w:val="(%1)"/>
      <w:numFmt w:val="lowerLetter"/>
      <w:start w:val="2"/>
    </w:lvl>
  </w:abstractNum>
  <w:abstractNum w:abstractNumId="110">
    <w:nsid w:val="7C58FD0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11">
    <w:nsid w:val="23D86AAC"/>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abstractNum>
  <w:abstractNum w:abstractNumId="112">
    <w:nsid w:val="45E6D486"/>
    <w:multiLevelType w:val="hybridMultilevel"/>
    <w:lvl w:ilvl="0">
      <w:lvlJc w:val="left"/>
      <w:lvlText w:val="%1."/>
      <w:numFmt w:val="decimal"/>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jpeg"/><Relationship Id="rId244" Type="http://schemas.openxmlformats.org/officeDocument/2006/relationships/image" Target="media/image211.jpeg"/><Relationship Id="rId195" Type="http://schemas.openxmlformats.org/officeDocument/2006/relationships/hyperlink" Target="https://www.sec.gov/Archives/edgar/data/1840856/000121390021059752/ea150505ex2-1_archimedes.htm" TargetMode="External"/><Relationship Id="rId196" Type="http://schemas.openxmlformats.org/officeDocument/2006/relationships/hyperlink" Target="http://www.sec.gov/Archives/edgar/data/1840856/000121390022023274/ea159193ex3-1_soundhound.htm" TargetMode="External"/><Relationship Id="rId197" Type="http://schemas.openxmlformats.org/officeDocument/2006/relationships/hyperlink" Target="http://www.sec.gov/Archives/edgar/data/1840856/000121390022023274/ea159193ex3-2_soundhound.htm" TargetMode="External"/><Relationship Id="rId198" Type="http://schemas.openxmlformats.org/officeDocument/2006/relationships/hyperlink" Target="http://www.sec.gov/Archives/edgar/data/1840856/000184085623000008/a31preferredstockcertifica.htm" TargetMode="External"/><Relationship Id="rId199" Type="http://schemas.openxmlformats.org/officeDocument/2006/relationships/hyperlink" Target="http://www.sec.gov/Archives/edgar/data/1840856/000121390022023274/ea159193ex4-1_soundhound.htm" TargetMode="External"/><Relationship Id="rId200" Type="http://schemas.openxmlformats.org/officeDocument/2006/relationships/hyperlink" Target="http://www.sec.gov/Archives/edgar/data/1840856/000121390022026797/fs12022ex4-2_soundhound.htm" TargetMode="External"/><Relationship Id="rId201" Type="http://schemas.openxmlformats.org/officeDocument/2006/relationships/hyperlink" Target="http://www.sec.gov/Archives/edgar/data/1840856/000121390022026797/fs12022ex4-3_soundhound.htm" TargetMode="External"/><Relationship Id="rId202" Type="http://schemas.openxmlformats.org/officeDocument/2006/relationships/hyperlink" Target="http://www.sec.gov/Archives/edgar/data/1840856/000121390022057012/fs12022ex5-1_soundhound.htm" TargetMode="External"/><Relationship Id="rId203" Type="http://schemas.openxmlformats.org/officeDocument/2006/relationships/hyperlink" Target="http://www.sec.gov/Archives/edgar/data/1840856/000121390021059752/ea150505ex10-3_archimedes.htm" TargetMode="External"/><Relationship Id="rId204" Type="http://schemas.openxmlformats.org/officeDocument/2006/relationships/hyperlink" Target="http://www.sec.gov/Archives/edgar/data/1840856/000121390021059752/ea150505ex10-4_archimedes.htm" TargetMode="External"/><Relationship Id="rId205" Type="http://schemas.openxmlformats.org/officeDocument/2006/relationships/hyperlink" Target="http://www.sec.gov/Archives/edgar/data/1840856/000121390022026797/fs12022ex10-3_soundhound.htm" TargetMode="External"/><Relationship Id="rId206" Type="http://schemas.openxmlformats.org/officeDocument/2006/relationships/hyperlink" Target="https://www.sec.gov/Archives/edgar/data/1840856/000121390022018967/f424b30422_archimedes.htm#T601" TargetMode="External"/><Relationship Id="rId207" Type="http://schemas.openxmlformats.org/officeDocument/2006/relationships/hyperlink" Target="http://www.sec.gov/Archives/edgar/data/1840856/000121390022018967/f424b30422_archimedes.htm#T602" TargetMode="External"/><Relationship Id="rId208" Type="http://schemas.openxmlformats.org/officeDocument/2006/relationships/hyperlink" Target="http://www.sec.gov/Archives/edgar/data/1840856/000121390022023274/ea159193ex10-8_soundhound.htm" TargetMode="External"/><Relationship Id="rId209" Type="http://schemas.openxmlformats.org/officeDocument/2006/relationships/hyperlink" Target="https://www.sec.gov/Archives/edgar/data/1840856/000121390022023274/ea159193ex10-9_soundhound.htm" TargetMode="External"/><Relationship Id="rId210" Type="http://schemas.openxmlformats.org/officeDocument/2006/relationships/hyperlink" Target="http://www.sec.gov/Archives/edgar/data/1840856/000121390022023274/ea159193ex10-10_soundhound.htm" TargetMode="External"/><Relationship Id="rId211" Type="http://schemas.openxmlformats.org/officeDocument/2006/relationships/hyperlink" Target="http://www.sec.gov/Archives/edgar/data/1840856/000121390022031794/ea161309ex10-1_soundhound.htm" TargetMode="External"/><Relationship Id="rId212" Type="http://schemas.openxmlformats.org/officeDocument/2006/relationships/hyperlink" Target="http://www.sec.gov/Archives/edgar/data/1840856/000121390022031794/ea161309ex10-2_soundhound.htm" TargetMode="External"/><Relationship Id="rId213" Type="http://schemas.openxmlformats.org/officeDocument/2006/relationships/hyperlink" Target="http://www.sec.gov/Archives/edgar/data/1840856/000121390022031794/ea161309ex10-3_soundhound.htm" TargetMode="External"/><Relationship Id="rId214" Type="http://schemas.openxmlformats.org/officeDocument/2006/relationships/hyperlink" Target="http://www.sec.gov/Archives/edgar/data/1840856/000121390022031794/ea161309ex10-4_soundhound.htm" TargetMode="External"/><Relationship Id="rId215" Type="http://schemas.openxmlformats.org/officeDocument/2006/relationships/hyperlink" Target="https://www.sec.gov/Archives/edgar/data/1840856/000121390022049015/ea164559ex10-1_sound.htm" TargetMode="External"/><Relationship Id="rId216" Type="http://schemas.openxmlformats.org/officeDocument/2006/relationships/hyperlink" Target="http://www.sec.gov/Archives/edgar/data/1840856/000121390022049015/ea164559ex10-2_sound.htm" TargetMode="External"/><Relationship Id="rId217" Type="http://schemas.openxmlformats.org/officeDocument/2006/relationships/hyperlink" Target="http://www.sec.gov/Archives/edgar/data/1840856/000121390023011606/fs12023a4ex10-15_soundhound.htm" TargetMode="External"/><Relationship Id="rId218" Type="http://schemas.openxmlformats.org/officeDocument/2006/relationships/hyperlink" Target="http://www.sec.gov/Archives/edgar/data/1840856/000184085623000008/a101preferredstockpurchase.htm" TargetMode="External"/><Relationship Id="rId219" Type="http://schemas.openxmlformats.org/officeDocument/2006/relationships/hyperlink" Target="http://www.sec.gov/Archives/edgar/data/1840856/000121390022023274/ea159193ex21-1_soundhound.htm" TargetMode="External"/><Relationship Id="rId237" Type="http://schemas.openxmlformats.org/officeDocument/2006/relationships/hyperlink" Target="https://www.sec.gov/Archives/edgar/data/1840856/000121390022057012/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2023-03-29T16:13:36Z</dcterms:created>
  <dcterms:modified xsi:type="dcterms:W3CDTF">2023-03-29T16:13:36Z</dcterms:modified>
</cp:coreProperties>
</file>