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40" w:type="dxa"/>
            <w:vAlign w:val="bottom"/>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40" w:type="dxa"/>
            <w:vAlign w:val="bottom"/>
          </w:tcPr>
          <w:p>
            <w:pPr>
              <w:spacing w:after="0"/>
              <w:rPr>
                <w:sz w:val="20"/>
                <w:szCs w:val="20"/>
                <w:color w:val="auto"/>
              </w:rPr>
            </w:pPr>
          </w:p>
        </w:tc>
      </w:tr>
      <w:tr>
        <w:trPr>
          <w:trHeight w:val="432"/>
        </w:trPr>
        <w:tc>
          <w:tcPr>
            <w:tcW w:w="8000" w:type="dxa"/>
            <w:vAlign w:val="bottom"/>
            <w:gridSpan w:val="8"/>
          </w:tcPr>
          <w:p>
            <w:pPr>
              <w:jc w:val="center"/>
              <w:ind w:left="315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12, 2024</w:t>
            </w:r>
          </w:p>
        </w:tc>
        <w:tc>
          <w:tcPr>
            <w:tcW w:w="324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324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2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39"/>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8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5"/>
        </w:trPr>
        <w:tc>
          <w:tcPr>
            <w:tcW w:w="3680" w:type="dxa"/>
            <w:vAlign w:val="bottom"/>
            <w:tcBorders>
              <w:bottom w:val="single" w:sz="8" w:color="auto"/>
            </w:tcBorders>
            <w:gridSpan w:val="2"/>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60" w:type="dxa"/>
            <w:vAlign w:val="bottom"/>
            <w:gridSpan w:val="3"/>
          </w:tcPr>
          <w:p>
            <w:pPr>
              <w:spacing w:after="0"/>
              <w:rPr>
                <w:sz w:val="20"/>
                <w:szCs w:val="20"/>
                <w:color w:val="auto"/>
              </w:rPr>
            </w:pPr>
          </w:p>
        </w:tc>
        <w:tc>
          <w:tcPr>
            <w:tcW w:w="324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June 12, 2024, 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completed its 2024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number of shares of Class A common stock, par value $0.0001 per share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entitled to vote at the Annual Meeting was 287,715,003 shares and the number of shares of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together with the Class A Common Stock, the “</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entitled to vote at the Annual Meeting was 32,735,408 shares. Stockholders were entitled to one vote for each share of Class A Common Stock owned and 10 votes for each share of Class B Common Stock owned. The number of shares of Voting Stock present or represented by valid proxy at the Annual Meeting was 167,689,284 shares representing 462,307,956 votes. At the Annual Meeting, the Company’s stockholders (i) re-elected each of Dr. Keyvan Mohajer, James Hom, Larry Marcus, Diana Sroka and Dr. Eric Ball as directors, (ii) ratified the appointment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of PricewaterhouseCoopers LLP as the Company’s independent registered public accounting firm for the fiscal year ending December 31, 2024, (iii) approved, on a non-binding, advisory basis, the compensation of the Company’s named executive officers, and (iv) selected, on a non-binding, advisory basis, three years as the frequency of conducting future stockholder advisory votes on named executive officer compensation. The following is a tabulation of the voting on the proposals presented at the Annual Meeting: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1 – Election of directors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Dr. Keyvan Mohajer, James Hom, Larry Marcus, Diana Sroka and Dr. Eric Ball were elected to serve until the 2025 annual meeting of stockholders or until his or her successor is duly elected and qualified or until his or her earlier resignation or removal or otherwise is disqualified from serving as a director of the Company. The voting results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Voted For</w:t>
            </w:r>
          </w:p>
        </w:tc>
        <w:tc>
          <w:tcPr>
            <w:tcW w:w="13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352,926,368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1,982,540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107,399,048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Hom</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351,517,607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3,391,301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107,399,048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344,683,806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10,225,102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107,399,048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353,793,829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1,115,079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107,399,048</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350,538,703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4,370,205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107,399,048</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2 – Ratification of the appointment by the Board of the Company of PricewaterhouseCoopers LLP as the Company’s independent registered public accounting firm for the fiscal year ending December 31, 2024</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ratification of the appointment by the Company’s Board of PricewaterhouseCoopers LLP as the Company’s independent registered public accounting firm for the fiscal year ending December 31, 2024, was approved.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6"/>
        </w:trPr>
        <w:tc>
          <w:tcPr>
            <w:tcW w:w="3720" w:type="dxa"/>
            <w:vAlign w:val="bottom"/>
            <w:tcBorders>
              <w:top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459,478,592</w:t>
            </w:r>
          </w:p>
        </w:tc>
        <w:tc>
          <w:tcPr>
            <w:tcW w:w="12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2,055,472</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773,892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No. 3 – Approval, on a non-binding, advisory basis, of the compensation of named executive officers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of the Company’s named executive officers was approved on a non-binding, advisory basis. The voting results were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Abstentions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820" w:type="dxa"/>
            <w:vAlign w:val="bottom"/>
            <w:tcBorders>
              <w:top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351,089,293</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rPr>
              <w:t>3,123,694</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695,921</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107,399,048</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No. 4 – Selection, on a non-binding, advisory basis, of the frequency of conducting future stockholder advisory votes on named executive officer compensation</w:t>
      </w:r>
    </w:p>
    <w:p>
      <w:pPr>
        <w:spacing w:after="0" w:line="15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option of three years was approved, on a non-binding, advisory basis, as the frequency of conducting future stockholder advisory votes on named executive officer compensation. The voting results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1 Year</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2 Years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3 Years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2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14,856,427</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1,635,474</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337,717,920</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699,087</w:t>
            </w:r>
          </w:p>
        </w:tc>
        <w:tc>
          <w:tcPr>
            <w:tcW w:w="10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107,399,048</w:t>
            </w:r>
          </w:p>
        </w:tc>
      </w:tr>
      <w:tr>
        <w:trPr>
          <w:trHeight w:val="655"/>
        </w:trPr>
        <w:tc>
          <w:tcPr>
            <w:tcW w:w="2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14,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2024-06-14T15:12:52Z</dcterms:created>
  <dcterms:modified xsi:type="dcterms:W3CDTF">2024-06-14T15:12:52Z</dcterms:modified>
</cp:coreProperties>
</file>