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SROKA DIANA</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SOUNDHOUND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SOUN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SOUNDHOUND AI,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12/23/2024</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5400 BETSY ROSS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2"/>
              </w:rPr>
              <w:t>CA</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5"/>
                <w:szCs w:val="15"/>
                <w:color w:val="auto"/>
              </w:rPr>
            </w:pPr>
          </w:p>
        </w:tc>
        <w:tc>
          <w:tcPr>
            <w:tcW w:w="17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40" w:type="dxa"/>
            <w:vAlign w:val="bottom"/>
          </w:tcPr>
          <w:p>
            <w:pPr>
              <w:spacing w:after="0"/>
              <w:rPr>
                <w:sz w:val="11"/>
                <w:szCs w:val="11"/>
                <w:color w:val="auto"/>
              </w:rPr>
            </w:pPr>
          </w:p>
        </w:tc>
        <w:tc>
          <w:tcPr>
            <w:tcW w:w="19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12/23/2024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3,402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142,252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transaction was effected pursuant to a Rule 10b5-1 trading plan adopted by the reporting person in August 2024.</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12/26/2024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SROKA DIANA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SROKA DIANA - CIK # 0001920484</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4"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2024-12-26T16:36:01Z</dcterms:created>
  <dcterms:modified xsi:type="dcterms:W3CDTF">2024-12-26T16:36:01Z</dcterms:modified>
</cp:coreProperties>
</file>