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295910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SoundHound AI,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Class A 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836100 107</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Global Catalyst Partners III, L.P.</w:t>
      </w:r>
    </w:p>
    <w:p>
      <w:pPr>
        <w:spacing w:after="0" w:line="27"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3903 Little Valley Road</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Sunol, CA 94586</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July 5, 2023</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Statement on Schedule 13D)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left="4" w:right="140"/>
        <w:spacing w:after="0" w:line="238"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checking the following box. </w:t>
      </w:r>
      <w:r>
        <w:rPr>
          <w:rFonts w:ascii="MS PGothic" w:cs="MS PGothic" w:eastAsia="MS PGothic" w:hAnsi="MS PGothic"/>
          <w:sz w:val="18"/>
          <w:szCs w:val="18"/>
          <w:color w:val="auto"/>
        </w:rPr>
        <w:t>☐</w:t>
      </w:r>
    </w:p>
    <w:p>
      <w:pPr>
        <w:spacing w:after="0" w:line="201" w:lineRule="exact"/>
        <w:rPr>
          <w:sz w:val="24"/>
          <w:szCs w:val="24"/>
          <w:color w:val="auto"/>
        </w:rPr>
      </w:pPr>
    </w:p>
    <w:p>
      <w:pPr>
        <w:ind w:left="444" w:hanging="444"/>
        <w:spacing w:after="0" w:line="308" w:lineRule="auto"/>
        <w:tabs>
          <w:tab w:leader="none" w:pos="44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4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177165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4"/>
          </w:cols>
          <w:pgMar w:left="436" w:top="382" w:right="499" w:bottom="1440" w:gutter="0" w:footer="0" w:header="0"/>
        </w:sectPr>
      </w:pPr>
    </w:p>
    <w:bookmarkStart w:id="1" w:name="page2"/>
    <w:bookmarkEnd w:id="1"/>
    <w:p>
      <w:pPr>
        <w:ind w:left="744" w:right="7800" w:hanging="497"/>
        <w:spacing w:after="0" w:line="457" w:lineRule="auto"/>
        <w:tabs>
          <w:tab w:leader="none" w:pos="744" w:val="left"/>
        </w:tabs>
        <w:numPr>
          <w:ilvl w:val="0"/>
          <w:numId w:val="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t>Name of Reporting Persons: Global Catalyst Partners III, L.P.</w:t>
      </w:r>
    </w:p>
    <w:p>
      <w:pPr>
        <w:spacing w:after="0" w:line="1" w:lineRule="exact"/>
        <w:rPr>
          <w:rFonts w:ascii="Arial" w:cs="Arial" w:eastAsia="Arial" w:hAnsi="Arial"/>
          <w:sz w:val="16"/>
          <w:szCs w:val="16"/>
          <w:color w:val="auto"/>
        </w:rPr>
      </w:pPr>
    </w:p>
    <w:p>
      <w:pPr>
        <w:ind w:left="744" w:hanging="497"/>
        <w:spacing w:after="0"/>
        <w:tabs>
          <w:tab w:leader="none" w:pos="744"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550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55055"/>
                    </a:xfrm>
                    <a:prstGeom prst="rect">
                      <a:avLst/>
                    </a:prstGeom>
                    <a:noFill/>
                  </pic:spPr>
                </pic:pic>
              </a:graphicData>
            </a:graphic>
          </wp:anchor>
        </w:drawing>
      </w:r>
    </w:p>
    <w:p>
      <w:pPr>
        <w:ind w:left="744"/>
        <w:spacing w:after="0" w:line="205" w:lineRule="exact"/>
        <w:tabs>
          <w:tab w:leader="none" w:pos="15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744" w:hanging="497"/>
        <w:spacing w:after="0"/>
        <w:tabs>
          <w:tab w:leader="none" w:pos="744"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WC</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7"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744" w:hanging="497"/>
        <w:spacing w:after="0"/>
        <w:tabs>
          <w:tab w:leader="none" w:pos="744" w:val="left"/>
        </w:tabs>
        <w:numPr>
          <w:ilvl w:val="0"/>
          <w:numId w:val="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74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88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Pr>
          <w:p>
            <w:pPr>
              <w:spacing w:after="0"/>
              <w:rPr>
                <w:sz w:val="24"/>
                <w:szCs w:val="24"/>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20,150,565</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80" w:type="dxa"/>
            <w:vAlign w:val="bottom"/>
            <w:tcBorders>
              <w:bottom w:val="single" w:sz="8" w:color="auto"/>
            </w:tcBorders>
          </w:tcPr>
          <w:p>
            <w:pPr>
              <w:spacing w:after="0"/>
              <w:rPr>
                <w:sz w:val="5"/>
                <w:szCs w:val="5"/>
                <w:color w:val="auto"/>
              </w:rPr>
            </w:pPr>
          </w:p>
        </w:tc>
        <w:tc>
          <w:tcPr>
            <w:tcW w:w="8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580" w:type="dxa"/>
            <w:vAlign w:val="bottom"/>
            <w:vMerge w:val="continue"/>
          </w:tcPr>
          <w:p>
            <w:pPr>
              <w:spacing w:after="0"/>
              <w:rPr>
                <w:sz w:val="8"/>
                <w:szCs w:val="8"/>
                <w:color w:val="auto"/>
              </w:rPr>
            </w:pPr>
          </w:p>
        </w:tc>
        <w:tc>
          <w:tcPr>
            <w:tcW w:w="8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580" w:type="dxa"/>
            <w:vAlign w:val="bottom"/>
          </w:tcPr>
          <w:p>
            <w:pPr>
              <w:spacing w:after="0"/>
              <w:rPr>
                <w:sz w:val="18"/>
                <w:szCs w:val="18"/>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580" w:type="dxa"/>
            <w:vAlign w:val="bottom"/>
          </w:tcPr>
          <w:p>
            <w:pPr>
              <w:spacing w:after="0"/>
              <w:rPr>
                <w:sz w:val="9"/>
                <w:szCs w:val="9"/>
                <w:color w:val="auto"/>
              </w:rPr>
            </w:pPr>
          </w:p>
        </w:tc>
        <w:tc>
          <w:tcPr>
            <w:tcW w:w="8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320" w:type="dxa"/>
            <w:vAlign w:val="bottom"/>
            <w:vMerge w:val="continue"/>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continue"/>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580" w:type="dxa"/>
            <w:vAlign w:val="bottom"/>
          </w:tcPr>
          <w:p>
            <w:pPr>
              <w:spacing w:after="0"/>
              <w:rPr>
                <w:sz w:val="18"/>
                <w:szCs w:val="18"/>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20,150,565</w:t>
            </w:r>
          </w:p>
        </w:tc>
        <w:tc>
          <w:tcPr>
            <w:tcW w:w="0" w:type="dxa"/>
            <w:vAlign w:val="bottom"/>
          </w:tcPr>
          <w:p>
            <w:pPr>
              <w:spacing w:after="0"/>
              <w:rPr>
                <w:sz w:val="1"/>
                <w:szCs w:val="1"/>
                <w:color w:val="auto"/>
              </w:rPr>
            </w:pPr>
          </w:p>
        </w:tc>
      </w:tr>
      <w:tr>
        <w:trPr>
          <w:trHeight w:val="205"/>
        </w:trPr>
        <w:tc>
          <w:tcPr>
            <w:tcW w:w="1320" w:type="dxa"/>
            <w:vAlign w:val="bottom"/>
          </w:tcPr>
          <w:p>
            <w:pPr>
              <w:jc w:val="center"/>
              <w:spacing w:after="0" w:line="205" w:lineRule="exact"/>
              <w:rPr>
                <w:sz w:val="20"/>
                <w:szCs w:val="20"/>
                <w:color w:val="auto"/>
              </w:rPr>
            </w:pPr>
            <w:r>
              <w:rPr>
                <w:rFonts w:ascii="Arial" w:cs="Arial" w:eastAsia="Arial" w:hAnsi="Arial"/>
                <w:sz w:val="18"/>
                <w:szCs w:val="18"/>
                <w:color w:val="auto"/>
              </w:rPr>
              <w:t>WITH:</w:t>
            </w:r>
          </w:p>
        </w:tc>
        <w:tc>
          <w:tcPr>
            <w:tcW w:w="580" w:type="dxa"/>
            <w:vAlign w:val="bottom"/>
          </w:tcPr>
          <w:p>
            <w:pPr>
              <w:spacing w:after="0"/>
              <w:rPr>
                <w:sz w:val="17"/>
                <w:szCs w:val="17"/>
                <w:color w:val="auto"/>
              </w:rPr>
            </w:pPr>
          </w:p>
        </w:tc>
        <w:tc>
          <w:tcPr>
            <w:tcW w:w="8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264" w:right="6760" w:hanging="630"/>
        <w:spacing w:after="0" w:line="397" w:lineRule="auto"/>
        <w:tabs>
          <w:tab w:leader="none" w:pos="2264" w:val="left"/>
        </w:tabs>
        <w:numPr>
          <w:ilvl w:val="2"/>
          <w:numId w:val="4"/>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744" w:right="5320" w:hanging="587"/>
        <w:spacing w:after="0" w:line="414" w:lineRule="auto"/>
        <w:tabs>
          <w:tab w:leader="none" w:pos="744"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20,150,565</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5"/>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07"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744" w:hanging="587"/>
        <w:spacing w:after="0"/>
        <w:tabs>
          <w:tab w:leader="none" w:pos="744"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6"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11.3%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5"/>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92" w:lineRule="exact"/>
        <w:rPr>
          <w:rFonts w:ascii="Arial" w:cs="Arial" w:eastAsia="Arial" w:hAnsi="Arial"/>
          <w:sz w:val="18"/>
          <w:szCs w:val="18"/>
          <w:color w:val="auto"/>
        </w:rPr>
      </w:pPr>
    </w:p>
    <w:p>
      <w:pPr>
        <w:ind w:left="444" w:right="100" w:hanging="444"/>
        <w:spacing w:after="0" w:line="342" w:lineRule="auto"/>
        <w:tabs>
          <w:tab w:leader="none" w:pos="444"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percent of class was calculated based on 177,656,940 shares of Class A Common Stock outstanding as of May 15, 2023, as disclosed in the Issuer’s Definitive Proxy Statement on Schedule 14A filed with the Securities and Exchange Commission on May 30, 2023.</w:t>
      </w:r>
    </w:p>
    <w:p>
      <w:pPr>
        <w:sectPr>
          <w:pgSz w:w="11900" w:h="16838" w:orient="portrait"/>
          <w:cols w:equalWidth="0" w:num="1">
            <w:col w:w="10904"/>
          </w:cols>
          <w:pgMar w:left="436" w:top="503" w:right="559" w:bottom="1440" w:gutter="0" w:footer="0" w:header="0"/>
        </w:sectPr>
      </w:pPr>
    </w:p>
    <w:bookmarkStart w:id="2" w:name="page3"/>
    <w:bookmarkEnd w:id="2"/>
    <w:p>
      <w:pPr>
        <w:ind w:left="744" w:hanging="497"/>
        <w:spacing w:after="0"/>
        <w:tabs>
          <w:tab w:leader="none" w:pos="744" w:val="left"/>
        </w:tabs>
        <w:numPr>
          <w:ilvl w:val="0"/>
          <w:numId w:val="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t>Name of Reporting Persons: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Global Catalyst Venture Management III, LLC</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-575945</wp:posOffset>
            </wp:positionV>
            <wp:extent cx="6926580" cy="61550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55055"/>
                    </a:xfrm>
                    <a:prstGeom prst="rect">
                      <a:avLst/>
                    </a:prstGeom>
                    <a:noFill/>
                  </pic:spPr>
                </pic:pic>
              </a:graphicData>
            </a:graphic>
          </wp:anchor>
        </w:drawing>
      </w:r>
    </w:p>
    <w:p>
      <w:pPr>
        <w:ind w:left="744"/>
        <w:spacing w:after="0" w:line="205" w:lineRule="exact"/>
        <w:tabs>
          <w:tab w:leader="none" w:pos="154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83" w:lineRule="exact"/>
        <w:rPr>
          <w:sz w:val="20"/>
          <w:szCs w:val="20"/>
          <w:color w:val="auto"/>
        </w:rPr>
      </w:pPr>
    </w:p>
    <w:p>
      <w:pPr>
        <w:ind w:left="744" w:hanging="497"/>
        <w:spacing w:after="0"/>
        <w:tabs>
          <w:tab w:leader="none" w:pos="7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rFonts w:ascii="Arial" w:cs="Arial" w:eastAsia="Arial" w:hAnsi="Arial"/>
          <w:sz w:val="18"/>
          <w:szCs w:val="18"/>
          <w:color w:val="auto"/>
        </w:rPr>
      </w:pPr>
    </w:p>
    <w:p>
      <w:pPr>
        <w:ind w:left="744" w:hanging="497"/>
        <w:spacing w:after="0"/>
        <w:tabs>
          <w:tab w:leader="none" w:pos="744" w:val="left"/>
        </w:tabs>
        <w:numPr>
          <w:ilvl w:val="0"/>
          <w:numId w:val="8"/>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AF</w:t>
      </w:r>
    </w:p>
    <w:p>
      <w:pPr>
        <w:spacing w:after="0" w:line="36" w:lineRule="exact"/>
        <w:rPr>
          <w:rFonts w:ascii="Arial" w:cs="Arial" w:eastAsia="Arial" w:hAnsi="Arial"/>
          <w:sz w:val="18"/>
          <w:szCs w:val="18"/>
          <w:color w:val="auto"/>
        </w:rPr>
      </w:pPr>
    </w:p>
    <w:p>
      <w:pPr>
        <w:ind w:left="744" w:hanging="497"/>
        <w:spacing w:after="0"/>
        <w:tabs>
          <w:tab w:leader="none" w:pos="744" w:val="left"/>
        </w:tabs>
        <w:numPr>
          <w:ilvl w:val="0"/>
          <w:numId w:val="8"/>
        </w:numPr>
        <w:rPr>
          <w:rFonts w:ascii="Arial" w:cs="Arial" w:eastAsia="Arial" w:hAnsi="Arial"/>
          <w:sz w:val="18"/>
          <w:szCs w:val="18"/>
          <w:color w:val="auto"/>
        </w:rPr>
      </w:pPr>
      <w:r>
        <w:rPr>
          <w:rFonts w:ascii="Arial" w:cs="Arial" w:eastAsia="Arial" w:hAnsi="Arial"/>
          <w:sz w:val="18"/>
          <w:szCs w:val="18"/>
          <w:color w:val="auto"/>
        </w:rPr>
        <w:t>Check Box if Disclosure of Legal Proceedings is Required Pursuant to Items 2(d) or 2(e):</w:t>
      </w:r>
    </w:p>
    <w:p>
      <w:pPr>
        <w:spacing w:after="0" w:line="207"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744" w:hanging="497"/>
        <w:spacing w:after="0"/>
        <w:tabs>
          <w:tab w:leader="none" w:pos="744" w:val="left"/>
        </w:tabs>
        <w:numPr>
          <w:ilvl w:val="0"/>
          <w:numId w:val="8"/>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50" w:lineRule="exact"/>
        <w:rPr>
          <w:sz w:val="20"/>
          <w:szCs w:val="20"/>
          <w:color w:val="auto"/>
        </w:rPr>
      </w:pPr>
    </w:p>
    <w:p>
      <w:pPr>
        <w:ind w:left="74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20" w:type="dxa"/>
            <w:vAlign w:val="bottom"/>
          </w:tcPr>
          <w:p>
            <w:pPr>
              <w:spacing w:after="0"/>
              <w:rPr>
                <w:sz w:val="20"/>
                <w:szCs w:val="20"/>
                <w:color w:val="auto"/>
              </w:rPr>
            </w:pPr>
          </w:p>
        </w:tc>
        <w:tc>
          <w:tcPr>
            <w:tcW w:w="580" w:type="dxa"/>
            <w:vAlign w:val="bottom"/>
          </w:tcPr>
          <w:p>
            <w:pPr>
              <w:jc w:val="right"/>
              <w:ind w:right="90"/>
              <w:spacing w:after="0"/>
              <w:rPr>
                <w:sz w:val="20"/>
                <w:szCs w:val="20"/>
                <w:color w:val="auto"/>
              </w:rPr>
            </w:pPr>
            <w:r>
              <w:rPr>
                <w:rFonts w:ascii="Arial" w:cs="Arial" w:eastAsia="Arial" w:hAnsi="Arial"/>
                <w:sz w:val="18"/>
                <w:szCs w:val="18"/>
                <w:color w:val="auto"/>
              </w:rPr>
              <w:t>(7)</w:t>
            </w:r>
          </w:p>
        </w:tc>
        <w:tc>
          <w:tcPr>
            <w:tcW w:w="880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80" w:type="dxa"/>
            <w:vAlign w:val="bottom"/>
          </w:tcPr>
          <w:p>
            <w:pPr>
              <w:spacing w:after="0"/>
              <w:rPr>
                <w:sz w:val="24"/>
                <w:szCs w:val="24"/>
                <w:color w:val="auto"/>
              </w:rPr>
            </w:pPr>
          </w:p>
        </w:tc>
        <w:tc>
          <w:tcPr>
            <w:tcW w:w="8800" w:type="dxa"/>
            <w:vAlign w:val="bottom"/>
          </w:tcPr>
          <w:p>
            <w:pPr>
              <w:ind w:left="160"/>
              <w:spacing w:after="0"/>
              <w:rPr>
                <w:sz w:val="20"/>
                <w:szCs w:val="20"/>
                <w:color w:val="auto"/>
              </w:rPr>
            </w:pPr>
            <w:r>
              <w:rPr>
                <w:rFonts w:ascii="Arial" w:cs="Arial" w:eastAsia="Arial" w:hAnsi="Arial"/>
                <w:sz w:val="18"/>
                <w:szCs w:val="18"/>
                <w:color w:val="auto"/>
              </w:rPr>
              <w:t>20,150,565</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580" w:type="dxa"/>
            <w:vAlign w:val="bottom"/>
            <w:tcBorders>
              <w:bottom w:val="single" w:sz="8" w:color="auto"/>
            </w:tcBorders>
          </w:tcPr>
          <w:p>
            <w:pPr>
              <w:spacing w:after="0"/>
              <w:rPr>
                <w:sz w:val="5"/>
                <w:szCs w:val="5"/>
                <w:color w:val="auto"/>
              </w:rPr>
            </w:pPr>
          </w:p>
        </w:tc>
        <w:tc>
          <w:tcPr>
            <w:tcW w:w="8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20" w:type="dxa"/>
            <w:vAlign w:val="bottom"/>
            <w:vMerge w:val="continue"/>
          </w:tcPr>
          <w:p>
            <w:pPr>
              <w:spacing w:after="0"/>
              <w:rPr>
                <w:sz w:val="11"/>
                <w:szCs w:val="11"/>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rPr>
              <w:t>(8)</w:t>
            </w: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580" w:type="dxa"/>
            <w:vAlign w:val="bottom"/>
            <w:vMerge w:val="continue"/>
          </w:tcPr>
          <w:p>
            <w:pPr>
              <w:spacing w:after="0"/>
              <w:rPr>
                <w:sz w:val="8"/>
                <w:szCs w:val="8"/>
                <w:color w:val="auto"/>
              </w:rPr>
            </w:pPr>
          </w:p>
        </w:tc>
        <w:tc>
          <w:tcPr>
            <w:tcW w:w="88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20" w:type="dxa"/>
            <w:vAlign w:val="bottom"/>
            <w:vMerge w:val="continue"/>
          </w:tcPr>
          <w:p>
            <w:pPr>
              <w:spacing w:after="0"/>
              <w:rPr>
                <w:sz w:val="10"/>
                <w:szCs w:val="10"/>
                <w:color w:val="auto"/>
              </w:rPr>
            </w:pPr>
          </w:p>
        </w:tc>
        <w:tc>
          <w:tcPr>
            <w:tcW w:w="580" w:type="dxa"/>
            <w:vAlign w:val="bottom"/>
          </w:tcPr>
          <w:p>
            <w:pPr>
              <w:spacing w:after="0"/>
              <w:rPr>
                <w:sz w:val="10"/>
                <w:szCs w:val="10"/>
                <w:color w:val="auto"/>
              </w:rPr>
            </w:pPr>
          </w:p>
        </w:tc>
        <w:tc>
          <w:tcPr>
            <w:tcW w:w="8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7"/>
              </w:rPr>
              <w:t>OWNED BY</w:t>
            </w:r>
          </w:p>
        </w:tc>
        <w:tc>
          <w:tcPr>
            <w:tcW w:w="580" w:type="dxa"/>
            <w:vAlign w:val="bottom"/>
          </w:tcPr>
          <w:p>
            <w:pPr>
              <w:spacing w:after="0"/>
              <w:rPr>
                <w:sz w:val="18"/>
                <w:szCs w:val="18"/>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580" w:type="dxa"/>
            <w:vAlign w:val="bottom"/>
          </w:tcPr>
          <w:p>
            <w:pPr>
              <w:spacing w:after="0"/>
              <w:rPr>
                <w:sz w:val="9"/>
                <w:szCs w:val="9"/>
                <w:color w:val="auto"/>
              </w:rPr>
            </w:pPr>
          </w:p>
        </w:tc>
        <w:tc>
          <w:tcPr>
            <w:tcW w:w="8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320" w:type="dxa"/>
            <w:vAlign w:val="bottom"/>
            <w:vMerge w:val="continue"/>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0"/>
        </w:trPr>
        <w:tc>
          <w:tcPr>
            <w:tcW w:w="1320" w:type="dxa"/>
            <w:vAlign w:val="bottom"/>
            <w:vMerge w:val="continue"/>
          </w:tcPr>
          <w:p>
            <w:pPr>
              <w:spacing w:after="0"/>
              <w:rPr>
                <w:sz w:val="5"/>
                <w:szCs w:val="5"/>
                <w:color w:val="auto"/>
              </w:rPr>
            </w:pPr>
          </w:p>
        </w:tc>
        <w:tc>
          <w:tcPr>
            <w:tcW w:w="580" w:type="dxa"/>
            <w:vAlign w:val="bottom"/>
            <w:vMerge w:val="restart"/>
          </w:tcPr>
          <w:p>
            <w:pPr>
              <w:jc w:val="right"/>
              <w:ind w:right="90"/>
              <w:spacing w:after="0"/>
              <w:rPr>
                <w:sz w:val="20"/>
                <w:szCs w:val="20"/>
                <w:color w:val="auto"/>
              </w:rPr>
            </w:pPr>
            <w:r>
              <w:rPr>
                <w:rFonts w:ascii="Arial" w:cs="Arial" w:eastAsia="Arial" w:hAnsi="Arial"/>
                <w:sz w:val="18"/>
                <w:szCs w:val="18"/>
                <w:color w:val="auto"/>
              </w:rPr>
              <w:t>(9)</w:t>
            </w: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64"/>
        </w:trPr>
        <w:tc>
          <w:tcPr>
            <w:tcW w:w="132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580" w:type="dxa"/>
            <w:vAlign w:val="bottom"/>
            <w:vMerge w:val="continue"/>
          </w:tcPr>
          <w:p>
            <w:pPr>
              <w:spacing w:after="0"/>
              <w:rPr>
                <w:sz w:val="14"/>
                <w:szCs w:val="14"/>
                <w:color w:val="auto"/>
              </w:rPr>
            </w:pPr>
          </w:p>
        </w:tc>
        <w:tc>
          <w:tcPr>
            <w:tcW w:w="8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13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8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580" w:type="dxa"/>
            <w:vAlign w:val="bottom"/>
          </w:tcPr>
          <w:p>
            <w:pPr>
              <w:spacing w:after="0"/>
              <w:rPr>
                <w:sz w:val="18"/>
                <w:szCs w:val="18"/>
                <w:color w:val="auto"/>
              </w:rPr>
            </w:pPr>
          </w:p>
        </w:tc>
        <w:tc>
          <w:tcPr>
            <w:tcW w:w="8800" w:type="dxa"/>
            <w:vAlign w:val="bottom"/>
            <w:vMerge w:val="restart"/>
          </w:tcPr>
          <w:p>
            <w:pPr>
              <w:ind w:left="160"/>
              <w:spacing w:after="0"/>
              <w:rPr>
                <w:sz w:val="20"/>
                <w:szCs w:val="20"/>
                <w:color w:val="auto"/>
              </w:rPr>
            </w:pPr>
            <w:r>
              <w:rPr>
                <w:rFonts w:ascii="Arial" w:cs="Arial" w:eastAsia="Arial" w:hAnsi="Arial"/>
                <w:sz w:val="18"/>
                <w:szCs w:val="18"/>
                <w:color w:val="auto"/>
              </w:rPr>
              <w:t>20,150,565</w:t>
            </w:r>
          </w:p>
        </w:tc>
        <w:tc>
          <w:tcPr>
            <w:tcW w:w="0" w:type="dxa"/>
            <w:vAlign w:val="bottom"/>
          </w:tcPr>
          <w:p>
            <w:pPr>
              <w:spacing w:after="0"/>
              <w:rPr>
                <w:sz w:val="1"/>
                <w:szCs w:val="1"/>
                <w:color w:val="auto"/>
              </w:rPr>
            </w:pPr>
          </w:p>
        </w:tc>
      </w:tr>
      <w:tr>
        <w:trPr>
          <w:trHeight w:val="205"/>
        </w:trPr>
        <w:tc>
          <w:tcPr>
            <w:tcW w:w="1320" w:type="dxa"/>
            <w:vAlign w:val="bottom"/>
          </w:tcPr>
          <w:p>
            <w:pPr>
              <w:jc w:val="center"/>
              <w:spacing w:after="0" w:line="205" w:lineRule="exact"/>
              <w:rPr>
                <w:sz w:val="20"/>
                <w:szCs w:val="20"/>
                <w:color w:val="auto"/>
              </w:rPr>
            </w:pPr>
            <w:r>
              <w:rPr>
                <w:rFonts w:ascii="Arial" w:cs="Arial" w:eastAsia="Arial" w:hAnsi="Arial"/>
                <w:sz w:val="18"/>
                <w:szCs w:val="18"/>
                <w:color w:val="auto"/>
              </w:rPr>
              <w:t>WITH:</w:t>
            </w:r>
          </w:p>
        </w:tc>
        <w:tc>
          <w:tcPr>
            <w:tcW w:w="580" w:type="dxa"/>
            <w:vAlign w:val="bottom"/>
          </w:tcPr>
          <w:p>
            <w:pPr>
              <w:spacing w:after="0"/>
              <w:rPr>
                <w:sz w:val="17"/>
                <w:szCs w:val="17"/>
                <w:color w:val="auto"/>
              </w:rPr>
            </w:pPr>
          </w:p>
        </w:tc>
        <w:tc>
          <w:tcPr>
            <w:tcW w:w="8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ind w:left="2264" w:right="6760" w:hanging="630"/>
        <w:spacing w:after="0" w:line="397" w:lineRule="auto"/>
        <w:tabs>
          <w:tab w:leader="none" w:pos="2264" w:val="left"/>
        </w:tabs>
        <w:numPr>
          <w:ilvl w:val="2"/>
          <w:numId w:val="9"/>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744" w:right="5320" w:hanging="587"/>
        <w:spacing w:after="0" w:line="414" w:lineRule="auto"/>
        <w:tabs>
          <w:tab w:leader="none" w:pos="7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20,150,565</w:t>
      </w:r>
    </w:p>
    <w:p>
      <w:pPr>
        <w:spacing w:after="0" w:line="1" w:lineRule="exact"/>
        <w:rPr>
          <w:rFonts w:ascii="Arial" w:cs="Arial" w:eastAsia="Arial" w:hAnsi="Arial"/>
          <w:sz w:val="18"/>
          <w:szCs w:val="18"/>
          <w:color w:val="auto"/>
        </w:rPr>
      </w:pPr>
    </w:p>
    <w:p>
      <w:pPr>
        <w:ind w:left="744" w:hanging="587"/>
        <w:spacing w:after="0"/>
        <w:tabs>
          <w:tab w:leader="none" w:pos="7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07" w:lineRule="exact"/>
        <w:rPr>
          <w:rFonts w:ascii="Arial" w:cs="Arial" w:eastAsia="Arial" w:hAnsi="Arial"/>
          <w:sz w:val="18"/>
          <w:szCs w:val="18"/>
          <w:color w:val="auto"/>
        </w:rPr>
      </w:pPr>
    </w:p>
    <w:p>
      <w:pPr>
        <w:ind w:left="74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22" w:lineRule="exact"/>
        <w:rPr>
          <w:rFonts w:ascii="Arial" w:cs="Arial" w:eastAsia="Arial" w:hAnsi="Arial"/>
          <w:sz w:val="18"/>
          <w:szCs w:val="18"/>
          <w:color w:val="auto"/>
        </w:rPr>
      </w:pPr>
    </w:p>
    <w:p>
      <w:pPr>
        <w:ind w:left="744" w:hanging="587"/>
        <w:spacing w:after="0"/>
        <w:tabs>
          <w:tab w:leader="none" w:pos="7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Percent of Class Represented by Amount in Row (11):</w:t>
      </w:r>
    </w:p>
    <w:p>
      <w:pPr>
        <w:spacing w:after="0" w:line="236"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11.3% (1)</w:t>
      </w:r>
    </w:p>
    <w:p>
      <w:pPr>
        <w:spacing w:after="0" w:line="36" w:lineRule="exact"/>
        <w:rPr>
          <w:rFonts w:ascii="Arial" w:cs="Arial" w:eastAsia="Arial" w:hAnsi="Arial"/>
          <w:sz w:val="18"/>
          <w:szCs w:val="18"/>
          <w:color w:val="auto"/>
        </w:rPr>
      </w:pPr>
    </w:p>
    <w:p>
      <w:pPr>
        <w:ind w:left="744" w:hanging="587"/>
        <w:spacing w:after="0"/>
        <w:tabs>
          <w:tab w:leader="none" w:pos="744" w:val="left"/>
        </w:tabs>
        <w:numPr>
          <w:ilvl w:val="1"/>
          <w:numId w:val="10"/>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74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92" w:lineRule="exact"/>
        <w:rPr>
          <w:rFonts w:ascii="Arial" w:cs="Arial" w:eastAsia="Arial" w:hAnsi="Arial"/>
          <w:sz w:val="18"/>
          <w:szCs w:val="18"/>
          <w:color w:val="auto"/>
        </w:rPr>
      </w:pPr>
    </w:p>
    <w:p>
      <w:pPr>
        <w:ind w:left="444" w:right="100" w:hanging="444"/>
        <w:spacing w:after="0" w:line="342" w:lineRule="auto"/>
        <w:tabs>
          <w:tab w:leader="none" w:pos="444"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percent of class was calculated based on 177,656,940 shares of Class A Common Stock outstanding as of May 15, 2023, as disclosed in the Issuer’s Definitive Proxy Statement on Schedule 14A filed with the Securities and Exchange Commission on May 30, 2023.</w:t>
      </w:r>
    </w:p>
    <w:p>
      <w:pPr>
        <w:sectPr>
          <w:pgSz w:w="11900" w:h="16838" w:orient="portrait"/>
          <w:cols w:equalWidth="0" w:num="1">
            <w:col w:w="10904"/>
          </w:cols>
          <w:pgMar w:left="436" w:top="503" w:right="559" w:bottom="1440" w:gutter="0" w:footer="0" w:header="0"/>
        </w:sectPr>
      </w:pPr>
    </w:p>
    <w:bookmarkStart w:id="3" w:name="page4"/>
    <w:bookmarkEnd w:id="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EXPLANATORY STATEMENT</w:t>
      </w:r>
    </w:p>
    <w:p>
      <w:pPr>
        <w:spacing w:after="0" w:line="121" w:lineRule="exact"/>
        <w:rPr>
          <w:sz w:val="20"/>
          <w:szCs w:val="20"/>
          <w:color w:val="auto"/>
        </w:rPr>
      </w:pPr>
    </w:p>
    <w:p>
      <w:pPr>
        <w:ind w:left="4" w:right="180"/>
        <w:spacing w:after="0" w:line="263" w:lineRule="auto"/>
        <w:rPr>
          <w:sz w:val="20"/>
          <w:szCs w:val="20"/>
          <w:color w:val="auto"/>
        </w:rPr>
      </w:pPr>
      <w:r>
        <w:rPr>
          <w:rFonts w:ascii="Arial" w:cs="Arial" w:eastAsia="Arial" w:hAnsi="Arial"/>
          <w:sz w:val="18"/>
          <w:szCs w:val="18"/>
          <w:color w:val="auto"/>
        </w:rPr>
        <w:t>This Amendment No. 3 (this “Amendment”) amends and supplements the statement on Schedule 13D originally filed by Reporting Persons on May 6, 2022, as amended (the “Schedule 13D”). Unless otherwise indicated, each capitalized term used but not defined in this Amendment shall have the meaning assigned to such term in the Schedule 13D.</w:t>
      </w:r>
    </w:p>
    <w:p>
      <w:pPr>
        <w:spacing w:after="0" w:line="328"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INTEREST IN SECURITIES OF THE ISSUER</w:t>
      </w:r>
    </w:p>
    <w:p>
      <w:pPr>
        <w:spacing w:after="0" w:line="121" w:lineRule="exact"/>
        <w:rPr>
          <w:sz w:val="20"/>
          <w:szCs w:val="20"/>
          <w:color w:val="auto"/>
        </w:rPr>
      </w:pPr>
    </w:p>
    <w:p>
      <w:pPr>
        <w:ind w:left="4"/>
        <w:spacing w:after="0"/>
        <w:rPr>
          <w:sz w:val="20"/>
          <w:szCs w:val="20"/>
          <w:color w:val="auto"/>
        </w:rPr>
      </w:pPr>
      <w:r>
        <w:rPr>
          <w:rFonts w:ascii="Arial" w:cs="Arial" w:eastAsia="Arial" w:hAnsi="Arial"/>
          <w:sz w:val="18"/>
          <w:szCs w:val="18"/>
          <w:color w:val="auto"/>
        </w:rPr>
        <w:t>Item 5(a)-(c) of the Schedule 13D is hereby amended and restated as follows:</w:t>
      </w:r>
    </w:p>
    <w:p>
      <w:pPr>
        <w:spacing w:after="0" w:line="117" w:lineRule="exact"/>
        <w:rPr>
          <w:sz w:val="20"/>
          <w:szCs w:val="20"/>
          <w:color w:val="auto"/>
        </w:rPr>
      </w:pPr>
    </w:p>
    <w:p>
      <w:pPr>
        <w:ind w:left="4" w:right="320"/>
        <w:spacing w:after="0" w:line="286" w:lineRule="auto"/>
        <w:rPr>
          <w:sz w:val="20"/>
          <w:szCs w:val="20"/>
          <w:color w:val="auto"/>
        </w:rPr>
      </w:pPr>
      <w:r>
        <w:rPr>
          <w:rFonts w:ascii="Arial" w:cs="Arial" w:eastAsia="Arial" w:hAnsi="Arial"/>
          <w:sz w:val="17"/>
          <w:szCs w:val="17"/>
          <w:color w:val="auto"/>
        </w:rPr>
        <w:t>(a)-(b) The information set forth in rows 7 through 13 of the cover pages to this Schedule 13D is incorporated by reference. The percent of class was calculated based on 177,656,940 shares of Class A Common Stock outstanding as of May 15, 2023, as disclosed in the Issuer’s Definitive Proxy Statement on Schedule 14A filed with the Securities and Exchange Commission on May 30, 2023.</w:t>
      </w:r>
    </w:p>
    <w:p>
      <w:pPr>
        <w:spacing w:after="0" w:line="165" w:lineRule="exact"/>
        <w:rPr>
          <w:sz w:val="20"/>
          <w:szCs w:val="20"/>
          <w:color w:val="auto"/>
        </w:rPr>
      </w:pPr>
    </w:p>
    <w:p>
      <w:pPr>
        <w:ind w:left="4"/>
        <w:spacing w:after="0" w:line="263" w:lineRule="auto"/>
        <w:rPr>
          <w:sz w:val="20"/>
          <w:szCs w:val="20"/>
          <w:color w:val="auto"/>
        </w:rPr>
      </w:pPr>
      <w:r>
        <w:rPr>
          <w:rFonts w:ascii="Arial" w:cs="Arial" w:eastAsia="Arial" w:hAnsi="Arial"/>
          <w:sz w:val="18"/>
          <w:szCs w:val="18"/>
          <w:color w:val="auto"/>
        </w:rPr>
        <w:t>Global Catalyst Partners III LP (“GCP III”) directly owns 20,150,565 shares of Class A Common Stock, which represents approximately 11.3% of the outstanding Class A Common Stock. Global Catalyst Venture Management III, LLC (“GCVM III”), as the general partner of GCP III, may be deemed to beneficially own the shares of Class A Common Stock held directly by GCP III.</w:t>
      </w:r>
    </w:p>
    <w:p>
      <w:pPr>
        <w:spacing w:after="0" w:line="184" w:lineRule="exact"/>
        <w:rPr>
          <w:sz w:val="20"/>
          <w:szCs w:val="20"/>
          <w:color w:val="auto"/>
        </w:rPr>
      </w:pPr>
    </w:p>
    <w:p>
      <w:pPr>
        <w:ind w:left="4" w:hanging="4"/>
        <w:spacing w:after="0" w:line="301" w:lineRule="auto"/>
        <w:tabs>
          <w:tab w:leader="none" w:pos="2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On July 5, 2023, GCP III distributed in-kind, without consideration, 8,000,000 shares of Class A Common Stock pro-rata to its partners, including its limited partners and its general partner, GCVM III. Upon receipt by GCVM III of its pro rata interest of the distribution (1,269,540 shares of Class A Common Stock), GCVM III distributed in-kind, without consideration, all such shares pro-rata to its members. Except as reported in this Item 5(c), none of the Reporting Persons have effected any transactions of the Issuer’s Class A Common Stock since the most recent filing of Schedule 13D.</w:t>
      </w:r>
    </w:p>
    <w:p>
      <w:pPr>
        <w:sectPr>
          <w:pgSz w:w="11900" w:h="16838" w:orient="portrait"/>
          <w:cols w:equalWidth="0" w:num="1">
            <w:col w:w="11004"/>
          </w:cols>
          <w:pgMar w:left="436" w:top="486" w:right="459" w:bottom="1440" w:gutter="0" w:footer="0" w:header="0"/>
        </w:sectPr>
      </w:pPr>
    </w:p>
    <w:bookmarkStart w:id="4" w:name="page5"/>
    <w:bookmarkEnd w:id="4"/>
    <w:p>
      <w:pPr>
        <w:jc w:val="center"/>
        <w:ind w:right="-3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its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July 10, 2023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CATALYST PARTNERS III, L.P.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By: Global Catalyst Venture Management III,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Kamran Elahian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CATALYST VENTURE MANAGEMENT III,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 Kamran Elahian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7946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Kamran Elahian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Managing Member</w:t>
      </w:r>
    </w:p>
    <w:sectPr>
      <w:pgSz w:w="11900" w:h="16838" w:orient="portrait"/>
      <w:cols w:equalWidth="0" w:num="1">
        <w:col w:w="10600"/>
      </w:cols>
      <w:pgMar w:left="440" w:top="486"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4">
    <w:nsid w:val="515F007C"/>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5">
    <w:nsid w:val="5BD062C2"/>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decimal"/>
      <w:start w:val="3"/>
    </w:lvl>
  </w:abstractNum>
  <w:abstractNum w:abstractNumId="8">
    <w:nsid w:val="216231B"/>
    <w:multiLevelType w:val="hybridMultilevel"/>
    <w:lvl w:ilvl="0">
      <w:lvlJc w:val="left"/>
      <w:lvlText w:val="%1"/>
      <w:numFmt w:val="decimal"/>
      <w:start w:val="1"/>
    </w:lvl>
    <w:lvl w:ilvl="1">
      <w:lvlJc w:val="left"/>
      <w:lvlText w:val="%2"/>
      <w:numFmt w:val="decimal"/>
      <w:start w:val="1"/>
    </w:lvl>
    <w:lvl w:ilvl="2">
      <w:lvlJc w:val="left"/>
      <w:lvlText w:val="(%3)"/>
      <w:numFmt w:val="decimal"/>
      <w:start w:val="10"/>
    </w:lvl>
  </w:abstractNum>
  <w:abstractNum w:abstractNumId="9">
    <w:nsid w:val="1F16E9E8"/>
    <w:multiLevelType w:val="hybridMultilevel"/>
    <w:lvl w:ilvl="0">
      <w:lvlJc w:val="left"/>
      <w:lvlText w:val="%1"/>
      <w:numFmt w:val="decimal"/>
      <w:start w:val="1"/>
    </w:lvl>
    <w:lvl w:ilvl="1">
      <w:lvlJc w:val="left"/>
      <w:lvlText w:val="(%2)"/>
      <w:numFmt w:val="decimal"/>
      <w:start w:val="11"/>
    </w:lvl>
    <w:lvl w:ilvl="2">
      <w:lvlJc w:val="left"/>
      <w:lvlText w:val="%3"/>
      <w:numFmt w:val="decimal"/>
      <w:start w:val="1"/>
    </w:lvl>
  </w:abstractNum>
  <w:abstractNum w:abstractNumId="10">
    <w:nsid w:val="1190CDE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11">
    <w:nsid w:val="66EF438D"/>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2023-07-10T15:07:56Z</dcterms:created>
  <dcterms:modified xsi:type="dcterms:W3CDTF">2023-07-10T15:07:56Z</dcterms:modified>
</cp:coreProperties>
</file>