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31"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 2022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 2016 Equity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Melodis Corporation 2006 Stock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1345 Avenue of the Americas, 11th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370-7889</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 PURSUANT TO GENERAL INSTRUCTION E OF FORM S-8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is being filed by SoundHound AI, Inc., a Delaware corporation (the “Registrant”, the “Company”, “us”, “our”, or “we”), to register an additional 18,806,859 shares of our Class A Common Stock, par value $0.0001 per share (the “Common Stock”), which may be offered and sold pursuant to the SoundHound AI, Inc. 2022 Equity Incentive Plan (the “2022 Incentive Plan”) in connection with an increase in the number of shares available for issuance under such plan pursuant to the evergreen provision included therein. In accordance with the instructional note to Part I of Form S-8 as promulgated by the Commission, the information specified by Part I of the Form S-8 has been omitted from this Registration Statement.</w:t>
      </w:r>
    </w:p>
    <w:p>
      <w:pPr>
        <w:spacing w:after="0" w:line="183"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previously registered shares of its Common Stock for issuance under the 2022 Incentive Plan, the SoundHound AI, Inc. 2022 Employee Stock Purchase Plan, the SoundHound, Inc. 2016 Equity Incentive Plan, and the Melodis Corporation 2006 Stock Plan on a Registration Statement on </w:t>
      </w:r>
      <w:hyperlink r:id="rId1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July 20, 2022 (File No. 333-266239) (the “Prior Registration Statement”). Pursuant to General Instruction E to Form S-8, this Registration Statement hereby incorporates by reference the contents of the Prior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Commission, which means that we can disclose important information to you by referring you to those documents. The information in the documents incorporated by reference is considered to be part of this prospectus. Statements contained in documents that we file with the Commission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Commission and they are incorporated herein by reference as of their respective dates of filing.</w:t>
      </w:r>
    </w:p>
    <w:p>
      <w:pPr>
        <w:spacing w:after="0" w:line="18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Statements on </w:t>
      </w:r>
      <w:hyperlink r:id="rId1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30,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w:t>
      </w:r>
      <w:hyperlink r:id="rId1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dated January 3, 2024;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Exhibit 4.5 to Form 10-K.</w:t>
      </w:r>
    </w:p>
    <w:p>
      <w:pPr>
        <w:spacing w:after="0" w:line="225"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documents that we filed with the Commission pursuant to Sections 13(a), 13(c), 14, and 15(d) of the Exchange Act subsequent to the date of this prospectus that indicates that all securities offered under this prospectus have been sold, or that deregisters all securities then remaining unsold, will be deemed to be incorporated in this prospectus by reference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(other than exhibits, unless such exhibits are specifically incorporated by reference), by contacting Corporate Secretary, c/o SoundHound AI, Inc., at 5400 Betsy Ross Drive, Santa Clara, CA 95054. Our telephone number is (408) 441-3200. Information about us is also available at our website at http://www.soundhound.com. However, the information in our website is not a part of this prospectus and is not incorporated by reference.</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6. Indemnification of Officers and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92"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3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732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3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20" w:type="dxa"/>
            <w:vAlign w:val="bottom"/>
          </w:tcPr>
          <w:p>
            <w:pPr>
              <w:spacing w:after="0"/>
              <w:rPr>
                <w:sz w:val="20"/>
                <w:szCs w:val="20"/>
                <w:color w:val="auto"/>
              </w:rPr>
            </w:pPr>
          </w:p>
        </w:tc>
        <w:tc>
          <w:tcPr>
            <w:tcW w:w="4360" w:type="dxa"/>
            <w:vAlign w:val="bottom"/>
            <w:gridSpan w:val="8"/>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16"/>
        </w:trPr>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SoundHound AI, Inc. 2022 Incentive Award Plan.</w:t>
              </w:r>
            </w:hyperlink>
          </w:p>
        </w:tc>
        <w:tc>
          <w:tcPr>
            <w:tcW w:w="2680" w:type="dxa"/>
            <w:vAlign w:val="bottom"/>
            <w:tcBorders>
              <w:bottom w:val="single" w:sz="8" w:color="CCEEFF"/>
            </w:tcBorders>
            <w:gridSpan w:val="4"/>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Proxy Statement</w:t>
            </w:r>
          </w:p>
        </w:tc>
        <w:tc>
          <w:tcPr>
            <w:tcW w:w="12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Annex D</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6280" w:type="dxa"/>
            <w:vAlign w:val="bottom"/>
            <w:gridSpan w:val="9"/>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SoundHound AI, Inc. 2022 Employee Stock Purchase Plan.</w:t>
              </w:r>
            </w:hyperlink>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Proxy Statement</w:t>
            </w: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Annex 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62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Restricted Stock Unit Agreement.</w:t>
              </w:r>
            </w:hyperlink>
          </w:p>
        </w:tc>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tcPr>
          <w:p>
            <w:pPr>
              <w:spacing w:after="0"/>
              <w:rPr>
                <w:sz w:val="15"/>
                <w:szCs w:val="15"/>
                <w:color w:val="auto"/>
              </w:rPr>
            </w:pPr>
          </w:p>
        </w:tc>
        <w:tc>
          <w:tcPr>
            <w:tcW w:w="306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Stock Option Award Agreement.</w:t>
              </w:r>
            </w:hyperlink>
          </w:p>
        </w:tc>
        <w:tc>
          <w:tcPr>
            <w:tcW w:w="3220" w:type="dxa"/>
            <w:vAlign w:val="bottom"/>
            <w:tcBorders>
              <w:top w:val="single" w:sz="8" w:color="CCEEFF"/>
            </w:tcBorders>
            <w:gridSpan w:val="6"/>
          </w:tcPr>
          <w:p>
            <w:pPr>
              <w:spacing w:after="0"/>
              <w:rPr>
                <w:sz w:val="15"/>
                <w:szCs w:val="15"/>
                <w:color w:val="auto"/>
              </w:rPr>
            </w:pPr>
          </w:p>
        </w:tc>
        <w:tc>
          <w:tcPr>
            <w:tcW w:w="15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62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5"/>
                <w:szCs w:val="15"/>
                <w:color w:val="auto"/>
              </w:rPr>
            </w:pPr>
          </w:p>
        </w:tc>
        <w:tc>
          <w:tcPr>
            <w:tcW w:w="6280" w:type="dxa"/>
            <w:vAlign w:val="bottom"/>
            <w:gridSpan w:val="9"/>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Opinion of Ellenoff Grossman &amp; Schole LLP</w:t>
              </w:r>
            </w:hyperlink>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Form S-8</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July 20, 2022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3300" w:type="dxa"/>
            <w:vAlign w:val="bottom"/>
            <w:tcBorders>
              <w:bottom w:val="single" w:sz="8" w:color="CCEEFF"/>
            </w:tcBorders>
            <w:gridSpan w:val="7"/>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62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Consent of Armanino LLP</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5"/>
                <w:szCs w:val="15"/>
                <w:color w:val="auto"/>
              </w:rPr>
            </w:pPr>
          </w:p>
        </w:tc>
        <w:tc>
          <w:tcPr>
            <w:tcW w:w="62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Ellenoff Grossman &amp; Schole LLP (included in Exhibit 5.1)</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5"/>
                <w:szCs w:val="15"/>
                <w:color w:val="auto"/>
              </w:rPr>
            </w:pPr>
          </w:p>
        </w:tc>
        <w:tc>
          <w:tcPr>
            <w:tcW w:w="6280" w:type="dxa"/>
            <w:vAlign w:val="bottom"/>
            <w:gridSpan w:val="9"/>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Consent of Ellenoff Grossman &amp; Schole LLP (included in Exhibit 5.2)</w:t>
              </w:r>
            </w:hyperlink>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9" w:lineRule="exact"/>
        <w:rPr>
          <w:sz w:val="20"/>
          <w:szCs w:val="20"/>
          <w:color w:val="auto"/>
        </w:rPr>
      </w:pPr>
    </w:p>
    <w:p>
      <w:pPr>
        <w:ind w:left="1040" w:hanging="103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Powers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Fees Table</w:t>
      </w:r>
    </w:p>
    <w:p>
      <w:pPr>
        <w:spacing w:after="0" w:line="20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periodic reports filed with or furnished to the SEC by the Registrant pursuant to Section 13 or Section 15(d) of the Securities Exchange Act of 1934 that are incorporated by reference herein.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56"/>
        <w:spacing w:after="0" w:line="266" w:lineRule="auto"/>
        <w:tabs>
          <w:tab w:leader="none" w:pos="9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April 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Dr. Keyvan Mohajer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hereby ratifying and confirming all that said attorney-in-fact or his substitute, each acting alone, may lawfully do or cause to be done by virtue thereof.</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0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Hom</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5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5,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980"/>
              <w:spacing w:after="0"/>
              <w:rPr>
                <w:sz w:val="20"/>
                <w:szCs w:val="20"/>
                <w:color w:val="auto"/>
              </w:rPr>
            </w:pPr>
            <w:r>
              <w:rPr>
                <w:rFonts w:ascii="Times New Roman" w:cs="Times New Roman" w:eastAsia="Times New Roman" w:hAnsi="Times New Roman"/>
                <w:sz w:val="18"/>
                <w:szCs w:val="18"/>
                <w:color w:val="auto"/>
              </w:rPr>
              <w:t>II-5</w:t>
            </w: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1345 AVENUE OF THE AMERICAS,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10883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108835" cy="685800"/>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FACSIMILE: (212) 370-7889</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www.egsllp.com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have acted as counsel to Soundhound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the Company’s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being filed with the Securities and Exchange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has been filed to register an additional 18,806,859 shares (the “</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 of Company’s Class A common stock to be issued pursuant to the Company’s 2022 Equity Incentive Plan (the “</w:t>
      </w:r>
      <w:r>
        <w:rPr>
          <w:rFonts w:ascii="Times New Roman" w:cs="Times New Roman" w:eastAsia="Times New Roman" w:hAnsi="Times New Roman"/>
          <w:sz w:val="18"/>
          <w:szCs w:val="18"/>
          <w:b w:val="1"/>
          <w:bCs w:val="1"/>
          <w:color w:val="auto"/>
        </w:rPr>
        <w:t>2022 Incentive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the opinion expressed below, we have examined and relied on the following documents:</w:t>
      </w:r>
    </w:p>
    <w:p>
      <w:pPr>
        <w:spacing w:after="0" w:line="225" w:lineRule="exact"/>
        <w:rPr>
          <w:sz w:val="20"/>
          <w:szCs w:val="20"/>
          <w:color w:val="auto"/>
        </w:rPr>
      </w:pPr>
    </w:p>
    <w:p>
      <w:pPr>
        <w:ind w:right="20" w:firstLine="656"/>
        <w:spacing w:after="0" w:line="282" w:lineRule="auto"/>
        <w:tabs>
          <w:tab w:leader="none" w:pos="9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and the Amended and Restated Bylaws of the Company, each as amended as of the date 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Incentive Plan;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of meetings and consents of the Board of Directors of the Company provided to us by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also assumed that the Company will not in the future issue or otherwise make available so many shares of its Class A Common Stock that there are insufficient authorized and unissued shares of Class A Common Stock for issuance of the shares issuable upon exercise of the options and vesting of the restricted stock units and any other awards being registered in the Registration Statement. We have not independently verified any of these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firstLine="648"/>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the General Corporation Law of the State of Delaware. We are not opining on, and we assume no responsibility for, the applicability or effect on any of the matters covered herein of: (a) any other laws; (b) the laws of any other jurisdiction; or</w:t>
      </w:r>
    </w:p>
    <w:p>
      <w:pPr>
        <w:ind w:firstLine="8"/>
        <w:spacing w:after="0" w:line="260" w:lineRule="auto"/>
        <w:tabs>
          <w:tab w:leader="none" w:pos="2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any country, municipality or other political subdivision or local government agency or authority. The opinions set forth below are rendered as of the date of this opinion letter. We assume no obligation to update or supplement such opinions to reflect any change of law or fact that may occur.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Plan Shares have been duly authorized and, upon issuance and payment therefor in accordance with the terms of the 2022 Incentive Plan, and the awards, agreements or certificates issued thereunder, will be validly issued, fully paid and nonassessable.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experts with respect to any part of the Registration Statement within the meaning of the term “expert” as used in Section 11 of the Securities Act or the rules and regulations promulgated thereunder by the Securities and Exchange Commission, nor do we admit that we are within the category of persons whose consent is required under Section 7 of the Securities Act or the rules and regulations of the Securities and Exchange Commission promulgated thereunder.</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SoundHound AI, Inc. of our report dated March 1, 2024 relating to the financial statements and the effectiveness of internal control over financial reporting, which appears in SoundHound AI, Inc.’s Annual Report on Form 10-K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audit report dated March 28, 2023, except for the effects of the tables reflecting the impact of the revisions as of and for the year ended December 31, 2022 discussed in Note 20 (not presented herein) to the consolidated financial statements, as to which the date is March 1, 2024, relating to the consolidated financial statements of SoundHound AI, Inc. (the “Company”), for the year ended December 31, 2023, which report appears in the Company’s 2023 Annual Report on Form 10-K.</w:t>
      </w:r>
    </w:p>
    <w:p>
      <w:pPr>
        <w:spacing w:after="0" w:line="1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Armanino</w:t>
      </w:r>
      <w:r>
        <w:rPr>
          <w:rFonts w:ascii="Times New Roman" w:cs="Times New Roman" w:eastAsia="Times New Roman" w:hAnsi="Times New Roman"/>
          <w:sz w:val="29"/>
          <w:szCs w:val="29"/>
          <w:color w:val="auto"/>
          <w:vertAlign w:val="superscript"/>
        </w:rPr>
        <w:t>LLP</w:t>
      </w:r>
    </w:p>
    <w:p>
      <w:pPr>
        <w:ind w:left="67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Security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r>
      <w:tr>
        <w:trPr>
          <w:trHeight w:val="241"/>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Title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r>
      <w:tr>
        <w:trPr>
          <w:trHeight w:val="198"/>
        </w:trPr>
        <w:tc>
          <w:tcPr>
            <w:tcW w:w="11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7"/>
                <w:szCs w:val="17"/>
                <w:color w:val="auto"/>
              </w:rPr>
            </w:pPr>
          </w:p>
        </w:tc>
        <w:tc>
          <w:tcPr>
            <w:tcW w:w="21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100" w:type="dxa"/>
            <w:vAlign w:val="bottom"/>
          </w:tcPr>
          <w:p>
            <w:pPr>
              <w:spacing w:after="0"/>
              <w:rPr>
                <w:sz w:val="17"/>
                <w:szCs w:val="17"/>
                <w:color w:val="auto"/>
              </w:rPr>
            </w:pPr>
          </w:p>
        </w:tc>
        <w:tc>
          <w:tcPr>
            <w:tcW w:w="1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Rule 457(c) and Rule</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$0.0001 par 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Total Offering Amounts</w:t>
            </w: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Total Fee Offsets</w:t>
            </w:r>
          </w:p>
        </w:tc>
      </w:tr>
      <w:tr>
        <w:trPr>
          <w:trHeight w:val="243"/>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8"/>
              </w:rPr>
              <w:t>Net Fee Due</w:t>
            </w: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Proposed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Maximum</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Maximum</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Offering</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Aggregate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80"/>
        </w:trPr>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80"/>
              <w:spacing w:after="0" w:line="181" w:lineRule="exact"/>
              <w:rPr>
                <w:sz w:val="20"/>
                <w:szCs w:val="20"/>
                <w:color w:val="auto"/>
              </w:rPr>
            </w:pPr>
            <w:r>
              <w:rPr>
                <w:rFonts w:ascii="Times New Roman" w:cs="Times New Roman" w:eastAsia="Times New Roman" w:hAnsi="Times New Roman"/>
                <w:sz w:val="18"/>
                <w:szCs w:val="18"/>
                <w:color w:val="auto"/>
                <w:w w:val="97"/>
              </w:rPr>
              <w:t>Price</w:t>
            </w:r>
          </w:p>
        </w:tc>
        <w:tc>
          <w:tcPr>
            <w:tcW w:w="120" w:type="dxa"/>
            <w:vAlign w:val="bottom"/>
          </w:tcPr>
          <w:p>
            <w:pPr>
              <w:spacing w:after="0"/>
              <w:rPr>
                <w:sz w:val="15"/>
                <w:szCs w:val="15"/>
                <w:color w:val="auto"/>
              </w:rPr>
            </w:pPr>
          </w:p>
        </w:tc>
        <w:tc>
          <w:tcPr>
            <w:tcW w:w="1100" w:type="dxa"/>
            <w:vAlign w:val="bottom"/>
            <w:gridSpan w:val="2"/>
          </w:tcPr>
          <w:p>
            <w:pPr>
              <w:jc w:val="center"/>
              <w:ind w:right="380"/>
              <w:spacing w:after="0" w:line="181" w:lineRule="exact"/>
              <w:rPr>
                <w:sz w:val="20"/>
                <w:szCs w:val="20"/>
                <w:color w:val="auto"/>
              </w:rPr>
            </w:pPr>
            <w:r>
              <w:rPr>
                <w:rFonts w:ascii="Times New Roman" w:cs="Times New Roman" w:eastAsia="Times New Roman" w:hAnsi="Times New Roman"/>
                <w:sz w:val="18"/>
                <w:szCs w:val="18"/>
                <w:color w:val="auto"/>
                <w:w w:val="96"/>
              </w:rPr>
              <w:t>Offering</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77"/>
        </w:trPr>
        <w:tc>
          <w:tcPr>
            <w:tcW w:w="100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w w:val="96"/>
              </w:rPr>
              <w:t>Registered</w:t>
            </w:r>
            <w:r>
              <w:rPr>
                <w:rFonts w:ascii="Times New Roman" w:cs="Times New Roman" w:eastAsia="Times New Roman" w:hAnsi="Times New Roman"/>
                <w:sz w:val="29"/>
                <w:szCs w:val="29"/>
                <w:color w:val="auto"/>
                <w:w w:val="96"/>
                <w:vertAlign w:val="superscript"/>
              </w:rPr>
              <w:t>(1)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 Share</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Price</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Fee Rate</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453"/>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18,806,859</w:t>
            </w:r>
            <w:r>
              <w:rPr>
                <w:rFonts w:ascii="Times New Roman" w:cs="Times New Roman" w:eastAsia="Times New Roman" w:hAnsi="Times New Roman"/>
                <w:sz w:val="29"/>
                <w:szCs w:val="29"/>
                <w:color w:val="auto"/>
                <w:w w:val="98"/>
                <w:vertAlign w:val="superscript"/>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r>
              <w:rPr>
                <w:rFonts w:ascii="Times New Roman" w:cs="Times New Roman" w:eastAsia="Times New Roman" w:hAnsi="Times New Roman"/>
                <w:sz w:val="29"/>
                <w:szCs w:val="29"/>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97,795,667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0.00014760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14,434.64</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14,434.64</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14,434.64</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-805180</wp:posOffset>
            </wp:positionV>
            <wp:extent cx="713232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-359410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20" w:space="120"/>
            <w:col w:w="6100"/>
          </w:cols>
          <w:pgMar w:left="320" w:top="108" w:right="339" w:bottom="1440" w:gutter="0" w:footer="0" w:header="0"/>
          <w:type w:val="continuous"/>
        </w:sect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on Form S-8 shall also cover any additional shares of the Registrant’s Class A common stock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Class A common stock.</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represents the number of additional shares available for issuance pursuant to the SoundHound AI, Inc. 2022 Equity Incentive Plan (the “2022 Incentive Plan”) pursuant to the evergreen provision of such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based on $5.20, the average of the high and low sales price of a share of Class A common stock as reported on the Nasdaq Global Market on April 3, 2024.</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2"/>
    </w:lvl>
    <w:lvl w:ilvl="1">
      <w:lvlJc w:val="left"/>
      <w:lvlText w:val="%2"/>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jpe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14" Type="http://schemas.openxmlformats.org/officeDocument/2006/relationships/hyperlink" Target="http://www.sec.gov/Archives/edgar/data/1840856/000121390022040524/ea162667-s8_soundhound.htm" TargetMode="External"/><Relationship Id="rId16" Type="http://schemas.openxmlformats.org/officeDocument/2006/relationships/hyperlink" Target="https://www.sec.gov/Archives/edgar/data/1840856/000184085624000013/soun-20231231.htm" TargetMode="External"/><Relationship Id="rId17" Type="http://schemas.openxmlformats.org/officeDocument/2006/relationships/hyperlink" Target="https://www.sec.gov/Archives/edgar/data/1840856/000121390023044031/def14a0523_soundhound.htm" TargetMode="External"/><Relationship Id="rId18" Type="http://schemas.openxmlformats.org/officeDocument/2006/relationships/hyperlink" Target="https://www.sec.gov/Archives/edgar/data/1840856/000121390024000804/ea190917-8k_soundhoun.htm" TargetMode="External"/><Relationship Id="rId21" Type="http://schemas.openxmlformats.org/officeDocument/2006/relationships/hyperlink" Target="https://www.sec.gov/Archives/edgar/data/1840856/000121390022018967/f424b30422_archimedes.htm#T601" TargetMode="External"/><Relationship Id="rId22" Type="http://schemas.openxmlformats.org/officeDocument/2006/relationships/hyperlink" Target="https://www.sec.gov/Archives/edgar/data/1840856/000121390022018967/f424b30422_archimedes.htm#T602" TargetMode="External"/><Relationship Id="rId23" Type="http://schemas.openxmlformats.org/officeDocument/2006/relationships/hyperlink" Target="https://www.sec.gov/Archives/edgar/data/1840856/000121390022023274/ea159193ex10-8_soundhound.htm" TargetMode="External"/><Relationship Id="rId24" Type="http://schemas.openxmlformats.org/officeDocument/2006/relationships/hyperlink" Target="https://www.sec.gov/Archives/edgar/data/1840856/000121390022023274/ea159193ex10-9_soundhound.htm" TargetMode="External"/><Relationship Id="rId25" Type="http://schemas.openxmlformats.org/officeDocument/2006/relationships/hyperlink" Target="https://www.sec.gov/Archives/edgar/data/1840856/000121390022040524/ea162667ex5-1_soundhound.htm" TargetMode="External"/><Relationship Id="rId26" Type="http://schemas.openxmlformats.org/officeDocument/2006/relationships/hyperlink" Target="http://www.sec.gov/Archives/edgar/data/1840856/000121390022040524/ea162667ex5-1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2024-04-08T05:52:56Z</dcterms:created>
  <dcterms:modified xsi:type="dcterms:W3CDTF">2024-04-08T05:52:56Z</dcterms:modified>
</cp:coreProperties>
</file>