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116-8k425_sound.htm"/>
      <w:bookmarkStart w:id="1" w:name="ksea02991168k425_sound"/>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720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645" w:type="dxa"/>
        <w:jc w:val="left"/>
        <w:tblInd w:w="0" w:type="dxa"/>
        <w:tblLayout w:type="fixed"/>
        <w:tblCellMar>
          <w:top w:w="0" w:type="dxa"/>
          <w:left w:w="0" w:type="dxa"/>
          <w:bottom w:w="28" w:type="dxa"/>
          <w:right w:w="0" w:type="dxa"/>
        </w:tblCellMar>
      </w:tblPr>
      <w:tblGrid>
        <w:gridCol w:w="2660"/>
        <w:gridCol w:w="60"/>
        <w:gridCol w:w="2300"/>
        <w:gridCol w:w="60"/>
        <w:gridCol w:w="1565"/>
      </w:tblGrid>
      <w:tr>
        <w:trPr/>
        <w:tc>
          <w:tcPr>
            <w:tcW w:w="2660" w:type="dxa"/>
            <w:tcBorders>
              <w:bottom w:val="single" w:sz="12" w:space="0" w:color="000000"/>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720"/>
            <w:bookmarkEnd w:id="6"/>
            <w:r>
              <w:rPr>
                <w:b/>
                <w:sz w:val="20"/>
              </w:rPr>
              <w:t>001-40193</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85-1286799</w:t>
            </w:r>
          </w:p>
        </w:tc>
      </w:tr>
      <w:tr>
        <w:trPr/>
        <w:tc>
          <w:tcPr>
            <w:tcW w:w="266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b/>
                <w:sz w:val="20"/>
              </w:rPr>
            </w:pPr>
            <w:bookmarkStart w:id="8" w:name="xdx_903_edei--EntityAddressAddressLine1_"/>
            <w:bookmarkEnd w:id="8"/>
            <w:r>
              <w:rPr>
                <w:b/>
                <w:sz w:val="20"/>
              </w:rPr>
              <w:t>5400 Betsy Ross Drive</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bookmarkStart w:id="9" w:name="xdx_907_edei--EntityAddressCityOrTown_c2"/>
            <w:bookmarkEnd w:id="9"/>
            <w:r>
              <w:rPr>
                <w:b/>
                <w:sz w:val="20"/>
              </w:rPr>
              <w:t xml:space="preserve">Santa Clara, </w:t>
            </w:r>
            <w:bookmarkStart w:id="10" w:name="xdx_902_edei--EntityAddressStateOrProvin"/>
            <w:bookmarkEnd w:id="10"/>
            <w:r>
              <w:rPr>
                <w:b/>
                <w:sz w:val="20"/>
              </w:rPr>
              <w:t>CA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bookmarkStart w:id="11" w:name="xdx_906_edei--EntityAddressPostalZipCode"/>
            <w:bookmarkEnd w:id="11"/>
            <w:r>
              <w:rPr>
                <w:b/>
                <w:sz w:val="20"/>
              </w:rPr>
              <w:t>95054</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3_edei--CityAreaCode_c20260720__20"/>
      <w:bookmarkEnd w:id="12"/>
      <w:r>
        <w:rPr>
          <w:rFonts w:ascii="Times New Roman;Times;Serif" w:hAnsi="Times New Roman;Times;Serif"/>
          <w:b/>
          <w:i w:val="false"/>
          <w:caps w:val="false"/>
          <w:smallCaps w:val="false"/>
          <w:sz w:val="20"/>
        </w:rPr>
        <w:t xml:space="preserve">408) </w:t>
      </w:r>
      <w:bookmarkStart w:id="13" w:name="xdx_90C_edei--LocalPhoneNumber_c20260720"/>
      <w:bookmarkEnd w:id="13"/>
      <w:r>
        <w:rPr>
          <w:rFonts w:ascii="Times New Roman;Times;Serif" w:hAnsi="Times New Roman;Times;Serif"/>
          <w:b/>
          <w:i w:val="false"/>
          <w:caps w:val="false"/>
          <w:smallCaps w:val="false"/>
          <w:sz w:val="20"/>
        </w:rPr>
        <w:t>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6_edei--SolicitingMaterial_c202607"/>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64"/>
        <w:gridCol w:w="60"/>
        <w:gridCol w:w="1276"/>
        <w:gridCol w:w="60"/>
        <w:gridCol w:w="1945"/>
      </w:tblGrid>
      <w:tr>
        <w:trPr/>
        <w:tc>
          <w:tcPr>
            <w:tcW w:w="6864"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76"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45" w:type="dxa"/>
            <w:tcBorders>
              <w:bottom w:val="single" w:sz="12" w:space="0" w:color="000000"/>
            </w:tcBorders>
            <w:vAlign w:val="center"/>
          </w:tcPr>
          <w:p>
            <w:pPr>
              <w:pStyle w:val="TableContents"/>
              <w:bidi w:val="0"/>
              <w:spacing w:before="0" w:after="283"/>
              <w:jc w:val="center"/>
              <w:rPr>
                <w:b/>
                <w:sz w:val="20"/>
              </w:rPr>
            </w:pPr>
            <w:r>
              <w:rPr>
                <w:b/>
                <w:sz w:val="20"/>
              </w:rPr>
              <w:t>Name of Each Exchange</w:t>
              <w:br/>
              <w:t>on which Registered</w:t>
            </w:r>
          </w:p>
        </w:tc>
      </w:tr>
      <w:tr>
        <w:trPr/>
        <w:tc>
          <w:tcPr>
            <w:tcW w:w="6864" w:type="dxa"/>
            <w:tcBorders/>
            <w:shd w:fill="CCEEFF" w:val="clear"/>
            <w:tcMar>
              <w:bottom w:w="0" w:type="dxa"/>
            </w:tcMar>
            <w:vAlign w:val="center"/>
          </w:tcPr>
          <w:p>
            <w:pPr>
              <w:pStyle w:val="TableContents"/>
              <w:bidi w:val="0"/>
              <w:spacing w:before="0" w:after="283"/>
              <w:jc w:val="center"/>
              <w:rPr>
                <w:sz w:val="20"/>
              </w:rPr>
            </w:pPr>
            <w:bookmarkStart w:id="18" w:name="xdx_904_edei--Security12bTitle_c20260720"/>
            <w:bookmarkEnd w:id="18"/>
            <w:r>
              <w:rPr>
                <w:sz w:val="20"/>
              </w:rPr>
              <w:t>Class A 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6" w:type="dxa"/>
            <w:tcBorders/>
            <w:shd w:fill="CCEEFF" w:val="clear"/>
            <w:tcMar>
              <w:bottom w:w="0" w:type="dxa"/>
            </w:tcMar>
            <w:vAlign w:val="center"/>
          </w:tcPr>
          <w:p>
            <w:pPr>
              <w:pStyle w:val="TableContents"/>
              <w:bidi w:val="0"/>
              <w:spacing w:before="0" w:after="283"/>
              <w:jc w:val="center"/>
              <w:rPr>
                <w:sz w:val="20"/>
              </w:rPr>
            </w:pPr>
            <w:bookmarkStart w:id="19" w:name="xdx_902_edei--TradingSymbol_c20260720__2"/>
            <w:bookmarkEnd w:id="19"/>
            <w:r>
              <w:rPr>
                <w:sz w:val="20"/>
              </w:rPr>
              <w:t>SOUN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5"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B_edei--SecurityExchangeName_c2026"/>
            <w:bookmarkEnd w:id="20"/>
            <w:r>
              <w:rPr>
                <w:sz w:val="20"/>
              </w:rPr>
              <w:t>Nasdaq Stock Market LLC</w:t>
            </w:r>
          </w:p>
        </w:tc>
      </w:tr>
      <w:tr>
        <w:trPr/>
        <w:tc>
          <w:tcPr>
            <w:tcW w:w="6864" w:type="dxa"/>
            <w:tcBorders/>
            <w:shd w:fill="FFFFFF" w:val="clear"/>
            <w:tcMar>
              <w:bottom w:w="0" w:type="dxa"/>
            </w:tcMar>
            <w:vAlign w:val="center"/>
          </w:tcPr>
          <w:p>
            <w:pPr>
              <w:pStyle w:val="TableContents"/>
              <w:bidi w:val="0"/>
              <w:spacing w:before="0" w:after="283"/>
              <w:jc w:val="center"/>
              <w:rPr>
                <w:sz w:val="20"/>
              </w:rPr>
            </w:pPr>
            <w:bookmarkStart w:id="21" w:name="xdx_906_edei--Security12bTitle_c20260720"/>
            <w:bookmarkEnd w:id="21"/>
            <w:r>
              <w:rPr>
                <w:sz w:val="20"/>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6" w:type="dxa"/>
            <w:tcBorders/>
            <w:shd w:fill="FFFFFF" w:val="clear"/>
            <w:tcMar>
              <w:bottom w:w="0" w:type="dxa"/>
            </w:tcMar>
            <w:vAlign w:val="center"/>
          </w:tcPr>
          <w:p>
            <w:pPr>
              <w:pStyle w:val="TableContents"/>
              <w:bidi w:val="0"/>
              <w:spacing w:before="0" w:after="283"/>
              <w:jc w:val="center"/>
              <w:rPr>
                <w:sz w:val="20"/>
              </w:rPr>
            </w:pPr>
            <w:bookmarkStart w:id="22" w:name="xdx_909_edei--TradingSymbol_c20260720__2"/>
            <w:bookmarkEnd w:id="22"/>
            <w:r>
              <w:rPr>
                <w:sz w:val="20"/>
              </w:rPr>
              <w:t>SOUNW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5"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4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4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2, 2026, SoundHound AI,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Lightspeed Merger Sub Inc., a Delaware corporation and an indirect wholly owned subsidiary of the Company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Lightspeed Merger Sub II Inc., a Delaware corporation and an indirect wholly owned subsidiary of the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LivePerson, Inc., a Delaware corporation (“</w:t>
      </w:r>
      <w:r>
        <w:rPr>
          <w:rFonts w:ascii="Times New Roman;Times;Serif" w:hAnsi="Times New Roman;Times;Serif"/>
          <w:b w:val="false"/>
          <w:i w:val="false"/>
          <w:caps w:val="false"/>
          <w:smallCaps w:val="false"/>
          <w:sz w:val="20"/>
          <w:u w:val="single"/>
        </w:rPr>
        <w:t>LivePerson</w:t>
      </w:r>
      <w:r>
        <w:rPr>
          <w:rFonts w:ascii="Times New Roman;Times;Serif" w:hAnsi="Times New Roman;Times;Serif"/>
          <w:b w:val="false"/>
          <w:i w:val="false"/>
          <w:caps w:val="false"/>
          <w:smallCaps w:val="false"/>
          <w:sz w:val="20"/>
        </w:rPr>
        <w:t>”), entered into an Amended and Restated Merger Agreement, pursuant to which, on the terms and subject to the conditions set forth therein, Merger Sub I will merge with and into LivePerson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LivePerson surviving the First Merger as an indirect wholly owned subsidiary of the Company and, immediately following the First Merger, Merger Sub II will merge with and into LivePerson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LivePerson surviving the Second Merger as an indirect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closing of the Mergers is conditioned upon, among other things, the receipt of foreign investment approvals in Bulgaria, Canada, Italy, Germany and the United Kingdom. Clearance was received from (I) the relevant Italian and Canadian regulatory authorities on June 25, 2026, (II) the relevant German regulatory authority on June 29, 2026 and (III) the relevant United Kingdom regulatory authority on July 1, 2026. On July 20, 2026, the final foreign investment clearance was received by the relevant Bulgarian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the foregoing foreign investment approvals satisfies all regulatory approval conditions to the closing of the Mergers. The Mergers remain subject to other closing conditions, including LivePerson stockholder approval, after which the Mergers will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statements regarding the Company, LivePerson, the proposed transactions described herein and other matters that are forward-looking statements within the meaning of Section 27A of the Securities Act of 1933, as amended, and Section 21E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(i) the Company’s or LivePerson’s expected future financial position, results of operations, business strategy, production capacity, competitive positions, growth opportunities, employment opportunities and mobility, plans and objectives of management and (ii) the Company’s proposed acquisition of LivePerson, the expected benefits of the proposed acquisition, including with respect to the business outlook or future economic performance, and product or services line growth, the structure of the proposed acquisition, the closing date of the proposed acquisition, and plans following the closing of the proposed acquisition,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failure to timely or at all obtain LivePerson stockholder approval for the Mergers; (c) the timing of obtaining such approvals and the risk that such approvals may result in the imposition of conditions that could adversely affect the combined company or the expected benefits of the proposed transactions; (d) the risk that a condition to closing of the proposed transactions may not be satisfied on a timely basis or at all; (e) the possible occurrence of an event, change or other circumstance that would give rise to the termination of the Amended and Restated Merger Agreement; (f) the risk of stockholder litigation in connection with the Mergers, including resulting expense or delay in closing of the proposed transactions; (g) the failure of the proposed transactions to close for any other reason; (h) the diversion of the attention of the Company and LivePerson management from ongoing business operations; (i) unexpected costs, liabilities, charges or expenses resulting from the proposed transactions; (j) the risk that the integration of the Company and LivePerson will be more difficult, time-consuming or expensive than anticipated; (k) the risk of customer loss or other business disruption in connection with the proposed transactions, or of the loss of key employees; (l) the fact that unforeseen liabilities of the Company or LivePerson may exist; (m) changes in applicable laws or regulations and extensive and evolving government regulations that impact the Company’s or LivePerson’s operations and business; (n) investigations, claims, disputes, enforcement actions, litigation and/or other regulatory or legal proceedings, including with respect to AI technology; (o) risks that the Company may not be able to manage strains associated with its growth; (p) dependence on key personnel; (q) stock price volatility; (r) the Company’s and LivePerson’s ability to protect their intellectual property and litigation risks; (s) the risk that LivePerson’s usage patterns, customer renewals, customer outcomes and similar metrics differ from expectations; (t) the risk of cybersecurity incidents or breaches impacting LivePerson’s business; (u) the risks related to the use and regulation of artificial intelligence and machine learning; (v) general economic, financial, legal, political and business conditions; and (w) other risks inherent in the Company’s and LivePerson’s businesses.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factors are difficult to predict, are beyond the Company’s and LivePerson’s control, and are subject to additional risks and uncertainties, including those detailed in the Company’s annual report on Form 10-K for the year ended December 31, 2025 and those detailed in LivePerson’s annual report on Form 10-K for the year ended December 31, 2025 and LivePerson’s Quarterly Report on Form 10-Q for the quarterly period ended March 31, 2026. These risks, as well as other risks related to the proposed transaction, are included in the Form S-4 and proxy statement/prospectus (each as defined below) that the Company and LivePerson filed with the SEC in connection with the proposed transaction. Forward-looking statements are based on the estimates and opinions of management at the time the statements are made. Neither the Company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the Company filed with the SEC a registration statement on Form S-4 (the “Form S-4”) that includes a proxy statement of LivePerson and that also constitutes a prospectus of the Company with respect to the shares of the Company common stock to be issued in the proposed transaction (the “proxy statement/prospectus”). The definitive proxy statement/prospectus was filed with the SEC by, and mailed to stockholders of, LivePerson. Each of the Company and LivePerson may also file other relevant documents with the SEC regarding the proposed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a substitute for the Form S-4, the proxy statement/prospectus or any other document that the Company or LivePerson filed or may file with the SEC in connection with the proposed transaction. INVESTORS AND SECURITY HOLDERS OF SOUNDHOUND AND LIVEPERSON ARE URGED TO READ THE FORM S-4, THE PROXY STATEMENT/PROSPECTUS AND ANY OTHER RELEVANT DOCUMENTS FILED WITH THE SEC, AS WELL AS ANY AMENDMENTS OR SUPPLEMENTS TO THOSE DOCUMENTS, CAREFULLY IN THEIR ENTIRETY BECAUSE THEY CONTAIN OR WILL CONTAIN, AS APPLICABLE, IMPORTANT INFORMATION ABOUT THE PROPOSED TRANSACTION. Investors and security holders are able to obtain copies of these documents, as well as other filings containing information about the Company and LivePerson, free of charge on the SEC’s website at www.sec.gov. Copies of the documents filed with, or furnished to, the SEC by the Company are available free of charge on the Company’s website at https://investors.soundhound.com/financial-information/sec-filings. Copies of the documents filed with, or furnished to, the SEC by LivePerson are available free of charge on LivePerson’s website at https://ir.liveperson.com/financial-information/sec-filings. The information included on, or accessible through, the Company’s or LivePerson’s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LivePerson and their respective directors and executive officers may be deemed to be participants in the solicitation of proxies with respect to the proposed transaction under the rules of the SEC. Information about the directors and executive officers of the Company, including a description of their direct or indirect interests, by security holdings or otherwise, is set forth in the Company’s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“Ownership of Securities” included in LivePerson's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in other documents filed by LivePerson with the SEC. Additional information regarding the interests of the participants in the solicitation of proxies is included in the Form S-4, the proxy statement/prospectus and other relevant materials filed with the SEC. You should read the Form S-4 and the proxy statement/prospectus carefully before making any voting or investment decisions. You may obtain free copies of these documents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b/>
                <w:smallCaps/>
                <w:sz w:val="20"/>
              </w:rPr>
            </w:pPr>
            <w:r>
              <w:rPr>
                <w:b/>
                <w:smallCaps/>
                <w:sz w:val="20"/>
              </w:rPr>
              <w:t>SOUNDHOUND AI, INC.</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24, 2026</w:t>
            </w:r>
          </w:p>
        </w:tc>
        <w:tc>
          <w:tcPr>
            <w:tcW w:w="545" w:type="dxa"/>
            <w:tcBorders/>
            <w:vAlign w:val="center"/>
          </w:tcPr>
          <w:p>
            <w:pPr>
              <w:pStyle w:val="TableContents"/>
              <w:bidi w:val="0"/>
              <w:spacing w:before="0" w:after="283"/>
              <w:jc w:val="left"/>
              <w:rPr>
                <w:sz w:val="20"/>
              </w:rPr>
            </w:pPr>
            <w:r>
              <w:rPr>
                <w:sz w:val="20"/>
              </w:rPr>
              <w:t>By:</w:t>
            </w:r>
          </w:p>
        </w:tc>
        <w:tc>
          <w:tcPr>
            <w:tcW w:w="1955"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Keyvan Mohajer</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Keyvan Mohajer</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2196</Words>
  <Characters>12632</Characters>
  <CharactersWithSpaces>14821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