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SoundHound AI,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836100 107</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Global Catalyst Partners III, L.P.</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3903 Little Valley Road</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Sunol, CA 94586</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July 13,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Statement on 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14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201" w:lineRule="exact"/>
        <w:rPr>
          <w:sz w:val="24"/>
          <w:szCs w:val="24"/>
          <w:color w:val="auto"/>
        </w:rPr>
      </w:pPr>
    </w:p>
    <w:p>
      <w:pPr>
        <w:ind w:left="444" w:hanging="444"/>
        <w:spacing w:after="0" w:line="308" w:lineRule="auto"/>
        <w:tabs>
          <w:tab w:leader="none" w:pos="44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82" w:right="499" w:bottom="1440" w:gutter="0" w:footer="0" w:header="0"/>
        </w:sectPr>
      </w:pPr>
    </w:p>
    <w:bookmarkStart w:id="1" w:name="page2"/>
    <w:bookmarkEnd w:id="1"/>
    <w:p>
      <w:pPr>
        <w:ind w:left="587" w:right="7800" w:hanging="497"/>
        <w:spacing w:after="0" w:line="457" w:lineRule="auto"/>
        <w:tabs>
          <w:tab w:leader="none" w:pos="587"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Name of Reporting Persons: Global Catalyst Partners III, L.P.</w:t>
      </w:r>
    </w:p>
    <w:p>
      <w:pPr>
        <w:spacing w:after="0" w:line="1" w:lineRule="exact"/>
        <w:rPr>
          <w:rFonts w:ascii="Arial" w:cs="Arial" w:eastAsia="Arial" w:hAnsi="Arial"/>
          <w:sz w:val="16"/>
          <w:szCs w:val="16"/>
          <w:color w:val="auto"/>
        </w:rPr>
      </w:pPr>
    </w:p>
    <w:p>
      <w:pPr>
        <w:ind w:left="587" w:hanging="497"/>
        <w:spacing w:after="0"/>
        <w:tabs>
          <w:tab w:leader="none" w:pos="587"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-575945</wp:posOffset>
            </wp:positionV>
            <wp:extent cx="6926580" cy="6155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55055"/>
                    </a:xfrm>
                    <a:prstGeom prst="rect">
                      <a:avLst/>
                    </a:prstGeom>
                    <a:noFill/>
                  </pic:spPr>
                </pic:pic>
              </a:graphicData>
            </a:graphic>
          </wp:anchor>
        </w:drawing>
      </w:r>
    </w:p>
    <w:p>
      <w:pPr>
        <w:ind w:left="587"/>
        <w:spacing w:after="0" w:line="205" w:lineRule="exact"/>
        <w:tabs>
          <w:tab w:leader="none" w:pos="138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587" w:hanging="497"/>
        <w:spacing w:after="0"/>
        <w:tabs>
          <w:tab w:leader="none" w:pos="587"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87" w:hanging="497"/>
        <w:spacing w:after="0"/>
        <w:tabs>
          <w:tab w:leader="none" w:pos="587"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587" w:hanging="497"/>
        <w:spacing w:after="0"/>
        <w:tabs>
          <w:tab w:leader="none" w:pos="587"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7" w:lineRule="exact"/>
        <w:rPr>
          <w:rFonts w:ascii="Arial" w:cs="Arial" w:eastAsia="Arial" w:hAnsi="Arial"/>
          <w:sz w:val="18"/>
          <w:szCs w:val="18"/>
          <w:color w:val="auto"/>
        </w:rPr>
      </w:pPr>
    </w:p>
    <w:p>
      <w:pPr>
        <w:ind w:left="58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587" w:hanging="497"/>
        <w:spacing w:after="0"/>
        <w:tabs>
          <w:tab w:leader="none" w:pos="587"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587"/>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47"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88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Pr>
          <w:p>
            <w:pPr>
              <w:spacing w:after="0"/>
              <w:rPr>
                <w:sz w:val="24"/>
                <w:szCs w:val="24"/>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80" w:type="dxa"/>
            <w:vAlign w:val="bottom"/>
            <w:tcBorders>
              <w:bottom w:val="single" w:sz="8" w:color="auto"/>
            </w:tcBorders>
          </w:tcPr>
          <w:p>
            <w:pPr>
              <w:spacing w:after="0"/>
              <w:rPr>
                <w:sz w:val="5"/>
                <w:szCs w:val="5"/>
                <w:color w:val="auto"/>
              </w:rPr>
            </w:pPr>
          </w:p>
        </w:tc>
        <w:tc>
          <w:tcPr>
            <w:tcW w:w="8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580" w:type="dxa"/>
            <w:vAlign w:val="bottom"/>
            <w:vMerge w:val="continue"/>
          </w:tcPr>
          <w:p>
            <w:pPr>
              <w:spacing w:after="0"/>
              <w:rPr>
                <w:sz w:val="8"/>
                <w:szCs w:val="8"/>
                <w:color w:val="auto"/>
              </w:rPr>
            </w:pPr>
          </w:p>
        </w:tc>
        <w:tc>
          <w:tcPr>
            <w:tcW w:w="8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580" w:type="dxa"/>
            <w:vAlign w:val="bottom"/>
          </w:tcPr>
          <w:p>
            <w:pPr>
              <w:spacing w:after="0"/>
              <w:rPr>
                <w:sz w:val="18"/>
                <w:szCs w:val="18"/>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580" w:type="dxa"/>
            <w:vAlign w:val="bottom"/>
          </w:tcPr>
          <w:p>
            <w:pPr>
              <w:spacing w:after="0"/>
              <w:rPr>
                <w:sz w:val="9"/>
                <w:szCs w:val="9"/>
                <w:color w:val="auto"/>
              </w:rPr>
            </w:pPr>
          </w:p>
        </w:tc>
        <w:tc>
          <w:tcPr>
            <w:tcW w:w="8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320" w:type="dxa"/>
            <w:vAlign w:val="bottom"/>
            <w:vMerge w:val="continue"/>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continue"/>
          </w:tcPr>
          <w:p>
            <w:pPr>
              <w:spacing w:after="0"/>
              <w:rPr>
                <w:sz w:val="14"/>
                <w:szCs w:val="14"/>
                <w:color w:val="auto"/>
              </w:rPr>
            </w:pP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580" w:type="dxa"/>
            <w:vAlign w:val="bottom"/>
          </w:tcPr>
          <w:p>
            <w:pPr>
              <w:spacing w:after="0"/>
              <w:rPr>
                <w:sz w:val="18"/>
                <w:szCs w:val="18"/>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5"/>
        </w:trPr>
        <w:tc>
          <w:tcPr>
            <w:tcW w:w="1320" w:type="dxa"/>
            <w:vAlign w:val="bottom"/>
          </w:tcPr>
          <w:p>
            <w:pPr>
              <w:jc w:val="center"/>
              <w:spacing w:after="0" w:line="205" w:lineRule="exact"/>
              <w:rPr>
                <w:sz w:val="20"/>
                <w:szCs w:val="20"/>
                <w:color w:val="auto"/>
              </w:rPr>
            </w:pPr>
            <w:r>
              <w:rPr>
                <w:rFonts w:ascii="Arial" w:cs="Arial" w:eastAsia="Arial" w:hAnsi="Arial"/>
                <w:sz w:val="18"/>
                <w:szCs w:val="18"/>
                <w:color w:val="auto"/>
              </w:rPr>
              <w:t>WITH:</w:t>
            </w:r>
          </w:p>
        </w:tc>
        <w:tc>
          <w:tcPr>
            <w:tcW w:w="580" w:type="dxa"/>
            <w:vAlign w:val="bottom"/>
          </w:tcPr>
          <w:p>
            <w:pPr>
              <w:spacing w:after="0"/>
              <w:rPr>
                <w:sz w:val="17"/>
                <w:szCs w:val="17"/>
                <w:color w:val="auto"/>
              </w:rPr>
            </w:pPr>
          </w:p>
        </w:tc>
        <w:tc>
          <w:tcPr>
            <w:tcW w:w="8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107" w:right="6760" w:hanging="630"/>
        <w:spacing w:after="0" w:line="397" w:lineRule="auto"/>
        <w:tabs>
          <w:tab w:leader="none" w:pos="2107"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587" w:right="5320" w:hanging="587"/>
        <w:spacing w:after="0" w:line="414" w:lineRule="auto"/>
        <w:tabs>
          <w:tab w:leader="none" w:pos="587"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 w:lineRule="exact"/>
        <w:rPr>
          <w:rFonts w:ascii="Arial" w:cs="Arial" w:eastAsia="Arial" w:hAnsi="Arial"/>
          <w:sz w:val="18"/>
          <w:szCs w:val="18"/>
          <w:color w:val="auto"/>
        </w:rPr>
      </w:pPr>
    </w:p>
    <w:p>
      <w:pPr>
        <w:ind w:left="587" w:hanging="587"/>
        <w:spacing w:after="0"/>
        <w:tabs>
          <w:tab w:leader="none" w:pos="587"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07" w:lineRule="exact"/>
        <w:rPr>
          <w:rFonts w:ascii="Arial" w:cs="Arial" w:eastAsia="Arial" w:hAnsi="Arial"/>
          <w:sz w:val="18"/>
          <w:szCs w:val="18"/>
          <w:color w:val="auto"/>
        </w:rPr>
      </w:pPr>
    </w:p>
    <w:p>
      <w:pPr>
        <w:ind w:left="58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587" w:right="6240" w:hanging="587"/>
        <w:spacing w:after="0" w:line="398" w:lineRule="auto"/>
        <w:tabs>
          <w:tab w:leader="none" w:pos="587"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w:t>
      </w:r>
    </w:p>
    <w:p>
      <w:pPr>
        <w:ind w:left="587" w:hanging="587"/>
        <w:spacing w:after="0"/>
        <w:tabs>
          <w:tab w:leader="none" w:pos="5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0747"/>
          </w:cols>
          <w:pgMar w:left="593" w:top="503" w:right="559" w:bottom="1440" w:gutter="0" w:footer="0" w:header="0"/>
        </w:sectPr>
      </w:pPr>
    </w:p>
    <w:bookmarkStart w:id="2" w:name="page3"/>
    <w:bookmarkEnd w:id="2"/>
    <w:p>
      <w:pPr>
        <w:ind w:left="587" w:hanging="497"/>
        <w:spacing w:after="0"/>
        <w:tabs>
          <w:tab w:leader="none" w:pos="587"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Name of Reporting Persons:</w:t>
      </w:r>
    </w:p>
    <w:p>
      <w:pPr>
        <w:spacing w:after="0" w:line="252"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Global Catalyst Venture Management III, LLC</w:t>
      </w:r>
    </w:p>
    <w:p>
      <w:pPr>
        <w:spacing w:after="0" w:line="36" w:lineRule="exact"/>
        <w:rPr>
          <w:rFonts w:ascii="Arial" w:cs="Arial" w:eastAsia="Arial" w:hAnsi="Arial"/>
          <w:sz w:val="18"/>
          <w:szCs w:val="18"/>
          <w:color w:val="auto"/>
        </w:rPr>
      </w:pPr>
    </w:p>
    <w:p>
      <w:pPr>
        <w:ind w:left="587" w:hanging="497"/>
        <w:spacing w:after="0"/>
        <w:tabs>
          <w:tab w:leader="none" w:pos="587"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-575945</wp:posOffset>
            </wp:positionV>
            <wp:extent cx="6926580" cy="6155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55055"/>
                    </a:xfrm>
                    <a:prstGeom prst="rect">
                      <a:avLst/>
                    </a:prstGeom>
                    <a:noFill/>
                  </pic:spPr>
                </pic:pic>
              </a:graphicData>
            </a:graphic>
          </wp:anchor>
        </w:drawing>
      </w:r>
    </w:p>
    <w:p>
      <w:pPr>
        <w:ind w:left="587"/>
        <w:spacing w:after="0" w:line="205" w:lineRule="exact"/>
        <w:tabs>
          <w:tab w:leader="none" w:pos="138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587" w:hanging="497"/>
        <w:spacing w:after="0"/>
        <w:tabs>
          <w:tab w:leader="none" w:pos="587"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87" w:hanging="497"/>
        <w:spacing w:after="0"/>
        <w:tabs>
          <w:tab w:leader="none" w:pos="587"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587" w:hanging="497"/>
        <w:spacing w:after="0"/>
        <w:tabs>
          <w:tab w:leader="none" w:pos="587"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7" w:lineRule="exact"/>
        <w:rPr>
          <w:rFonts w:ascii="Arial" w:cs="Arial" w:eastAsia="Arial" w:hAnsi="Arial"/>
          <w:sz w:val="18"/>
          <w:szCs w:val="18"/>
          <w:color w:val="auto"/>
        </w:rPr>
      </w:pPr>
    </w:p>
    <w:p>
      <w:pPr>
        <w:ind w:left="58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587" w:hanging="497"/>
        <w:spacing w:after="0"/>
        <w:tabs>
          <w:tab w:leader="none" w:pos="587"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587"/>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47"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88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Pr>
          <w:p>
            <w:pPr>
              <w:spacing w:after="0"/>
              <w:rPr>
                <w:sz w:val="24"/>
                <w:szCs w:val="24"/>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80" w:type="dxa"/>
            <w:vAlign w:val="bottom"/>
            <w:tcBorders>
              <w:bottom w:val="single" w:sz="8" w:color="auto"/>
            </w:tcBorders>
          </w:tcPr>
          <w:p>
            <w:pPr>
              <w:spacing w:after="0"/>
              <w:rPr>
                <w:sz w:val="5"/>
                <w:szCs w:val="5"/>
                <w:color w:val="auto"/>
              </w:rPr>
            </w:pPr>
          </w:p>
        </w:tc>
        <w:tc>
          <w:tcPr>
            <w:tcW w:w="8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580" w:type="dxa"/>
            <w:vAlign w:val="bottom"/>
            <w:vMerge w:val="continue"/>
          </w:tcPr>
          <w:p>
            <w:pPr>
              <w:spacing w:after="0"/>
              <w:rPr>
                <w:sz w:val="8"/>
                <w:szCs w:val="8"/>
                <w:color w:val="auto"/>
              </w:rPr>
            </w:pPr>
          </w:p>
        </w:tc>
        <w:tc>
          <w:tcPr>
            <w:tcW w:w="8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580" w:type="dxa"/>
            <w:vAlign w:val="bottom"/>
          </w:tcPr>
          <w:p>
            <w:pPr>
              <w:spacing w:after="0"/>
              <w:rPr>
                <w:sz w:val="18"/>
                <w:szCs w:val="18"/>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580" w:type="dxa"/>
            <w:vAlign w:val="bottom"/>
          </w:tcPr>
          <w:p>
            <w:pPr>
              <w:spacing w:after="0"/>
              <w:rPr>
                <w:sz w:val="9"/>
                <w:szCs w:val="9"/>
                <w:color w:val="auto"/>
              </w:rPr>
            </w:pPr>
          </w:p>
        </w:tc>
        <w:tc>
          <w:tcPr>
            <w:tcW w:w="8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320" w:type="dxa"/>
            <w:vAlign w:val="bottom"/>
            <w:vMerge w:val="continue"/>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continue"/>
          </w:tcPr>
          <w:p>
            <w:pPr>
              <w:spacing w:after="0"/>
              <w:rPr>
                <w:sz w:val="14"/>
                <w:szCs w:val="14"/>
                <w:color w:val="auto"/>
              </w:rPr>
            </w:pP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580" w:type="dxa"/>
            <w:vAlign w:val="bottom"/>
          </w:tcPr>
          <w:p>
            <w:pPr>
              <w:spacing w:after="0"/>
              <w:rPr>
                <w:sz w:val="18"/>
                <w:szCs w:val="18"/>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5"/>
        </w:trPr>
        <w:tc>
          <w:tcPr>
            <w:tcW w:w="1320" w:type="dxa"/>
            <w:vAlign w:val="bottom"/>
          </w:tcPr>
          <w:p>
            <w:pPr>
              <w:jc w:val="center"/>
              <w:spacing w:after="0" w:line="205" w:lineRule="exact"/>
              <w:rPr>
                <w:sz w:val="20"/>
                <w:szCs w:val="20"/>
                <w:color w:val="auto"/>
              </w:rPr>
            </w:pPr>
            <w:r>
              <w:rPr>
                <w:rFonts w:ascii="Arial" w:cs="Arial" w:eastAsia="Arial" w:hAnsi="Arial"/>
                <w:sz w:val="18"/>
                <w:szCs w:val="18"/>
                <w:color w:val="auto"/>
              </w:rPr>
              <w:t>WITH:</w:t>
            </w:r>
          </w:p>
        </w:tc>
        <w:tc>
          <w:tcPr>
            <w:tcW w:w="580" w:type="dxa"/>
            <w:vAlign w:val="bottom"/>
          </w:tcPr>
          <w:p>
            <w:pPr>
              <w:spacing w:after="0"/>
              <w:rPr>
                <w:sz w:val="17"/>
                <w:szCs w:val="17"/>
                <w:color w:val="auto"/>
              </w:rPr>
            </w:pPr>
          </w:p>
        </w:tc>
        <w:tc>
          <w:tcPr>
            <w:tcW w:w="8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107" w:right="6760" w:hanging="630"/>
        <w:spacing w:after="0" w:line="397" w:lineRule="auto"/>
        <w:tabs>
          <w:tab w:leader="none" w:pos="2107"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587" w:right="5320" w:hanging="587"/>
        <w:spacing w:after="0" w:line="414" w:lineRule="auto"/>
        <w:tabs>
          <w:tab w:leader="none" w:pos="587"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 w:lineRule="exact"/>
        <w:rPr>
          <w:rFonts w:ascii="Arial" w:cs="Arial" w:eastAsia="Arial" w:hAnsi="Arial"/>
          <w:sz w:val="18"/>
          <w:szCs w:val="18"/>
          <w:color w:val="auto"/>
        </w:rPr>
      </w:pPr>
    </w:p>
    <w:p>
      <w:pPr>
        <w:ind w:left="587" w:hanging="587"/>
        <w:spacing w:after="0"/>
        <w:tabs>
          <w:tab w:leader="none" w:pos="587"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07" w:lineRule="exact"/>
        <w:rPr>
          <w:rFonts w:ascii="Arial" w:cs="Arial" w:eastAsia="Arial" w:hAnsi="Arial"/>
          <w:sz w:val="18"/>
          <w:szCs w:val="18"/>
          <w:color w:val="auto"/>
        </w:rPr>
      </w:pPr>
    </w:p>
    <w:p>
      <w:pPr>
        <w:ind w:left="58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587" w:right="6240" w:hanging="587"/>
        <w:spacing w:after="0" w:line="398" w:lineRule="auto"/>
        <w:tabs>
          <w:tab w:leader="none" w:pos="587"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w:t>
      </w:r>
    </w:p>
    <w:p>
      <w:pPr>
        <w:ind w:left="587" w:hanging="587"/>
        <w:spacing w:after="0"/>
        <w:tabs>
          <w:tab w:leader="none" w:pos="587"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0747"/>
          </w:cols>
          <w:pgMar w:left="593" w:top="503" w:right="5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EXPLANATORY STATEMENT</w:t>
      </w:r>
    </w:p>
    <w:p>
      <w:pPr>
        <w:spacing w:after="0" w:line="121"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This Amendment No. 5 (this “Amendment”) amends and supplements the statement on Schedule 13D originally filed by Reporting Persons on May 6, 2022, as amended (the “Schedule 13D”). Unless otherwise indicated, each capitalized term used but not defined in this Amendment shall have the meaning assigned to such term in the Schedule 13D.</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5(a)-(e) of the Schedule 13D is hereby amended and restated as follows:</w:t>
      </w:r>
    </w:p>
    <w:p>
      <w:pPr>
        <w:spacing w:after="0" w:line="117"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(a)-(b) As of July 24, 2023, Global Catalyst Partners III LP (“GCP III”) no longer holds any shares of Class A Common Stock of the Issuer, and Global Catalyst Venture Management III, LLC (“GCVM III”), as the general partner of GCP III, may no longer be deemed to beneficially own any shares of Class A Common Stock of the Issuer.</w:t>
      </w:r>
    </w:p>
    <w:p>
      <w:pPr>
        <w:spacing w:after="0" w:line="76" w:lineRule="exact"/>
        <w:rPr>
          <w:sz w:val="20"/>
          <w:szCs w:val="20"/>
          <w:color w:val="auto"/>
        </w:rPr>
      </w:pPr>
    </w:p>
    <w:p>
      <w:pPr>
        <w:jc w:val="both"/>
        <w:ind w:left="4" w:right="80" w:hanging="4"/>
        <w:spacing w:after="0" w:line="286" w:lineRule="auto"/>
        <w:tabs>
          <w:tab w:leader="none" w:pos="249"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July 13, 2023, GCP III distributed in-kind, without consideration, 2,000,000 shares of Class A Common Stock pro-rata to its partners, including its limited partners and its general partner, GCVM III. Upon receipt by GCVM III of its pro rata interest of the distribution (257,443 shares of Class A Common Stock), GCVM III distributed in-kind, without consideration, all such shares pro-rata to its members.</w:t>
      </w:r>
    </w:p>
    <w:p>
      <w:pPr>
        <w:spacing w:after="0" w:line="165"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On July 24, 2023, GCP III distributed in-kind, without consideration, 13,150,565 shares of Class A Common Stock pro-rata to its partners, including its limited partners and its general partner, GCVM III. Upon receipt by GCVM III of its pro rata interest of the distribution (1,511,729 shares of Class A Common Stock), GCVM III distributed in-kind, without consideration, all such shares pro-rata to its members.</w:t>
      </w:r>
    </w:p>
    <w:p>
      <w:pPr>
        <w:spacing w:after="0" w:line="16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Except as reported in this Item 5(c), none of the Reporting Persons have effected any transactions of the Issuer’s Class A Common Stock since the most recent filing of Schedule 13D.</w:t>
      </w:r>
    </w:p>
    <w:p>
      <w:pPr>
        <w:spacing w:after="0" w:line="62" w:lineRule="exact"/>
        <w:rPr>
          <w:sz w:val="20"/>
          <w:szCs w:val="20"/>
          <w:color w:val="auto"/>
        </w:rPr>
      </w:pPr>
    </w:p>
    <w:p>
      <w:pPr>
        <w:ind w:left="264" w:hanging="264"/>
        <w:spacing w:after="0"/>
        <w:tabs>
          <w:tab w:leader="none" w:pos="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244" w:hanging="244"/>
        <w:spacing w:after="0"/>
        <w:tabs>
          <w:tab w:leader="none" w:pos="2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of July 24, 2023, the Reporting Persons ceased to be the beneficial owners of more than five percent of the Class A Common Stock of the Issuer.</w:t>
      </w:r>
    </w:p>
    <w:p>
      <w:pPr>
        <w:sectPr>
          <w:pgSz w:w="11900" w:h="16838" w:orient="portrait"/>
          <w:cols w:equalWidth="0" w:num="1">
            <w:col w:w="10924"/>
          </w:cols>
          <w:pgMar w:left="436" w:top="486" w:right="539" w:bottom="1440" w:gutter="0" w:footer="0" w:header="0"/>
        </w:sectPr>
      </w:pPr>
    </w:p>
    <w:bookmarkStart w:id="4" w:name="page5"/>
    <w:bookmarkEnd w:id="4"/>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25,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CATALYST PARTNERS III, L.P.</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By: Global Catalyst Venture Management 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Kamran Elahian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CATALYST VENTURE MANAGEMENT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Kamran Elahian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0600"/>
      </w:cols>
      <w:pgMar w:left="440" w:top="486"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1"/>
    </w:lvl>
    <w:lvl w:ilvl="1">
      <w:lvlJc w:val="left"/>
      <w:lvlText w:val="(%2)"/>
      <w:numFmt w:val="decimal"/>
      <w:start w:val="10"/>
    </w:lvl>
  </w:abstractNum>
  <w:abstractNum w:abstractNumId="4">
    <w:nsid w:val="7545E146"/>
    <w:multiLevelType w:val="hybridMultilevel"/>
    <w:lvl w:ilvl="0">
      <w:lvlJc w:val="left"/>
      <w:lvlText w:val="(%1)"/>
      <w:numFmt w:val="decimal"/>
      <w:start w:val="11"/>
    </w:lvl>
    <w:lvl w:ilvl="1">
      <w:lvlJc w:val="left"/>
      <w:lvlText w:val="%2"/>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decimal"/>
      <w:start w:val="1"/>
    </w:lvl>
    <w:lvl w:ilvl="1">
      <w:lvlJc w:val="left"/>
      <w:lvlText w:val="(%2)"/>
      <w:numFmt w:val="decimal"/>
      <w:start w:val="10"/>
    </w:lvl>
  </w:abstractNum>
  <w:abstractNum w:abstractNumId="8">
    <w:nsid w:val="4DB127F8"/>
    <w:multiLevelType w:val="hybridMultilevel"/>
    <w:lvl w:ilvl="0">
      <w:lvlJc w:val="left"/>
      <w:lvlText w:val="(%1)"/>
      <w:numFmt w:val="decimal"/>
      <w:start w:val="11"/>
    </w:lvl>
    <w:lvl w:ilvl="1">
      <w:lvlJc w:val="left"/>
      <w:lvlText w:val="%2"/>
      <w:numFmt w:val="decimal"/>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2023-07-25T15:43:38Z</dcterms:created>
  <dcterms:modified xsi:type="dcterms:W3CDTF">2023-07-25T15:43:38Z</dcterms:modified>
</cp:coreProperties>
</file>