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2093 Philadelphia Pike #1968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Claymont, DE 19703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Archimedes Tech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Partners Co.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January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0001840856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Cannon: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common stock will not trade separately unless and until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consummate 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combination. Please disclose whether you intend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list your common stock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Nasdaq following the initial business combination.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Significant Prior SPAC Experience, page 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ensure that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in this section regarding management's background is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balanced, with equally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prominent discussion of any management experience with similar transactions or</w:t>
      </w:r>
    </w:p>
    <w:p>
      <w:pPr>
        <w:ind w:left="5900" w:right="2439" w:hanging="589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initiatives that generated losses for investors or that were not completed.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Archimedes Tech SPAC Partners Co.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11,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Offering, page 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9 that if a registration statement covering the shares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 issuable upon exercise of the warrants is not effective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specified</w:t>
      </w:r>
    </w:p>
    <w:p>
      <w:pPr>
        <w:ind w:left="960"/>
        <w:spacing w:after="0" w:line="238" w:lineRule="auto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following the consummation of your initial business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warrant holders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may, until such time as there is an effective registration statement and during any period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when you shall have failed to maintain an effective registration statement, exercise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warrants on a cashless basis pursuant to the exemption provided by Section 3(a)(9)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Act, provided that such exemption is available. Please revise to disclose such</w:t>
      </w: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specified period.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42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here and on page 82 that other than the $10,000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 month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administrative fee and repayment of loans to your sponsor, no compensation or fees of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kind, including finder's, consulting fees and other similar fees, will be paid to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sponsor, initial stockholders, members of your management team or their respective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for services rendered prior to or in connection with the consummation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initial business combination. However, we also note you disclose on pages 13 and 82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pay consulting, success or finder fees to your sponsor, officers, directors, initial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or their affiliates in connection with the consummation of your initial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combination. Please revise to reconcile this discrepancy.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here and on page 50 that you will use $120,000, or $10,000 per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 for up to 12 months, of the $750,000 of net proceeds not held in the trust account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 an administrative fee. However, we note that you have 18 months from the closing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offering (or up to 21 months if a definitive agreement with respect to the proposed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combination has been executed within 18 months) to complete an initial business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We further note you disclose on page 73 that you will pay SPAC Partners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 $10,000 per month for providing you with office space and certain office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secretarial services through the acquisition of a target business. Please advise or revise.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Proposed Business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Liquidation if No Business Combination, page 62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disclose here that you intend to redeem your public subunits as soon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reasonably possible following your 21st month, but you disclose on page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320" w:hanging="312"/>
        <w:spacing w:after="0" w:line="238" w:lineRule="auto"/>
        <w:tabs>
          <w:tab w:leader="none" w:pos="3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if you are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unable to complete an initial business combination by 18 months from the closing of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(or up to 21 months if a definitive agreement with respect to a proposed business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LastNameStephen N. Cannon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has been executed within 18 months), you will, as promptly as reasonably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NameArchimedes</w:t>
      </w:r>
    </w:p>
    <w:p>
      <w:pPr>
        <w:ind w:left="740"/>
        <w:spacing w:after="0" w:line="238" w:lineRule="auto"/>
        <w:tabs>
          <w:tab w:leader="none" w:pos="3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possible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Techten</w:t>
      </w:r>
    </w:p>
    <w:p>
      <w:pPr>
        <w:ind w:left="1700"/>
        <w:spacing w:after="0"/>
        <w:tabs>
          <w:tab w:leader="none" w:pos="3880" w:val="left"/>
          <w:tab w:leader="none" w:pos="4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but not more than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SPAC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Partners</w:t>
      </w:r>
    </w:p>
    <w:p>
      <w:pPr>
        <w:ind w:left="4120"/>
        <w:spacing w:after="0" w:line="237" w:lineRule="auto"/>
        <w:tabs>
          <w:tab w:leader="none" w:pos="5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  <w:tab/>
        <w:t>daysCo.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thereafter, redeem 100%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outstanding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</w:t>
      </w:r>
    </w:p>
    <w:p>
      <w:pPr>
        <w:spacing w:after="0" w:line="238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subunits.</w:t>
      </w:r>
    </w:p>
    <w:p>
      <w:pPr>
        <w:ind w:left="106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11, 2021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Page Please</w:t>
      </w:r>
    </w:p>
    <w:p>
      <w:pPr>
        <w:ind w:left="2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advise or revise.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280" w:space="100"/>
            <w:col w:w="675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Stephen N. Cannon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ArchimedesLastNameStephen</w:t>
        <w:tab/>
        <w:t>N. Cannon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 SPAC Partners Co.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Comapany11,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NameArchimedes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Tech SPAC Partners Co.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1160" w:space="0"/>
            <w:col w:w="1480" w:space="220"/>
            <w:col w:w="727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11,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Statements, page F-1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selected December 31 as your fiscal year end, but you present audited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January 4, 2021 and for the period from September 15, 2020 (inception)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 January 4, 2021. Tell us how you considered presenting audited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and for the period through December 31, 2020. Refer to Rule 8-02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Shannon Buskirk, Staff Accountant, at (202) 551-3717 or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Ethan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Horowitz, Accounting Branch Chief, at (202) 551-3311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Karina Dorin,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551-3763 or Laura Nicholson, Special Counsel,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551-3584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Giovanni Caruso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"/>
      <w:numFmt w:val="decimal"/>
      <w:start w:val="15"/>
    </w:lvl>
  </w:abstractNum>
  <w:abstractNum w:abstractNumId="3">
    <w:nsid w:val="625558EC"/>
    <w:multiLevelType w:val="hybridMultilevel"/>
    <w:lvl w:ilvl="0">
      <w:lvlJc w:val="left"/>
      <w:lvlText w:val="%1."/>
      <w:numFmt w:val="decimal"/>
      <w:start w:val="7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2021-08-15T20:50:54Z</dcterms:created>
  <dcterms:modified xsi:type="dcterms:W3CDTF">2021-08-15T20:50:54Z</dcterms:modified>
</cp:coreProperties>
</file>