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880" w:right="940" w:hanging="2932"/>
        <w:spacing w:after="0" w:line="476" w:lineRule="auto"/>
        <w:tabs>
          <w:tab w:leader="none" w:pos="115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spacing w:after="0"/>
        <w:tabs>
          <w:tab w:leader="none" w:pos="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001-40193</w:t>
      </w:r>
    </w:p>
    <w:p>
      <w:pPr>
        <w:spacing w:after="0" w:line="13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ARCHIMEDES TECH SPAC PARTNERS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9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1"/>
              </w:rPr>
              <w:t>Delaware</w:t>
            </w:r>
          </w:p>
        </w:tc>
        <w:tc>
          <w:tcPr>
            <w:tcW w:w="5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2"/>
          </w:tcPr>
          <w:p>
            <w:pPr>
              <w:jc w:val="center"/>
              <w:ind w:right="1970"/>
              <w:spacing w:after="0"/>
              <w:rPr>
                <w:sz w:val="20"/>
                <w:szCs w:val="20"/>
                <w:color w:val="auto"/>
              </w:rPr>
            </w:pPr>
            <w:r>
              <w:rPr>
                <w:rFonts w:ascii="Arial" w:cs="Arial" w:eastAsia="Arial" w:hAnsi="Arial"/>
                <w:sz w:val="18"/>
                <w:szCs w:val="18"/>
                <w:b w:val="1"/>
                <w:bCs w:val="1"/>
                <w:color w:val="auto"/>
                <w:w w:val="89"/>
              </w:rPr>
              <w:t>86-1286799</w:t>
            </w:r>
          </w:p>
        </w:tc>
      </w:tr>
      <w:tr>
        <w:trPr>
          <w:trHeight w:val="202"/>
        </w:trPr>
        <w:tc>
          <w:tcPr>
            <w:tcW w:w="4940" w:type="dxa"/>
            <w:vAlign w:val="bottom"/>
            <w:gridSpan w:val="3"/>
          </w:tcPr>
          <w:p>
            <w:pPr>
              <w:jc w:val="center"/>
              <w:ind w:left="490"/>
              <w:spacing w:after="0" w:line="201"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gridSpan w:val="2"/>
          </w:tcPr>
          <w:p>
            <w:pPr>
              <w:jc w:val="center"/>
              <w:ind w:right="19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94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2"/>
          </w:tcPr>
          <w:p>
            <w:pPr>
              <w:jc w:val="center"/>
              <w:ind w:right="2010"/>
              <w:spacing w:after="0"/>
              <w:rPr>
                <w:sz w:val="20"/>
                <w:szCs w:val="20"/>
                <w:color w:val="auto"/>
              </w:rPr>
            </w:pPr>
            <w:r>
              <w:rPr>
                <w:rFonts w:ascii="Arial" w:cs="Arial" w:eastAsia="Arial" w:hAnsi="Arial"/>
                <w:sz w:val="18"/>
                <w:szCs w:val="18"/>
                <w:color w:val="auto"/>
                <w:w w:val="95"/>
              </w:rPr>
              <w:t>Identification No.)</w:t>
            </w:r>
          </w:p>
        </w:tc>
      </w:tr>
      <w:tr>
        <w:trPr>
          <w:trHeight w:val="344"/>
        </w:trPr>
        <w:tc>
          <w:tcPr>
            <w:tcW w:w="7800" w:type="dxa"/>
            <w:vAlign w:val="bottom"/>
            <w:tcBorders>
              <w:bottom w:val="single" w:sz="8" w:color="auto"/>
            </w:tcBorders>
            <w:gridSpan w:val="7"/>
          </w:tcPr>
          <w:p>
            <w:pPr>
              <w:jc w:val="center"/>
              <w:ind w:left="3370"/>
              <w:spacing w:after="0"/>
              <w:rPr>
                <w:sz w:val="20"/>
                <w:szCs w:val="20"/>
                <w:color w:val="auto"/>
              </w:rPr>
            </w:pPr>
            <w:r>
              <w:rPr>
                <w:rFonts w:ascii="Arial" w:cs="Arial" w:eastAsia="Arial" w:hAnsi="Arial"/>
                <w:sz w:val="18"/>
                <w:szCs w:val="18"/>
                <w:b w:val="1"/>
                <w:bCs w:val="1"/>
                <w:color w:val="auto"/>
                <w:w w:val="91"/>
              </w:rPr>
              <w:t>2093 Philadelphia Pike #1968, Claymont, DE 19703</w:t>
            </w: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30"/>
        </w:trPr>
        <w:tc>
          <w:tcPr>
            <w:tcW w:w="7800" w:type="dxa"/>
            <w:vAlign w:val="bottom"/>
            <w:gridSpan w:val="7"/>
          </w:tcPr>
          <w:p>
            <w:pPr>
              <w:jc w:val="center"/>
              <w:ind w:left="335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30"/>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center"/>
              <w:ind w:right="1390"/>
              <w:spacing w:after="0"/>
              <w:rPr>
                <w:sz w:val="20"/>
                <w:szCs w:val="20"/>
                <w:color w:val="auto"/>
              </w:rPr>
            </w:pPr>
            <w:r>
              <w:rPr>
                <w:rFonts w:ascii="Arial" w:cs="Arial" w:eastAsia="Arial" w:hAnsi="Arial"/>
                <w:sz w:val="18"/>
                <w:szCs w:val="18"/>
                <w:b w:val="1"/>
                <w:bCs w:val="1"/>
                <w:color w:val="auto"/>
                <w:w w:val="90"/>
              </w:rPr>
              <w:t>(650) 560-4753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30"/>
        </w:trPr>
        <w:tc>
          <w:tcPr>
            <w:tcW w:w="7800" w:type="dxa"/>
            <w:vAlign w:val="bottom"/>
            <w:gridSpan w:val="7"/>
          </w:tcPr>
          <w:p>
            <w:pPr>
              <w:jc w:val="center"/>
              <w:ind w:left="3350"/>
              <w:spacing w:after="0"/>
              <w:rPr>
                <w:sz w:val="20"/>
                <w:szCs w:val="20"/>
                <w:color w:val="auto"/>
              </w:rPr>
            </w:pPr>
            <w:r>
              <w:rPr>
                <w:rFonts w:ascii="Arial" w:cs="Arial" w:eastAsia="Arial" w:hAnsi="Arial"/>
                <w:sz w:val="18"/>
                <w:szCs w:val="18"/>
                <w:color w:val="auto"/>
                <w:w w:val="89"/>
              </w:rPr>
              <w:t>(Registrant’s telephone number, including area code)</w:t>
            </w:r>
          </w:p>
        </w:tc>
        <w:tc>
          <w:tcPr>
            <w:tcW w:w="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30"/>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b w:val="1"/>
                <w:bCs w:val="1"/>
                <w:color w:val="auto"/>
              </w:rPr>
              <w:t>N/A</w:t>
            </w: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30"/>
        </w:trPr>
        <w:tc>
          <w:tcPr>
            <w:tcW w:w="11240" w:type="dxa"/>
            <w:vAlign w:val="bottom"/>
            <w:gridSpan w:val="9"/>
          </w:tcPr>
          <w:p>
            <w:pPr>
              <w:jc w:val="center"/>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323"/>
        </w:trPr>
        <w:tc>
          <w:tcPr>
            <w:tcW w:w="4940" w:type="dxa"/>
            <w:vAlign w:val="bottom"/>
            <w:gridSpan w:val="3"/>
          </w:tcPr>
          <w:p>
            <w:pPr>
              <w:ind w:left="66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319"/>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9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6"/>
              </w:rPr>
              <w:t>Title of each class</w:t>
            </w:r>
          </w:p>
        </w:tc>
        <w:tc>
          <w:tcPr>
            <w:tcW w:w="28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9"/>
              </w:rPr>
              <w:t>Trading Symbol(s)</w:t>
            </w:r>
          </w:p>
        </w:tc>
        <w:tc>
          <w:tcPr>
            <w:tcW w:w="8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202"/>
        </w:trPr>
        <w:tc>
          <w:tcPr>
            <w:tcW w:w="42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subunit and one-quarter of</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ind w:right="1250"/>
              <w:spacing w:after="0" w:line="201" w:lineRule="exact"/>
              <w:rPr>
                <w:sz w:val="20"/>
                <w:szCs w:val="20"/>
                <w:color w:val="auto"/>
              </w:rPr>
            </w:pPr>
            <w:r>
              <w:rPr>
                <w:rFonts w:ascii="Arial" w:cs="Arial" w:eastAsia="Arial" w:hAnsi="Arial"/>
                <w:sz w:val="18"/>
                <w:szCs w:val="18"/>
                <w:color w:val="auto"/>
                <w:w w:val="89"/>
              </w:rPr>
              <w:t>ATSPU</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94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0"/>
              </w:rPr>
              <w:t>one warrant</w:t>
            </w: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02"/>
        </w:trPr>
        <w:tc>
          <w:tcPr>
            <w:tcW w:w="4940" w:type="dxa"/>
            <w:vAlign w:val="bottom"/>
            <w:gridSpan w:val="3"/>
            <w:shd w:val="clear" w:color="auto" w:fill="CCEEFF"/>
          </w:tcPr>
          <w:p>
            <w:pPr>
              <w:jc w:val="center"/>
              <w:ind w:right="640"/>
              <w:spacing w:after="0" w:line="201" w:lineRule="exact"/>
              <w:rPr>
                <w:sz w:val="20"/>
                <w:szCs w:val="20"/>
                <w:color w:val="auto"/>
              </w:rPr>
            </w:pPr>
            <w:r>
              <w:rPr>
                <w:rFonts w:ascii="Arial" w:cs="Arial" w:eastAsia="Arial" w:hAnsi="Arial"/>
                <w:sz w:val="18"/>
                <w:szCs w:val="18"/>
                <w:color w:val="auto"/>
                <w:w w:val="90"/>
              </w:rPr>
              <w:t>Subunits included as part of the units, each consisting of</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360"/>
              <w:spacing w:after="0" w:line="201" w:lineRule="exact"/>
              <w:rPr>
                <w:sz w:val="20"/>
                <w:szCs w:val="20"/>
                <w:color w:val="auto"/>
              </w:rPr>
            </w:pPr>
            <w:r>
              <w:rPr>
                <w:rFonts w:ascii="Arial" w:cs="Arial" w:eastAsia="Arial" w:hAnsi="Arial"/>
                <w:sz w:val="18"/>
                <w:szCs w:val="18"/>
                <w:color w:val="auto"/>
                <w:w w:val="92"/>
              </w:rPr>
              <w:t>ATSPT</w:t>
            </w:r>
          </w:p>
        </w:tc>
        <w:tc>
          <w:tcPr>
            <w:tcW w:w="80" w:type="dxa"/>
            <w:vAlign w:val="bottom"/>
            <w:shd w:val="clear" w:color="auto" w:fill="CCEEFF"/>
          </w:tcPr>
          <w:p>
            <w:pPr>
              <w:spacing w:after="0"/>
              <w:rPr>
                <w:sz w:val="17"/>
                <w:szCs w:val="17"/>
                <w:color w:val="auto"/>
              </w:rPr>
            </w:pPr>
          </w:p>
        </w:tc>
        <w:tc>
          <w:tcPr>
            <w:tcW w:w="3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94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89"/>
              </w:rPr>
              <w:t>one share of common stock, $0.0001 par value, and one-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230"/>
        </w:trPr>
        <w:tc>
          <w:tcPr>
            <w:tcW w:w="494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0"/>
              </w:rPr>
              <w:t>quarter of one warrant</w:t>
            </w: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4940" w:type="dxa"/>
            <w:vAlign w:val="bottom"/>
            <w:gridSpan w:val="3"/>
            <w:shd w:val="clear" w:color="auto" w:fill="CCECFF"/>
          </w:tcPr>
          <w:p>
            <w:pPr>
              <w:jc w:val="center"/>
              <w:ind w:right="640"/>
              <w:spacing w:after="0"/>
              <w:rPr>
                <w:sz w:val="20"/>
                <w:szCs w:val="20"/>
                <w:color w:val="auto"/>
              </w:rPr>
            </w:pPr>
            <w:r>
              <w:rPr>
                <w:rFonts w:ascii="Arial" w:cs="Arial" w:eastAsia="Arial" w:hAnsi="Arial"/>
                <w:sz w:val="18"/>
                <w:szCs w:val="18"/>
                <w:color w:val="auto"/>
                <w:w w:val="89"/>
              </w:rPr>
              <w:t>Common stock, par value $0.0001 per share</w:t>
            </w:r>
          </w:p>
        </w:tc>
        <w:tc>
          <w:tcPr>
            <w:tcW w:w="5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60" w:type="dxa"/>
            <w:vAlign w:val="bottom"/>
            <w:gridSpan w:val="2"/>
            <w:shd w:val="clear" w:color="auto" w:fill="CCECFF"/>
          </w:tcPr>
          <w:p>
            <w:pPr>
              <w:jc w:val="center"/>
              <w:ind w:right="1360"/>
              <w:spacing w:after="0"/>
              <w:rPr>
                <w:sz w:val="20"/>
                <w:szCs w:val="20"/>
                <w:color w:val="auto"/>
              </w:rPr>
            </w:pPr>
            <w:r>
              <w:rPr>
                <w:rFonts w:ascii="Arial" w:cs="Arial" w:eastAsia="Arial" w:hAnsi="Arial"/>
                <w:sz w:val="18"/>
                <w:szCs w:val="18"/>
                <w:color w:val="auto"/>
                <w:w w:val="89"/>
              </w:rPr>
              <w:t>ATSP</w:t>
            </w:r>
          </w:p>
        </w:tc>
        <w:tc>
          <w:tcPr>
            <w:tcW w:w="80" w:type="dxa"/>
            <w:vAlign w:val="bottom"/>
            <w:shd w:val="clear" w:color="auto" w:fill="CCECFF"/>
          </w:tcPr>
          <w:p>
            <w:pPr>
              <w:spacing w:after="0"/>
              <w:rPr>
                <w:sz w:val="18"/>
                <w:szCs w:val="18"/>
                <w:color w:val="auto"/>
              </w:rPr>
            </w:pPr>
          </w:p>
        </w:tc>
        <w:tc>
          <w:tcPr>
            <w:tcW w:w="33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494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87"/>
              </w:rPr>
              <w:t>Redeemable warrants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360"/>
              <w:spacing w:after="0"/>
              <w:rPr>
                <w:sz w:val="20"/>
                <w:szCs w:val="20"/>
                <w:color w:val="auto"/>
              </w:rPr>
            </w:pPr>
            <w:r>
              <w:rPr>
                <w:rFonts w:ascii="Arial" w:cs="Arial" w:eastAsia="Arial" w:hAnsi="Arial"/>
                <w:sz w:val="18"/>
                <w:szCs w:val="18"/>
                <w:color w:val="auto"/>
                <w:w w:val="90"/>
              </w:rPr>
              <w:t>ATSPW</w:t>
            </w:r>
          </w:p>
        </w:tc>
        <w:tc>
          <w:tcPr>
            <w:tcW w:w="8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07"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56"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138" w:lineRule="exact"/>
        <w:rPr>
          <w:sz w:val="24"/>
          <w:szCs w:val="24"/>
          <w:color w:val="auto"/>
        </w:rPr>
      </w:pPr>
    </w:p>
    <w:p>
      <w:pPr>
        <w:sectPr>
          <w:pgSz w:w="11900" w:h="16838" w:orient="portrait"/>
          <w:cols w:equalWidth="0" w:num="2">
            <w:col w:w="4360" w:space="720"/>
            <w:col w:w="6160"/>
          </w:cols>
          <w:pgMar w:left="320" w:top="513" w:right="339" w:bottom="1440" w:gutter="0" w:footer="0" w:header="0"/>
          <w:type w:val="continuous"/>
        </w:sect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As of August 27, 2021, there were 17,461,000 shares of the Company’s common stock, including shares of common stock underlying the units and subunits,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180" w:type="dxa"/>
            <w:vAlign w:val="bottom"/>
            <w:gridSpan w:val="20"/>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June 30, 2021 (unaudited) and December 31, 2020</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Operations for the three and six months ended June 30, 2021</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40" w:type="dxa"/>
            <w:vAlign w:val="bottom"/>
            <w:gridSpan w:val="18"/>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Statements of Changes in Stockholders’ Equity for the three and six months ended June 30, 2021</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 of Cash Flows for the six months ended June 30, 2021</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7260" w:type="dxa"/>
            <w:vAlign w:val="bottom"/>
            <w:tcBorders>
              <w:bottom w:val="single" w:sz="8" w:color="CCEEFF"/>
            </w:tcBorders>
            <w:gridSpan w:val="10"/>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110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6"/>
        </w:trPr>
        <w:tc>
          <w:tcPr>
            <w:tcW w:w="1018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040" w:type="dxa"/>
            <w:vAlign w:val="bottom"/>
            <w:gridSpan w:val="18"/>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SIGNATURES</w:t>
              </w:r>
            </w:hyperlink>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ARCHIMEDES TECH SPAC PARTNERS CO.</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803,506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147,007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133,003,878</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133,954,391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offering costs and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196,416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4"/>
              </w:rPr>
              <w:t>Common stock subject to possible redemption, 13,300,000 shares and 0 shares at redemption value as of June 30,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133,003,878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Common stock, $0.0001 par value; 100,000,000 shares authorized; 4,161,000 shares and 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4"/>
              </w:rPr>
              <w:t>outstanding (excluding 13,300,000 shares and 0 shares subject to possible redemption) as of June 30, 2021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(155,289)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133,954,391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150,901</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232,342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(150,901)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(232,342)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interest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change in fair value of warrants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77,008</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73,891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(70,540</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(154,573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 subject to redemption</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13,300,000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7,833,702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net income per share attributable to common stock subject to redemption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16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4,161,000</w:t>
            </w:r>
          </w:p>
        </w:tc>
        <w:tc>
          <w:tcPr>
            <w:tcW w:w="100" w:type="dxa"/>
            <w:vAlign w:val="bottom"/>
          </w:tcPr>
          <w:p>
            <w:pPr>
              <w:spacing w:after="0"/>
              <w:rPr>
                <w:sz w:val="24"/>
                <w:szCs w:val="24"/>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3,753,829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attributable to common stockholders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120" w:type="dxa"/>
            <w:vAlign w:val="bottom"/>
            <w:gridSpan w:val="6"/>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19"/>
                <w:szCs w:val="19"/>
                <w:color w:val="auto"/>
              </w:rPr>
            </w:pPr>
          </w:p>
        </w:tc>
        <w:tc>
          <w:tcPr>
            <w:tcW w:w="212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9"/>
                <w:szCs w:val="19"/>
                <w:color w:val="auto"/>
              </w:rPr>
            </w:pPr>
          </w:p>
        </w:tc>
        <w:tc>
          <w:tcPr>
            <w:tcW w:w="10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6"/>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Arial" w:cs="Arial" w:eastAsia="Arial" w:hAnsi="Arial"/>
                <w:sz w:val="18"/>
                <w:szCs w:val="18"/>
                <w:color w:val="auto"/>
              </w:rPr>
              <w:t>Sale of 12,000,000 Units through IPO</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12,000,000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1,200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w w:val="93"/>
              </w:rPr>
              <w:t>119,998,800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w w:val="95"/>
              </w:rPr>
              <w:t>120,000,000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 of 1,300,000 Units through over-allotment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12,999,870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13,000,000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Sale of 416,000 Private Units in private placement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416,000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4,159,958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4,160,000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Common stock issued to initial stockholders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3,450,000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Underwriting fee</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(2,660,000)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(2,660,000)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(428,847)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(428,847)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(270,307)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(270,307)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2,886,166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2,886,166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(84,033)</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(84,033)</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measurement of common stock subject to possible</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(13,300,000)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(124,412,583)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(124,413,913)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9"/>
              </w:rPr>
              <w:t>Subsequent measurement of common stock subject to redemption</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(11,472,253)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9"/>
              </w:rPr>
              <w:t>(11,472,253)</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Subsequent measurement of common stock subject to redemption</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trust account)</w:t>
            </w:r>
          </w:p>
        </w:tc>
        <w:tc>
          <w:tcPr>
            <w:tcW w:w="1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4,161,000</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828,405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 xml:space="preserve">(84,749 </w:t>
            </w: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744,072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(70,540)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(70,540)</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Subsequent measurement of common stock subject to redemption</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(3,353)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trust account)</w:t>
            </w:r>
          </w:p>
        </w:tc>
        <w:tc>
          <w:tcPr>
            <w:tcW w:w="1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4,161,000</w:t>
            </w:r>
          </w:p>
        </w:tc>
        <w:tc>
          <w:tcPr>
            <w:tcW w:w="3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825,052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1"/>
              <w:spacing w:after="0" w:line="216" w:lineRule="exact"/>
              <w:rPr>
                <w:sz w:val="20"/>
                <w:szCs w:val="20"/>
                <w:color w:val="auto"/>
              </w:rPr>
            </w:pPr>
            <w:r>
              <w:rPr>
                <w:rFonts w:ascii="Arial" w:cs="Arial" w:eastAsia="Arial" w:hAnsi="Arial"/>
                <w:sz w:val="14"/>
                <w:szCs w:val="14"/>
                <w:b w:val="1"/>
                <w:bCs w:val="1"/>
                <w:color w:val="auto"/>
              </w:rPr>
              <w:t xml:space="preserve">(155,289 </w:t>
            </w:r>
            <w:r>
              <w:rPr>
                <w:rFonts w:ascii="Arial" w:cs="Arial" w:eastAsia="Arial" w:hAnsi="Arial"/>
                <w:sz w:val="25"/>
                <w:szCs w:val="25"/>
                <w:color w:val="auto"/>
                <w:vertAlign w:val="sub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670,179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STATEMENT OF CASH FLOWS</w:t>
      </w:r>
    </w:p>
    <w:p>
      <w:pPr>
        <w:spacing w:after="0" w:line="218"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9900"/>
        <w:spacing w:after="0"/>
        <w:rPr>
          <w:sz w:val="20"/>
          <w:szCs w:val="20"/>
          <w:color w:val="auto"/>
        </w:rPr>
      </w:pPr>
      <w:r>
        <w:rPr>
          <w:rFonts w:ascii="Arial" w:cs="Arial" w:eastAsia="Arial" w:hAnsi="Arial"/>
          <w:sz w:val="16"/>
          <w:szCs w:val="16"/>
          <w:b w:val="1"/>
          <w:bCs w:val="1"/>
          <w:color w:val="auto"/>
        </w:rPr>
        <w:t>Six Months</w:t>
      </w:r>
    </w:p>
    <w:p>
      <w:pPr>
        <w:spacing w:after="0" w:line="32"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340" w:right="3940" w:hanging="161"/>
        <w:spacing w:after="0" w:line="250" w:lineRule="auto"/>
        <w:rPr>
          <w:sz w:val="20"/>
          <w:szCs w:val="20"/>
          <w:color w:val="auto"/>
        </w:rPr>
      </w:pPr>
      <w:r>
        <w:rPr>
          <w:rFonts w:ascii="Arial" w:cs="Arial" w:eastAsia="Arial" w:hAnsi="Arial"/>
          <w:sz w:val="18"/>
          <w:szCs w:val="18"/>
          <w:color w:val="auto"/>
        </w:rPr>
        <w:t>Adjustments to reconcile net loss to net cash used in operating activities Unrealized gain on 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current assets and current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Accrued offering costs and expenses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Due to related party</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held in Trust Account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IPO and over-allotment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Payment of underwriting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issuance of promissory note to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to promissory note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issuance of common stock to initial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deferred offering costs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beginning of the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Initial value of common stock subject to possible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460" w:hanging="455"/>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(154,573)</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(73,891)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(3,878)</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(147,007)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73,918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9,284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(296,147)</w:t>
      </w:r>
    </w:p>
    <w:p>
      <w:pPr>
        <w:spacing w:after="0" w:line="200" w:lineRule="exact"/>
        <w:rPr>
          <w:sz w:val="20"/>
          <w:szCs w:val="20"/>
          <w:color w:val="auto"/>
        </w:rPr>
      </w:pPr>
    </w:p>
    <w:p>
      <w:pPr>
        <w:spacing w:after="0" w:line="28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(133,000,000)</w:t>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(133,000,000)</w:t>
      </w:r>
    </w:p>
    <w:p>
      <w:pPr>
        <w:spacing w:after="0" w:line="200" w:lineRule="exact"/>
        <w:rPr>
          <w:sz w:val="20"/>
          <w:szCs w:val="20"/>
          <w:color w:val="auto"/>
        </w:rPr>
      </w:pPr>
    </w:p>
    <w:p>
      <w:pPr>
        <w:spacing w:after="0" w:line="2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133,000,000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(2,660,000)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4,160,000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125,000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(125,000)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(425,347)</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134,099,653</w:t>
      </w:r>
    </w:p>
    <w:p>
      <w:pPr>
        <w:spacing w:after="0" w:line="26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803,506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62" w:lineRule="exact"/>
        <w:rPr>
          <w:sz w:val="20"/>
          <w:szCs w:val="20"/>
          <w:color w:val="auto"/>
        </w:rPr>
      </w:pPr>
    </w:p>
    <w:p>
      <w:pPr>
        <w:ind w:left="520" w:hanging="51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803,506</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20" w:hanging="215"/>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124,413,913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029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10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200" w:type="dxa"/>
            <w:vAlign w:val="bottom"/>
            <w:tcBorders>
              <w:bottom w:val="single" w:sz="8" w:color="auto"/>
            </w:tcBorders>
            <w:shd w:val="clear" w:color="auto" w:fill="000000"/>
          </w:tcPr>
          <w:p>
            <w:pPr>
              <w:spacing w:after="0"/>
              <w:rPr>
                <w:sz w:val="2"/>
                <w:szCs w:val="2"/>
                <w:color w:val="auto"/>
              </w:rPr>
            </w:pPr>
          </w:p>
        </w:tc>
        <w:tc>
          <w:tcPr>
            <w:tcW w:w="920" w:type="dxa"/>
            <w:vAlign w:val="bottom"/>
            <w:tcBorders>
              <w:bottom w:val="single" w:sz="8" w:color="auto"/>
            </w:tcBorders>
            <w:shd w:val="clear" w:color="auto" w:fill="000000"/>
          </w:tcPr>
          <w:p>
            <w:pPr>
              <w:spacing w:after="0"/>
              <w:rPr>
                <w:sz w:val="2"/>
                <w:szCs w:val="2"/>
                <w:color w:val="auto"/>
              </w:rPr>
            </w:pPr>
          </w:p>
        </w:tc>
        <w:tc>
          <w:tcPr>
            <w:tcW w:w="1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(2,886,166</w:t>
            </w: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11,472,253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Subsequent measurement of common stock subject to redemption (interest earned on trust account)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color w:val="auto"/>
              </w:rPr>
              <w:t>Forfeiture of founder shares</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Initial classification of warrant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2021, the Company had not commenced any revenue-generating operations. All activity for the period from September 15, 2020 (inception) through June 30,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the Company’s “initial stockholders” refer to the Company’s stockholders prior to the IPO, excluding the holders of the Representative Shares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IPO was declared effective on March 10, 2021 (the “Effective Date”). On March 15, 2021, the Company consummated the IPO of 12,000,000 units, (the “Public Units”), at $10.00 per Public Unit, generating gross proceeds of $120,000,000, which is discussed in Note 4.</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$2,825,347 consisting of $2,400,000 of underwriting discount and $425,347 of other offering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(the “Over-allotment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the Company had cash outside the Trust Account of $803,506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June 30, 2021, none of the amount on deposit in the Trust Account was available to be withdrawn as described above.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IPO (see Note 6). Subsequent to the consummation of the IPO and Private Placement, the Company’s liquidity needs have been satisfied through the net proceeds from the IPO and Private Placement held outside of the Trust Account.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the issuance date of these financial statements.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Revision of Prior Period Financial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recent guidance to Special Purpose Acquisition Companies by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and Form 10-Q filing on July 27, 2021 containing financial statements as of March 31, 2021.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not material to any prior 8-K and 10-Q reports, but that correcting the cumulative impact of such errors would be significant to our statement of operations for the three months ended June 30, 2021. Accordingly, the Company has corrected such immaterial errors by adjusting its prior financial statements and classified all Public Subunits as temporary equity. The Company will also correct previously reported financial information for such immaterial errors in future filings, as applicable. The following summarizes the effect of the revision on each financial statement line item.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Revision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revision on the audited balance sheet as of March 15, 2021 and unaudited interim condensed financial statements as of and for the three months ended March 31, 2021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As Previously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Reported</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Adjustments</w:t>
            </w: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As Revised</w:t>
            </w: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Balance Sheet at March 15, 2021</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116,095,120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3,904,880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120,000,000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5,004,068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(4,158,254)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845,814</w:t>
            </w: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March 31, 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128,744,590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4,255,935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133,000,525</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5,084,297</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(4,255,892)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828,405</w:t>
            </w:r>
          </w:p>
        </w:tc>
      </w:tr>
      <w:tr>
        <w:trPr>
          <w:trHeight w:val="216"/>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Statement of Operations for the three months ended March 31, 2021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weighted average shares outstanding, common stock subject to redemption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2,059,408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247,259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2,306,667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3,856,614</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(514,481)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3,342,133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 common stock subject to redemption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Basic and diluted net income (loss) per share, common stock not subject to redemption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r>
      <w:tr>
        <w:trPr>
          <w:trHeight w:val="216"/>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Statement of Cash Flows for the three months ended March 31, 2021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115,841,700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8,572,213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124,413,913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12,902,890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(12,902,365)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(2,886,166)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(2,886,166)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11,472,253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11,472,253</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w w:val="91"/>
              </w:rPr>
              <w:t>Subsequent measurement of common stock subject to redemption (interest earned on trust account)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period for the three and six months ended June 30, 2021 are not necessarily indicative of the results that may be expected through December 31, 2021.</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Form 8-K and the final prospectus filed by the Company with the SEC on March 19, 2021 and March 12, 2021,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254" w:gutter="0" w:footer="0" w:header="0"/>
        </w:sectPr>
      </w:pPr>
    </w:p>
    <w:bookmarkStart w:id="10" w:name="page11"/>
    <w:bookmarkEnd w:id="10"/>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unaudited condensed financial statement in conformity with US GAAP requires management to make estimates and assumptions that affect the reported amounts of assets and liabilities and disclosure of contingent assets and liabilities at the date of the unaudited condensed financial statement.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has $803,506 of cash held outside of the Trust Account as of June 30, 2021 and no cash held outside of the Trust Account as of December 31, 2020. The Company did not have any cash equivalents as of June 30, 2021 and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2021, the Company had $133,003,878 in the Trust Account which may be utilized for Business Combination. As of June 30, 2021, the assets held in the Trust Account were invested in Treasury Securities consisting of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June 30, 2021 due to the short maturities of such instruments.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warrant liability is based on a valuation model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is classified as Level 3. See Note 7 for additional information on assets and liabilities measured at fair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June 30, 2021 and December 31, 2020,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 for the public shares and 24% for the founder non-redeemable shares for the three months ended June 30, 2021, and a ratio of 68% for the public shares and 32% for the founder non-redeemable shares for the six months ended June 30, 2021, reflective of the respective participation rights.</w:t>
      </w:r>
    </w:p>
    <w:p>
      <w:pPr>
        <w:sectPr>
          <w:pgSz w:w="11900" w:h="16838" w:orient="portrait"/>
          <w:cols w:equalWidth="0" w:num="1">
            <w:col w:w="11240"/>
          </w:cols>
          <w:pgMar w:left="320" w:top="877" w:right="3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earnings per share presented in the condensed statements of operations is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Net loss including accretion of temporary equity to redemption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For the three</w:t>
            </w:r>
          </w:p>
        </w:tc>
        <w:tc>
          <w:tcPr>
            <w:tcW w:w="120" w:type="dxa"/>
            <w:vAlign w:val="bottom"/>
          </w:tcPr>
          <w:p>
            <w:pPr>
              <w:spacing w:after="0"/>
              <w:rPr>
                <w:sz w:val="18"/>
                <w:szCs w:val="18"/>
                <w:color w:val="auto"/>
              </w:rPr>
            </w:pPr>
          </w:p>
        </w:tc>
        <w:tc>
          <w:tcPr>
            <w:tcW w:w="106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0"/>
              </w:rPr>
              <w:t>For the six</w:t>
            </w:r>
          </w:p>
        </w:tc>
      </w:tr>
      <w:tr>
        <w:trPr>
          <w:trHeight w:val="230"/>
        </w:trPr>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7"/>
              </w:rPr>
              <w:t>months ended</w:t>
            </w: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months ended</w:t>
            </w:r>
          </w:p>
        </w:tc>
      </w:tr>
      <w:tr>
        <w:trPr>
          <w:trHeight w:val="241"/>
        </w:trPr>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June 30, 2021</w:t>
            </w:r>
          </w:p>
        </w:tc>
        <w:tc>
          <w:tcPr>
            <w:tcW w:w="118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June 30, 2021</w:t>
            </w:r>
          </w:p>
        </w:tc>
      </w:tr>
      <w:tr>
        <w:trPr>
          <w:trHeight w:val="202"/>
        </w:trPr>
        <w:tc>
          <w:tcPr>
            <w:tcW w:w="320" w:type="dxa"/>
            <w:vAlign w:val="bottom"/>
            <w:tcBorders>
              <w:top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(70,540)</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(154,573)</w:t>
            </w:r>
          </w:p>
        </w:tc>
        <w:tc>
          <w:tcPr>
            <w:tcW w:w="60" w:type="dxa"/>
            <w:vAlign w:val="bottom"/>
            <w:gridSpan w:val="2"/>
          </w:tcPr>
          <w:p>
            <w:pPr>
              <w:spacing w:after="0"/>
              <w:rPr>
                <w:sz w:val="17"/>
                <w:szCs w:val="17"/>
                <w:color w:val="auto"/>
              </w:rPr>
            </w:pPr>
          </w:p>
        </w:tc>
      </w:tr>
      <w:tr>
        <w:trPr>
          <w:trHeight w:val="264"/>
        </w:trPr>
        <w:tc>
          <w:tcPr>
            <w:tcW w:w="32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(11,476,131)</w:t>
            </w:r>
          </w:p>
        </w:tc>
      </w:tr>
      <w:tr>
        <w:trPr>
          <w:trHeight w:val="223"/>
        </w:trPr>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(73,893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(11,630,704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For the three months ended</w:t>
            </w:r>
          </w:p>
        </w:tc>
        <w:tc>
          <w:tcPr>
            <w:tcW w:w="160" w:type="dxa"/>
            <w:vAlign w:val="bottom"/>
          </w:tcPr>
          <w:p>
            <w:pPr>
              <w:spacing w:after="0"/>
              <w:rPr>
                <w:sz w:val="19"/>
                <w:szCs w:val="19"/>
                <w:color w:val="auto"/>
              </w:rPr>
            </w:pPr>
          </w:p>
        </w:tc>
        <w:tc>
          <w:tcPr>
            <w:tcW w:w="2380" w:type="dxa"/>
            <w:vAlign w:val="bottom"/>
            <w:gridSpan w:val="5"/>
          </w:tcPr>
          <w:p>
            <w:pPr>
              <w:jc w:val="right"/>
              <w:ind w:right="281"/>
              <w:spacing w:after="0"/>
              <w:rPr>
                <w:sz w:val="20"/>
                <w:szCs w:val="20"/>
                <w:color w:val="auto"/>
              </w:rPr>
            </w:pPr>
            <w:r>
              <w:rPr>
                <w:rFonts w:ascii="Arial" w:cs="Arial" w:eastAsia="Arial" w:hAnsi="Arial"/>
                <w:sz w:val="18"/>
                <w:szCs w:val="18"/>
                <w:b w:val="1"/>
                <w:bCs w:val="1"/>
                <w:color w:val="auto"/>
                <w:w w:val="91"/>
              </w:rPr>
              <w:t>For the 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861"/>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0"/>
                <w:szCs w:val="20"/>
                <w:color w:val="auto"/>
              </w:rPr>
            </w:pPr>
          </w:p>
        </w:tc>
        <w:tc>
          <w:tcPr>
            <w:tcW w:w="238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88"/>
              </w:rPr>
              <w:t>Redeemable</w:t>
            </w:r>
          </w:p>
        </w:tc>
        <w:tc>
          <w:tcPr>
            <w:tcW w:w="100" w:type="dxa"/>
            <w:vAlign w:val="bottom"/>
          </w:tcPr>
          <w:p>
            <w:pPr>
              <w:spacing w:after="0"/>
              <w:rPr>
                <w:sz w:val="20"/>
                <w:szCs w:val="20"/>
                <w:color w:val="auto"/>
              </w:rPr>
            </w:pPr>
          </w:p>
        </w:tc>
        <w:tc>
          <w:tcPr>
            <w:tcW w:w="124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87"/>
              </w:rPr>
              <w:t>redeemable</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Redeemable</w:t>
            </w: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87"/>
              </w:rPr>
              <w:t>redeemable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Allocation of net loss including accretion of temporary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(17,609)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(7,862,889)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(3,767,815)</w:t>
            </w: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Accretion of temporary equity to redemption value</w:t>
            </w:r>
          </w:p>
        </w:tc>
        <w:tc>
          <w:tcPr>
            <w:tcW w:w="8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11,476,131</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Allocation of net income (loss)</w:t>
            </w: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(52,931</w:t>
            </w:r>
          </w:p>
        </w:tc>
        <w:tc>
          <w:tcPr>
            <w:tcW w:w="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(17,609</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3,613,242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(3,767,815</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13,300,000</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4,161,000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7,833,702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3,753,829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2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June 30,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$2,825,347 have been charged to stockholders’ equity (consisting of $2,400,000 of underwriting discount and $425,347 of other offering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2021,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were deemed to be de minimis as of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condensed financial statements. The condensed financial statements do not include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Entity’s Own Equity (Subtopic 815-40): Accounting for Convertible Instruments and Contracts in an Entity’s Own Equity </w:t>
      </w:r>
      <w:r>
        <w:rPr>
          <w:rFonts w:ascii="Arial" w:cs="Arial" w:eastAsia="Arial" w:hAnsi="Arial"/>
          <w:sz w:val="18"/>
          <w:szCs w:val="18"/>
          <w:color w:val="auto"/>
        </w:rPr>
        <w:t>(“ASU 2020-06”),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Private Placement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 as of June 30, 2021.</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balance of $10,000 represents the amount accrued for the administrative support services provided by affiliate of the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IPO (the “Promissory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loans were non-interest bearing, unsecured and were due at the earlier of March 31, 2021 or the closing of the IPO.</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June 30, 2021, no such Working Capital Loans were outstanding.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As of June 30, 2021, the Company has recorded $37,097 for the period from March 10, 2021 through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Recurring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June 30, 2021 and indicates the fair value hierarchy of the valuation techniques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Prices In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Mutual Fund held in Trust Account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133,003,878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133,003,878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1"/>
        </w:trPr>
        <w:tc>
          <w:tcPr>
            <w:tcW w:w="598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133,003,878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133,003,878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Warrant Liability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196,416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196,416</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196,416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196,416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estimated fair value of the warrant liability on March 15, 2021 and June 30,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March 15, 2021: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15,</w:t>
            </w:r>
          </w:p>
        </w:tc>
      </w:tr>
      <w:tr>
        <w:trPr>
          <w:trHeight w:val="241"/>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Input</w:t>
            </w: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24.30%</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Stock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r>
        <w:trPr>
          <w:trHeight w:val="418"/>
        </w:trPr>
        <w:tc>
          <w:tcPr>
            <w:tcW w:w="9980" w:type="dxa"/>
            <w:vAlign w:val="bottom"/>
            <w:gridSpan w:val="2"/>
          </w:tcPr>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June 30,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Input</w:t>
            </w: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17.20%</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Stock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changes in the fair value of the warrant liability for the six months ended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5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Initial fair value of warrant liability upon issuance at IPO</w:t>
            </w: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270,307</w:t>
            </w:r>
          </w:p>
        </w:tc>
        <w:tc>
          <w:tcPr>
            <w:tcW w:w="0" w:type="dxa"/>
            <w:vAlign w:val="bottom"/>
          </w:tcPr>
          <w:p>
            <w:pPr>
              <w:spacing w:after="0"/>
              <w:rPr>
                <w:sz w:val="1"/>
                <w:szCs w:val="1"/>
                <w:color w:val="auto"/>
              </w:rPr>
            </w:pPr>
          </w:p>
        </w:tc>
      </w:tr>
      <w:tr>
        <w:trPr>
          <w:trHeight w:val="23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5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(73,891)</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196,416</w:t>
            </w:r>
          </w:p>
        </w:tc>
        <w:tc>
          <w:tcPr>
            <w:tcW w:w="0" w:type="dxa"/>
            <w:vAlign w:val="bottom"/>
          </w:tcPr>
          <w:p>
            <w:pPr>
              <w:spacing w:after="0"/>
              <w:rPr>
                <w:sz w:val="1"/>
                <w:szCs w:val="1"/>
                <w:color w:val="auto"/>
              </w:rPr>
            </w:pPr>
          </w:p>
        </w:tc>
      </w:tr>
      <w:tr>
        <w:trPr>
          <w:trHeight w:val="21"/>
        </w:trPr>
        <w:tc>
          <w:tcPr>
            <w:tcW w:w="48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555"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13, 2021, the Company has issued to EarlyBirdCapital and its designees an aggregate of 350,000 representative shares at $0.0001 per share (the “Representative Shares”).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 </w:t>
      </w:r>
      <w:r>
        <w:rPr>
          <w:rFonts w:ascii="Arial" w:cs="Arial" w:eastAsia="Arial" w:hAnsi="Arial"/>
          <w:sz w:val="18"/>
          <w:szCs w:val="18"/>
          <w:color w:val="auto"/>
        </w:rPr>
        <w:t>The Company is authorized to issue 1,000,000 shares of preferred stock at par value of $0.0001 per share. As of June 30,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shares of preferred stock issued or outstanding.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Common Stock — </w:t>
      </w:r>
      <w:r>
        <w:rPr>
          <w:rFonts w:ascii="Arial" w:cs="Arial" w:eastAsia="Arial" w:hAnsi="Arial"/>
          <w:sz w:val="16"/>
          <w:szCs w:val="16"/>
          <w:color w:val="auto"/>
        </w:rPr>
        <w:t>The Company is authorized to issue 100,000,000 shares of common stock with a par value of $0.0001 per share. At June 30, 2021, there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4,161,000 shares of common stock issued and outstanding, excluding 13,300,000 shares of common stock subject to possible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financial statements was issued. The Company did not identify any subsequent events that would have required adjustment or disclosure in the unaudited condensed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to the “Company,” “Archimedes Tech SPAC Partners Co.” “our,” “us” or “we” refer to Archimedes Tech SPAC Partners Co.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activity through June 30, 2021 relates to our formation, IPO, which was consummated on March 15, 2021, and search for a prospective initial business combination target.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have not commenced any operations. All activity for the period from September 15, 2020 (inception) through June 30,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June 30, 2021, we had a net loss of $70,540, which was comprised of operating costs of $150,901, interest income of $3,353 from marketable securities held in our Trust Account, and unrealized gain on change in fair value of warrants of $77,008.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we had a net loss of $154,573, which was comprised of operating costs of $232,342, interest income of $3,878 from marketable securities held in our Trust Account, and unrealized gain on change in fair value of warrants of $73,891.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15, 2021, we consummated the IPO of 12,000,000 Public Units at a price of $10.00 per Public Unit, generating gross proceeds of $120,000,000. Simultaneously with the closing of the IPO, we consummated the sale of 390,000 Private Units at a price of $10.00 per Private Unit in a private placement to the Sponsor and EarlyBirdCapital, generating gross proceeds of $3,900,000.</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19, 2021, the underwriters partially exercised the over-allotment option to purchase 1,300,000 Public Units, at a purchase price of $10.00 per Public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and the remaining net proceeds was deposited in our operating bank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$803,506 in our operating bank account for our working capital needs.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the foregoing, management believes that we will have sufficient working capital and borrowing capacity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loss per common share is computed by dividing net loss by the weighted average number of common stock outstanding for each of the periods. The calculation of diluted loss per common share does not consider the effect of the warrants issued in connection with the (i) IPO, (ii) exercise of overallotment and (iii) Private Placement since the exercise price of the warrants is higher than the market price. The warrants are exercisable to purchase 6,858,000 shares of common stock in the aggregate.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2021, we were not subject to any market or interest rate risk. The net proceeds held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June 30, 2021. Based upon their evaluation, our Chief Executive Officer and Chief Financial Officer concluded that, during the period covered by this report, our disclosure controls and procedures were effective and, accordingly, provided reasonable assurance that the information required to be disclosed by us in reports filed under the Exchange Act is recorded, processed, summarized and reported within the time periods specified in the SEC’s rules and forms.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most recently completed fiscal quarter, we have enhanced in our internal control over financial reporting related to accounting for the Private Warrants through adoption of liability accounting for our Private Warrants as well as the retention of third-party professionals to provide quarterly warrant valuation analysis. As a result, we believe the material weakness in internal controls disclosed in the Form 10-Q for the three-month ended March 31, 2021 has been addressed. There have been no changes in our internal controls over financial reporting, except as previously noted, that has materially affected, or is reasonably likely to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Factors that could cause our actual results to differ materially from those in this Quarterly Report are any of the risks described in our final prospectus for our IPO filed with the SEC on March 12,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other than as described below, there have been no material changes to the risk factors disclosed in our final prospectus for our IPO filed with the SEC on March 12,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15, 2021, the Company consummated its IPO of 12,000,000 Public Units. Each Public Unit consists of i) one Public Subunit, which consists of one Public Share and one-quarter of one Public Warrant and ii) one-quarter of one Public Warrant, with each whole warrant entitling the holder thereof to purchase one share of common stock, par value $0.0001 per share, for $11.50 per share. The Public Units were sold at a price of $10.00 per unit, generating gross proceeds to the Company of $120,000,000. The Company paid the underwriters, in aggregate, a fixed underwriting discount of $2,400,000. The Company granted the underwriters a 45-day option from the date of the IPO to purchase up to an additional 1,800,000 Public Units to cover over-allotments.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March 15, 2021, simultaneously with the consummation of the IPO, the Company completed the Private Placement of an aggregate of 390,000 Private Units to the Sponsor and EarlyBirdCapital at a purchase price of $10.00 per Private Unit, generating gross proceeds to the Company of $3,900,000.</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The Public Units were sold at a price of $10.00 per Unit, generating gross proceeds to the Company of $13,000,000. The Company paid the underwriters, in aggregate, a fixed underwriting discount of $260,000. Simultaneously with the exercise of the over-allotment option, the Company completed the Private Placement of an aggregate of 26,000 Private Units to the Sponsor and EarlyBirdCapital, at a purchase price of $10.00 per Private Unit, generating gross proceeds to the Company of $260,000.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 total of $133,003,878 was held in the Trust Account, $133,000,000 of which is the proceeds from the IPO and Private Placement and $3,878 of which was interest income generated by the proceeds in Trust.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IPO, see Part I, Item 2 of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20" w:type="dxa"/>
            <w:vAlign w:val="bottom"/>
            <w:gridSpan w:val="9"/>
          </w:tcPr>
          <w:p>
            <w:pPr>
              <w:ind w:left="16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96"/>
        </w:trPr>
        <w:tc>
          <w:tcPr>
            <w:tcW w:w="11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920" w:type="dxa"/>
            <w:vAlign w:val="bottom"/>
            <w:tcBorders>
              <w:top w:val="single" w:sz="8" w:color="auto"/>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Underwriting Agreement, dated March 10, 2021, by and between the Company and EarlyBirdCapital, Inc. (1)</w:t>
              </w:r>
            </w:hyperlink>
          </w:p>
        </w:tc>
        <w:tc>
          <w:tcPr>
            <w:tcW w:w="2080" w:type="dxa"/>
            <w:vAlign w:val="bottom"/>
            <w:tcBorders>
              <w:top w:val="single" w:sz="8" w:color="auto"/>
              <w:bottom w:val="single" w:sz="8" w:color="CCEEFF"/>
            </w:tcBorders>
            <w:gridSpan w:val="6"/>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10000" w:type="dxa"/>
            <w:vAlign w:val="bottom"/>
            <w:gridSpan w:val="15"/>
          </w:tcPr>
          <w:p>
            <w:pPr>
              <w:ind w:left="20"/>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Amended and Restated Certificate of Incorporation. (1)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5"/>
                <w:szCs w:val="15"/>
                <w:color w:val="auto"/>
              </w:rPr>
            </w:pPr>
          </w:p>
        </w:tc>
        <w:tc>
          <w:tcPr>
            <w:tcW w:w="10000" w:type="dxa"/>
            <w:vAlign w:val="bottom"/>
            <w:gridSpan w:val="15"/>
            <w:shd w:val="clear" w:color="auto" w:fill="CCEEFF"/>
          </w:tcPr>
          <w:p>
            <w:pPr>
              <w:ind w:left="20"/>
              <w:spacing w:after="0" w:line="176" w:lineRule="exact"/>
              <w:rPr>
                <w:rFonts w:ascii="Arial" w:cs="Arial" w:eastAsia="Arial" w:hAnsi="Arial"/>
                <w:sz w:val="18"/>
                <w:szCs w:val="18"/>
                <w:color w:val="0000EE"/>
                <w:w w:val="97"/>
              </w:rPr>
            </w:pPr>
            <w:hyperlink r:id="rId55">
              <w:r>
                <w:rPr>
                  <w:rFonts w:ascii="Arial" w:cs="Arial" w:eastAsia="Arial" w:hAnsi="Arial"/>
                  <w:sz w:val="18"/>
                  <w:szCs w:val="18"/>
                  <w:color w:val="0000EE"/>
                  <w:w w:val="97"/>
                </w:rPr>
                <w:t>Warrant Agreement, dated March 10, 2021, by and between the Company and Continental Stock Transfer &amp; Trust Company (1)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5"/>
                <w:szCs w:val="15"/>
                <w:color w:val="auto"/>
              </w:rPr>
            </w:pPr>
          </w:p>
        </w:tc>
        <w:tc>
          <w:tcPr>
            <w:tcW w:w="10000" w:type="dxa"/>
            <w:vAlign w:val="bottom"/>
            <w:gridSpan w:val="15"/>
          </w:tcPr>
          <w:p>
            <w:pPr>
              <w:ind w:left="20"/>
              <w:spacing w:after="0" w:line="176" w:lineRule="exact"/>
              <w:rPr>
                <w:rFonts w:ascii="Arial" w:cs="Arial" w:eastAsia="Arial" w:hAnsi="Arial"/>
                <w:sz w:val="18"/>
                <w:szCs w:val="18"/>
                <w:color w:val="0000EE"/>
                <w:w w:val="97"/>
              </w:rPr>
            </w:pPr>
            <w:hyperlink r:id="rId56">
              <w:r>
                <w:rPr>
                  <w:rFonts w:ascii="Arial" w:cs="Arial" w:eastAsia="Arial" w:hAnsi="Arial"/>
                  <w:sz w:val="18"/>
                  <w:szCs w:val="18"/>
                  <w:color w:val="0000EE"/>
                  <w:w w:val="97"/>
                </w:rPr>
                <w:t>Letter Agreement, dated March 10, 2021, by and between the Company’s sponsor, initial stockholders, officers and directors. (1)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Investment Management Trust Agreement, dated March 10, 2021, by and between Continental Stock Transfer &amp; Trust Company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0000EE"/>
            </w:tcBorders>
            <w:gridSpan w:val="2"/>
            <w:shd w:val="clear" w:color="auto" w:fill="CCEEFF"/>
          </w:tcPr>
          <w:p>
            <w:pPr>
              <w:ind w:left="20"/>
              <w:spacing w:after="0" w:line="19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Company. (1)</w:t>
              </w:r>
            </w:hyperlink>
          </w:p>
        </w:tc>
        <w:tc>
          <w:tcPr>
            <w:tcW w:w="9000" w:type="dxa"/>
            <w:vAlign w:val="bottom"/>
            <w:tcBorders>
              <w:bottom w:val="single" w:sz="8" w:color="CCEEFF"/>
            </w:tcBorders>
            <w:gridSpan w:val="1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5"/>
          </w:tcPr>
          <w:p>
            <w:pPr>
              <w:ind w:left="20"/>
              <w:spacing w:after="0" w:line="176"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Escrow Agreement, dated March 10, 2021, by and among the Company, Continental Stock Transfer &amp; Trust Company and each of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16"/>
          </w:tcPr>
          <w:p>
            <w:pPr>
              <w:ind w:left="20"/>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initial stockholders of the Company. (1)</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Registration Rights Agreement, dated March 10, 2021, by and among the Company, the Company’s sponsor, EarlyBirdCapital, Inc.,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the initial stockholders of the Company.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5"/>
                <w:szCs w:val="15"/>
                <w:color w:val="auto"/>
              </w:rPr>
            </w:pPr>
          </w:p>
        </w:tc>
        <w:tc>
          <w:tcPr>
            <w:tcW w:w="10000" w:type="dxa"/>
            <w:vAlign w:val="bottom"/>
            <w:gridSpan w:val="15"/>
          </w:tcPr>
          <w:p>
            <w:pPr>
              <w:ind w:left="20"/>
              <w:spacing w:after="0" w:line="176" w:lineRule="exact"/>
              <w:rPr>
                <w:rFonts w:ascii="Arial" w:cs="Arial" w:eastAsia="Arial" w:hAnsi="Arial"/>
                <w:sz w:val="18"/>
                <w:szCs w:val="18"/>
                <w:color w:val="0000EE"/>
                <w:w w:val="99"/>
              </w:rPr>
            </w:pPr>
            <w:hyperlink r:id="rId60">
              <w:r>
                <w:rPr>
                  <w:rFonts w:ascii="Arial" w:cs="Arial" w:eastAsia="Arial" w:hAnsi="Arial"/>
                  <w:sz w:val="18"/>
                  <w:szCs w:val="18"/>
                  <w:color w:val="0000EE"/>
                  <w:w w:val="99"/>
                </w:rPr>
                <w:t>Indemnity Agreements, dated March 10, 2021, by and among the Company and the directors and officers of the Company (1)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10.6</w:t>
            </w: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76" w:lineRule="exact"/>
              <w:rPr>
                <w:rFonts w:ascii="Arial" w:cs="Arial" w:eastAsia="Arial" w:hAnsi="Arial"/>
                <w:sz w:val="18"/>
                <w:szCs w:val="18"/>
                <w:color w:val="0000EE"/>
                <w:w w:val="98"/>
              </w:rPr>
            </w:pPr>
            <w:hyperlink r:id="rId61">
              <w:r>
                <w:rPr>
                  <w:rFonts w:ascii="Arial" w:cs="Arial" w:eastAsia="Arial" w:hAnsi="Arial"/>
                  <w:sz w:val="18"/>
                  <w:szCs w:val="18"/>
                  <w:color w:val="0000EE"/>
                  <w:w w:val="98"/>
                </w:rPr>
                <w:t>Subscription Agreement, dated March 10, 2021, by and between the Company and Archimedes Tech SPAC Sponsors LLC. (1)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10.7</w:t>
            </w:r>
          </w:p>
        </w:tc>
        <w:tc>
          <w:tcPr>
            <w:tcW w:w="100" w:type="dxa"/>
            <w:vAlign w:val="bottom"/>
            <w:tcBorders>
              <w:top w:val="single" w:sz="8" w:color="CCEEFF"/>
            </w:tcBorders>
          </w:tcPr>
          <w:p>
            <w:pPr>
              <w:spacing w:after="0"/>
              <w:rPr>
                <w:sz w:val="15"/>
                <w:szCs w:val="15"/>
                <w:color w:val="auto"/>
              </w:rPr>
            </w:pPr>
          </w:p>
        </w:tc>
        <w:tc>
          <w:tcPr>
            <w:tcW w:w="9140" w:type="dxa"/>
            <w:vAlign w:val="bottom"/>
            <w:tcBorders>
              <w:top w:val="single" w:sz="8" w:color="0000EE"/>
            </w:tcBorders>
            <w:gridSpan w:val="12"/>
          </w:tcPr>
          <w:p>
            <w:pPr>
              <w:ind w:left="20"/>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Subscription Agreement, dated March 10, 2021, by and between the Company and EarlyBirdCapital, Inc (1)</w:t>
              </w:r>
            </w:hyperlink>
          </w:p>
        </w:tc>
        <w:tc>
          <w:tcPr>
            <w:tcW w:w="860" w:type="dxa"/>
            <w:vAlign w:val="bottom"/>
            <w:tcBorders>
              <w:top w:val="single" w:sz="8" w:color="CCEE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802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Administrative Services Agreement, dated March 10, 2021, between the Company and SPAC Partners LLC (1)</w:t>
              </w:r>
            </w:hyperlink>
          </w:p>
        </w:tc>
        <w:tc>
          <w:tcPr>
            <w:tcW w:w="1980" w:type="dxa"/>
            <w:vAlign w:val="bottom"/>
            <w:tcBorders>
              <w:bottom w:val="single" w:sz="8" w:color="CCEEFF"/>
            </w:tcBorders>
            <w:gridSpan w:val="5"/>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5"/>
          </w:tcPr>
          <w:p>
            <w:pPr>
              <w:ind w:left="20"/>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Principal Executive Officer Pursuant to Securities Exchange Act Rules 13a-14(a) and 15(d)-14(a), as adopted Pursuant to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16"/>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Section 302 of the Sarbanes-Oxley Act of 2002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Principal Financial Officer Pursuant to Securities Exchange Act Rules 13a-14(a) and 15(d)-14(a), as adopted Pursuant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5"/>
          </w:tcPr>
          <w:p>
            <w:pPr>
              <w:ind w:left="20"/>
              <w:spacing w:after="0" w:line="17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Principal Executive Officer Pursuant to 18 U.S.C. Section 1350, as adopted Pursuant to Section 906 of the Sarbanes-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16"/>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101.INS*</w:t>
            </w:r>
          </w:p>
        </w:tc>
        <w:tc>
          <w:tcPr>
            <w:tcW w:w="10000" w:type="dxa"/>
            <w:vAlign w:val="bottom"/>
            <w:gridSpan w:val="15"/>
          </w:tcPr>
          <w:p>
            <w:pPr>
              <w:ind w:left="20"/>
              <w:spacing w:after="0"/>
              <w:rPr>
                <w:sz w:val="20"/>
                <w:szCs w:val="20"/>
                <w:color w:val="auto"/>
              </w:rPr>
            </w:pPr>
            <w:r>
              <w:rPr>
                <w:rFonts w:ascii="Arial" w:cs="Arial" w:eastAsia="Arial" w:hAnsi="Arial"/>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101.SCH*</w:t>
            </w:r>
          </w:p>
        </w:tc>
        <w:tc>
          <w:tcPr>
            <w:tcW w:w="1000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101.CAL*</w:t>
            </w:r>
          </w:p>
        </w:tc>
        <w:tc>
          <w:tcPr>
            <w:tcW w:w="10000" w:type="dxa"/>
            <w:vAlign w:val="bottom"/>
            <w:gridSpan w:val="15"/>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101.DEF*</w:t>
            </w:r>
          </w:p>
        </w:tc>
        <w:tc>
          <w:tcPr>
            <w:tcW w:w="1000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101.LAB*</w:t>
            </w:r>
          </w:p>
        </w:tc>
        <w:tc>
          <w:tcPr>
            <w:tcW w:w="10000" w:type="dxa"/>
            <w:vAlign w:val="bottom"/>
            <w:gridSpan w:val="15"/>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101.PRE*</w:t>
            </w:r>
          </w:p>
        </w:tc>
        <w:tc>
          <w:tcPr>
            <w:tcW w:w="1000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100" w:type="dxa"/>
            <w:vAlign w:val="bottom"/>
          </w:tcPr>
          <w:p>
            <w:pPr>
              <w:spacing w:after="0"/>
              <w:rPr>
                <w:sz w:val="20"/>
                <w:szCs w:val="20"/>
                <w:color w:val="auto"/>
              </w:rPr>
            </w:pPr>
          </w:p>
        </w:tc>
        <w:tc>
          <w:tcPr>
            <w:tcW w:w="10000" w:type="dxa"/>
            <w:vAlign w:val="bottom"/>
            <w:gridSpan w:val="15"/>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9800" w:firstLine="8"/>
        <w:spacing w:after="0" w:line="291" w:lineRule="auto"/>
        <w:tabs>
          <w:tab w:leader="none" w:pos="3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rPr>
          <w:rFonts w:ascii="Arial" w:cs="Arial" w:eastAsia="Arial" w:hAnsi="Arial"/>
          <w:sz w:val="16"/>
          <w:szCs w:val="16"/>
          <w:color w:val="auto"/>
        </w:rPr>
      </w:pPr>
      <w:r>
        <w:rPr>
          <w:rFonts w:ascii="Arial" w:cs="Arial" w:eastAsia="Arial" w:hAnsi="Arial"/>
          <w:sz w:val="18"/>
          <w:szCs w:val="18"/>
          <w:color w:val="auto"/>
        </w:rPr>
        <w:t>(1)  Previously filed as an exhibit to our Current Report on Form 8-K filed on March 16, 2021 and incorporated by reference herein.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3160"/>
              <w:spacing w:after="0"/>
              <w:rPr>
                <w:sz w:val="20"/>
                <w:szCs w:val="20"/>
                <w:color w:val="auto"/>
              </w:rPr>
            </w:pPr>
            <w:r>
              <w:rPr>
                <w:rFonts w:ascii="Arial" w:cs="Arial" w:eastAsia="Arial" w:hAnsi="Arial"/>
                <w:sz w:val="18"/>
                <w:szCs w:val="18"/>
                <w:b w:val="1"/>
                <w:bCs w:val="1"/>
                <w:color w:val="auto"/>
              </w:rPr>
              <w:t>ARCHIMEDES TECH SPAC PARTNERS CO.</w:t>
            </w: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Date: August 27, 2021</w:t>
            </w:r>
          </w:p>
        </w:tc>
        <w:tc>
          <w:tcPr>
            <w:tcW w:w="3740" w:type="dxa"/>
            <w:vAlign w:val="bottom"/>
          </w:tcPr>
          <w:p>
            <w:pPr>
              <w:ind w:left="31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3580" w:type="dxa"/>
            <w:vAlign w:val="bottom"/>
          </w:tcPr>
          <w:p>
            <w:pPr>
              <w:spacing w:after="0"/>
              <w:rPr>
                <w:sz w:val="17"/>
                <w:szCs w:val="17"/>
                <w:color w:val="auto"/>
              </w:rPr>
            </w:pPr>
          </w:p>
        </w:tc>
        <w:tc>
          <w:tcPr>
            <w:tcW w:w="3740" w:type="dxa"/>
            <w:vAlign w:val="bottom"/>
          </w:tcPr>
          <w:p>
            <w:pPr>
              <w:ind w:left="31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16"/>
        </w:trPr>
        <w:tc>
          <w:tcPr>
            <w:tcW w:w="3580" w:type="dxa"/>
            <w:vAlign w:val="bottom"/>
          </w:tcPr>
          <w:p>
            <w:pPr>
              <w:spacing w:after="0"/>
              <w:rPr>
                <w:sz w:val="18"/>
                <w:szCs w:val="18"/>
                <w:color w:val="auto"/>
              </w:rPr>
            </w:pPr>
          </w:p>
        </w:tc>
        <w:tc>
          <w:tcPr>
            <w:tcW w:w="3740" w:type="dxa"/>
            <w:vAlign w:val="bottom"/>
          </w:tcPr>
          <w:p>
            <w:pPr>
              <w:ind w:left="31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Date: August 27, 2021</w:t>
            </w:r>
          </w:p>
        </w:tc>
        <w:tc>
          <w:tcPr>
            <w:tcW w:w="3740" w:type="dxa"/>
            <w:vAlign w:val="bottom"/>
          </w:tcPr>
          <w:p>
            <w:pPr>
              <w:ind w:left="31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Long Long</w:t>
            </w:r>
          </w:p>
        </w:tc>
      </w:tr>
      <w:tr>
        <w:trPr>
          <w:trHeight w:val="202"/>
        </w:trPr>
        <w:tc>
          <w:tcPr>
            <w:tcW w:w="3580" w:type="dxa"/>
            <w:vAlign w:val="bottom"/>
          </w:tcPr>
          <w:p>
            <w:pPr>
              <w:spacing w:after="0"/>
              <w:rPr>
                <w:sz w:val="17"/>
                <w:szCs w:val="17"/>
                <w:color w:val="auto"/>
              </w:rPr>
            </w:pPr>
          </w:p>
        </w:tc>
        <w:tc>
          <w:tcPr>
            <w:tcW w:w="3740" w:type="dxa"/>
            <w:vAlign w:val="bottom"/>
          </w:tcPr>
          <w:p>
            <w:pPr>
              <w:ind w:left="31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Long Long</w:t>
            </w:r>
          </w:p>
        </w:tc>
      </w:tr>
      <w:tr>
        <w:trPr>
          <w:trHeight w:val="216"/>
        </w:trPr>
        <w:tc>
          <w:tcPr>
            <w:tcW w:w="3580" w:type="dxa"/>
            <w:vAlign w:val="bottom"/>
          </w:tcPr>
          <w:p>
            <w:pPr>
              <w:spacing w:after="0"/>
              <w:rPr>
                <w:sz w:val="18"/>
                <w:szCs w:val="18"/>
                <w:color w:val="auto"/>
              </w:rPr>
            </w:pPr>
          </w:p>
        </w:tc>
        <w:tc>
          <w:tcPr>
            <w:tcW w:w="3740" w:type="dxa"/>
            <w:vAlign w:val="bottom"/>
          </w:tcPr>
          <w:p>
            <w:pPr>
              <w:ind w:left="31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22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4" w:name="page25"/>
    <w:bookmarkEnd w:id="24"/>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N. Cannon,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Archimedes Tech SPAC Partners Co.;</w:t>
      </w:r>
    </w:p>
    <w:p>
      <w:pPr>
        <w:spacing w:after="0" w:line="225" w:lineRule="exact"/>
        <w:rPr>
          <w:sz w:val="20"/>
          <w:szCs w:val="20"/>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9840"/>
        <w:spacing w:after="0"/>
        <w:rPr>
          <w:sz w:val="20"/>
          <w:szCs w:val="20"/>
          <w:color w:val="auto"/>
        </w:rPr>
      </w:pPr>
      <w:r>
        <w:rPr>
          <w:rFonts w:ascii="Arial" w:cs="Arial" w:eastAsia="Arial" w:hAnsi="Arial"/>
          <w:sz w:val="15"/>
          <w:szCs w:val="15"/>
          <w:color w:val="auto"/>
        </w:rPr>
        <w:t>Stephen N. Cannon</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Long Long,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Archimedes Tech SPAC Partners Co.;</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Long Long</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6" w:name="page27"/>
    <w:bookmarkEnd w:id="26"/>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Archimedes Tech SPAC Partners Co. (the “Company”) on Form 10-Q for the quarterly period ended June 30, 2021, as filed with the Securities and Exchange Commission (the “Report”), I, Stephen N. Cannon, Chief Executive Officer of the Company, certify, pursuant to 18 U.S.C. §1350, as adopted pursuant to §906 of the Sarbanes-Oxley Act of 2002, that, to the best of my knowledge:</w:t>
      </w:r>
    </w:p>
    <w:p>
      <w:pPr>
        <w:spacing w:after="0" w:line="16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140" w:firstLine="332"/>
        <w:spacing w:after="0" w:line="508"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27, 2021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9840"/>
        <w:spacing w:after="0"/>
        <w:rPr>
          <w:sz w:val="20"/>
          <w:szCs w:val="20"/>
          <w:color w:val="auto"/>
        </w:rPr>
      </w:pPr>
      <w:r>
        <w:rPr>
          <w:rFonts w:ascii="Arial" w:cs="Arial" w:eastAsia="Arial" w:hAnsi="Arial"/>
          <w:sz w:val="15"/>
          <w:szCs w:val="15"/>
          <w:color w:val="auto"/>
        </w:rPr>
        <w:t>Stephen N. Cannon</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7" w:name="page28"/>
    <w:bookmarkEnd w:id="27"/>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Archimedes Tech SPAC Partners Co. (the “Company”) on Form 10-Q for the quarterly period ended June 30, 2021, as filed with the Securities and Exchange Commission (the “Report”), I, Long Long, Chief Financial Officer of the Company, certify, pursuant to 18 U.S.C. §1350, as adopted pursuant to §906 of the Sarbanes-Oxley Act of 2002, that, to the best of my knowledge:</w:t>
      </w:r>
    </w:p>
    <w:p>
      <w:pPr>
        <w:spacing w:after="0" w:line="16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140" w:firstLine="332"/>
        <w:spacing w:after="0" w:line="508"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27, 2021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Long Long</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4"/>
      <w:numFmt w:val="bullet"/>
      <w:start w:val="1"/>
    </w:lvl>
    <w:lvl w:ilvl="1">
      <w:lvlJc w:val="left"/>
      <w:lvlText w:val="%2)"/>
      <w:numFmt w:val="lowerLetter"/>
      <w:start w:val="1"/>
    </w:lvl>
  </w:abstractNum>
  <w:abstractNum w:abstractNumId="10">
    <w:nsid w:val="41A7C4C9"/>
    <w:multiLevelType w:val="hybridMultilevel"/>
    <w:lvl w:ilvl="0">
      <w:lvlJc w:val="left"/>
      <w:lvlText w:val="5"/>
      <w:numFmt w:val="bullet"/>
      <w:start w:val="1"/>
    </w:lvl>
    <w:lvl w:ilvl="1">
      <w:lvlJc w:val="left"/>
      <w:lvlText w:val="%2)"/>
      <w:numFmt w:val="lowerLetter"/>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2"/>
      <w:numFmt w:val="bullet"/>
      <w:start w:val="1"/>
    </w:lvl>
  </w:abstractNum>
  <w:abstractNum w:abstractNumId="13">
    <w:nsid w:val="25E45D32"/>
    <w:multiLevelType w:val="hybridMultilevel"/>
    <w:lvl w:ilvl="0">
      <w:lvlJc w:val="left"/>
      <w:lvlText w:val="3"/>
      <w:numFmt w:val="bullet"/>
      <w:start w:val="1"/>
    </w:lvl>
  </w:abstractNum>
  <w:abstractNum w:abstractNumId="14">
    <w:nsid w:val="519B500D"/>
    <w:multiLevelType w:val="hybridMultilevel"/>
    <w:lvl w:ilvl="0">
      <w:lvlJc w:val="left"/>
      <w:lvlText w:val="4"/>
      <w:numFmt w:val="bullet"/>
      <w:start w:val="1"/>
    </w:lvl>
    <w:lvl w:ilvl="1">
      <w:lvlJc w:val="left"/>
      <w:lvlText w:val="%2)"/>
      <w:numFmt w:val="lowerLetter"/>
      <w:start w:val="1"/>
    </w:lvl>
  </w:abstractNum>
  <w:abstractNum w:abstractNumId="15">
    <w:nsid w:val="431BD7B7"/>
    <w:multiLevelType w:val="hybridMultilevel"/>
    <w:lvl w:ilvl="0">
      <w:lvlJc w:val="left"/>
      <w:lvlText w:val="5"/>
      <w:numFmt w:val="bullet"/>
      <w:start w:val="1"/>
    </w:lvl>
    <w:lvl w:ilvl="1">
      <w:lvlJc w:val="left"/>
      <w:lvlText w:val="%2)"/>
      <w:numFmt w:val="lowerLetter"/>
      <w:start w:val="1"/>
    </w:lvl>
  </w:abstractNum>
  <w:abstractNum w:abstractNumId="16">
    <w:nsid w:val="3F2DBA31"/>
    <w:multiLevelType w:val="hybridMultilevel"/>
    <w:lvl w:ilvl="0">
      <w:lvlJc w:val="left"/>
      <w:lvlText w:val="1"/>
      <w:numFmt w:val="bullet"/>
      <w:start w:val="1"/>
    </w:lvl>
  </w:abstractNum>
  <w:abstractNum w:abstractNumId="17">
    <w:nsid w:val="7C83E458"/>
    <w:multiLevelType w:val="hybridMultilevel"/>
    <w:lvl w:ilvl="0">
      <w:lvlJc w:val="left"/>
      <w:lvlText w:val="2"/>
      <w:numFmt w:val="bullet"/>
      <w:start w:val="1"/>
    </w:lvl>
  </w:abstractNum>
  <w:abstractNum w:abstractNumId="18">
    <w:nsid w:val="257130A3"/>
    <w:multiLevelType w:val="hybridMultilevel"/>
    <w:lvl w:ilvl="0">
      <w:lvlJc w:val="left"/>
      <w:lvlText w:val="1"/>
      <w:numFmt w:val="bullet"/>
      <w:start w:val="1"/>
    </w:lvl>
  </w:abstractNum>
  <w:abstractNum w:abstractNumId="19">
    <w:nsid w:val="62BBD9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53" Type="http://schemas.openxmlformats.org/officeDocument/2006/relationships/hyperlink" Target="http://www.sec.gov/Archives/edgar/data/1840856/000121390021015672/ea137760ex1-1_archimedes.htm" TargetMode="External"/><Relationship Id="rId54" Type="http://schemas.openxmlformats.org/officeDocument/2006/relationships/hyperlink" Target="http://www.sec.gov/Archives/edgar/data/1840856/000121390021015672/ea137760ex3-1_archimedes.htm" TargetMode="External"/><Relationship Id="rId55" Type="http://schemas.openxmlformats.org/officeDocument/2006/relationships/hyperlink" Target="http://www.sec.gov/Archives/edgar/data/1840856/000121390021015672/ea137760ex4-1_archimedes.htm" TargetMode="External"/><Relationship Id="rId56" Type="http://schemas.openxmlformats.org/officeDocument/2006/relationships/hyperlink" Target="http://www.sec.gov/Archives/edgar/data/1840856/000121390021015672/ea137760ex10-1_archimedes.htm" TargetMode="External"/><Relationship Id="rId57" Type="http://schemas.openxmlformats.org/officeDocument/2006/relationships/hyperlink" Target="http://www.sec.gov/Archives/edgar/data/1840856/000121390021015672/ea137760ex10-2_archimedes.htm" TargetMode="External"/><Relationship Id="rId58" Type="http://schemas.openxmlformats.org/officeDocument/2006/relationships/hyperlink" Target="http://www.sec.gov/Archives/edgar/data/1840856/000121390021015672/ea137760ex10-3_archimedes.htm" TargetMode="External"/><Relationship Id="rId59" Type="http://schemas.openxmlformats.org/officeDocument/2006/relationships/hyperlink" Target="http://www.sec.gov/Archives/edgar/data/1840856/000121390021015672/ea137760ex10-4_archimedes.htm" TargetMode="External"/><Relationship Id="rId60" Type="http://schemas.openxmlformats.org/officeDocument/2006/relationships/hyperlink" Target="http://www.sec.gov/Archives/edgar/data/1840856/000121390021015672/ea137760ex10-5_archimedes.htm" TargetMode="External"/><Relationship Id="rId61" Type="http://schemas.openxmlformats.org/officeDocument/2006/relationships/hyperlink" Target="http://www.sec.gov/Archives/edgar/data/1840856/000121390021015672/ea137760ex10-6_archimedes.htm" TargetMode="External"/><Relationship Id="rId62" Type="http://schemas.openxmlformats.org/officeDocument/2006/relationships/hyperlink" Target="http://www.sec.gov/Archives/edgar/data/1840856/000121390021015672/ea137760ex10-7_archimedes.htm" TargetMode="External"/><Relationship Id="rId63" Type="http://schemas.openxmlformats.org/officeDocument/2006/relationships/hyperlink" Target="http://www.sec.gov/Archives/edgar/data/1840856/000121390021015672/ea137760ex10-8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2021-08-27T21:25:21Z</dcterms:created>
  <dcterms:modified xsi:type="dcterms:W3CDTF">2021-08-27T21:25:21Z</dcterms:modified>
</cp:coreProperties>
</file>