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6856-8k425_sound.htm"/>
      <w:bookmarkStart w:id="1" w:name="ksea02968568k425_sound"/>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70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July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28" w:type="dxa"/>
          <w:right w:w="0" w:type="dxa"/>
        </w:tblCellMar>
      </w:tblPr>
      <w:tblGrid>
        <w:gridCol w:w="2660"/>
        <w:gridCol w:w="60"/>
        <w:gridCol w:w="2300"/>
        <w:gridCol w:w="60"/>
        <w:gridCol w:w="1565"/>
      </w:tblGrid>
      <w:tr>
        <w:trPr/>
        <w:tc>
          <w:tcPr>
            <w:tcW w:w="2660" w:type="dxa"/>
            <w:tcBorders>
              <w:bottom w:val="single" w:sz="12" w:space="0" w:color="000000"/>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5_edei--EntityFileNumber_c20260702"/>
            <w:bookmarkEnd w:id="6"/>
            <w:r>
              <w:rPr>
                <w:b/>
                <w:sz w:val="20"/>
              </w:rPr>
              <w:t>001-40193</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85-1286799</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b/>
                <w:sz w:val="20"/>
              </w:rPr>
            </w:pPr>
            <w:bookmarkStart w:id="8" w:name="xdx_90C_edei--EntityAddressAddressLine1_"/>
            <w:bookmarkEnd w:id="8"/>
            <w:r>
              <w:rPr>
                <w:b/>
                <w:sz w:val="20"/>
              </w:rPr>
              <w:t>5400 Betsy Ross Drive</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b/>
                <w:sz w:val="20"/>
              </w:rPr>
            </w:pPr>
            <w:bookmarkStart w:id="9" w:name="xdx_901_edei--EntityAddressCityOrTown_c2"/>
            <w:bookmarkEnd w:id="9"/>
            <w:r>
              <w:rPr>
                <w:b/>
                <w:sz w:val="20"/>
              </w:rPr>
              <w:t xml:space="preserve">Santa Clara, </w:t>
            </w:r>
            <w:bookmarkStart w:id="10" w:name="xdx_905_edei--EntityAddressStateOrProvin"/>
            <w:bookmarkEnd w:id="10"/>
            <w:r>
              <w:rPr>
                <w:b/>
                <w:sz w:val="20"/>
              </w:rPr>
              <w:t>CA</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b/>
                <w:sz w:val="20"/>
              </w:rPr>
            </w:pPr>
            <w:bookmarkStart w:id="11" w:name="xdx_906_edei--EntityAddressPostalZipCode"/>
            <w:bookmarkEnd w:id="11"/>
            <w:r>
              <w:rPr>
                <w:b/>
                <w:sz w:val="20"/>
              </w:rPr>
              <w:t>95054</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A_edei--CityAreaCode_c20260702__20"/>
      <w:bookmarkEnd w:id="12"/>
      <w:r>
        <w:rPr>
          <w:rFonts w:ascii="Times New Roman;Times;Serif" w:hAnsi="Times New Roman;Times;Serif"/>
          <w:b/>
          <w:i w:val="false"/>
          <w:caps w:val="false"/>
          <w:smallCaps w:val="false"/>
          <w:sz w:val="20"/>
        </w:rPr>
        <w:t xml:space="preserve">408) </w:t>
      </w:r>
      <w:bookmarkStart w:id="13" w:name="xdx_90E_edei--LocalPhoneNumber_c20260702"/>
      <w:bookmarkEnd w:id="13"/>
      <w:r>
        <w:rPr>
          <w:rFonts w:ascii="Times New Roman;Times;Serif" w:hAnsi="Times New Roman;Times;Serif"/>
          <w:b/>
          <w:i w:val="false"/>
          <w:caps w:val="false"/>
          <w:smallCaps w:val="false"/>
          <w:sz w:val="20"/>
        </w:rPr>
        <w:t>441-3200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7"/>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90"/>
        <w:gridCol w:w="60"/>
        <w:gridCol w:w="1222"/>
        <w:gridCol w:w="60"/>
        <w:gridCol w:w="2573"/>
      </w:tblGrid>
      <w:tr>
        <w:trPr/>
        <w:tc>
          <w:tcPr>
            <w:tcW w:w="629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22"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573"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290" w:type="dxa"/>
            <w:tcBorders/>
            <w:shd w:fill="CCEEFF" w:val="clear"/>
            <w:tcMar>
              <w:bottom w:w="0" w:type="dxa"/>
            </w:tcMar>
            <w:vAlign w:val="center"/>
          </w:tcPr>
          <w:p>
            <w:pPr>
              <w:pStyle w:val="TableContents"/>
              <w:bidi w:val="0"/>
              <w:spacing w:before="0" w:after="283"/>
              <w:jc w:val="center"/>
              <w:rPr>
                <w:sz w:val="20"/>
              </w:rPr>
            </w:pPr>
            <w:bookmarkStart w:id="18" w:name="xdx_90C_edei--Security12bTitle_c20260702"/>
            <w:bookmarkEnd w:id="18"/>
            <w:r>
              <w:rPr>
                <w:sz w:val="20"/>
              </w:rPr>
              <w:t>Class A 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2" w:type="dxa"/>
            <w:tcBorders/>
            <w:shd w:fill="CCEEFF" w:val="clear"/>
            <w:tcMar>
              <w:bottom w:w="0" w:type="dxa"/>
            </w:tcMar>
            <w:vAlign w:val="center"/>
          </w:tcPr>
          <w:p>
            <w:pPr>
              <w:pStyle w:val="TableContents"/>
              <w:bidi w:val="0"/>
              <w:spacing w:before="0" w:after="283"/>
              <w:jc w:val="center"/>
              <w:rPr>
                <w:sz w:val="20"/>
              </w:rPr>
            </w:pPr>
            <w:bookmarkStart w:id="19" w:name="xdx_903_edei--TradingSymbol_c20260702__2"/>
            <w:bookmarkEnd w:id="19"/>
            <w:r>
              <w:rPr>
                <w:sz w:val="20"/>
              </w:rPr>
              <w:t>SOUN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3"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3_edei--SecurityExchangeName_c2026"/>
            <w:bookmarkEnd w:id="20"/>
            <w:r>
              <w:rPr>
                <w:sz w:val="20"/>
              </w:rPr>
              <w:t>Nasdaq Stock Market LLC</w:t>
            </w:r>
          </w:p>
        </w:tc>
      </w:tr>
      <w:tr>
        <w:trPr/>
        <w:tc>
          <w:tcPr>
            <w:tcW w:w="6290" w:type="dxa"/>
            <w:tcBorders/>
            <w:shd w:fill="FFFFFF" w:val="clear"/>
            <w:tcMar>
              <w:bottom w:w="0" w:type="dxa"/>
            </w:tcMar>
            <w:vAlign w:val="center"/>
          </w:tcPr>
          <w:p>
            <w:pPr>
              <w:pStyle w:val="TableContents"/>
              <w:bidi w:val="0"/>
              <w:spacing w:before="0" w:after="283"/>
              <w:jc w:val="center"/>
              <w:rPr>
                <w:sz w:val="20"/>
              </w:rPr>
            </w:pPr>
            <w:bookmarkStart w:id="21" w:name="xdx_90F_edei--Security12bTitle_c20260702"/>
            <w:bookmarkEnd w:id="21"/>
            <w:r>
              <w:rPr>
                <w:sz w:val="20"/>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2" w:type="dxa"/>
            <w:tcBorders/>
            <w:shd w:fill="FFFFFF" w:val="clear"/>
            <w:tcMar>
              <w:bottom w:w="0" w:type="dxa"/>
            </w:tcMar>
            <w:vAlign w:val="center"/>
          </w:tcPr>
          <w:p>
            <w:pPr>
              <w:pStyle w:val="TableContents"/>
              <w:bidi w:val="0"/>
              <w:spacing w:before="0" w:after="283"/>
              <w:jc w:val="center"/>
              <w:rPr>
                <w:sz w:val="20"/>
              </w:rPr>
            </w:pPr>
            <w:bookmarkStart w:id="22" w:name="xdx_90C_edei--TradingSymbol_c20260702__2"/>
            <w:bookmarkEnd w:id="22"/>
            <w:r>
              <w:rPr>
                <w:sz w:val="20"/>
              </w:rPr>
              <w:t>SOUNW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3"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C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7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SoundHound AI,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Lightspeed Merger Sub Inc., a Delaware corporation and an indirect wholly owned subsidiary of the Company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Lightspeed Merger Sub II Inc., a Delaware corporation and an indirect wholly owned subsidiary of the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together with Merger Sub I,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and LivePerson, Inc., a Delaware corporation (“</w:t>
      </w:r>
      <w:r>
        <w:rPr>
          <w:rFonts w:ascii="Times New Roman;Times;Serif" w:hAnsi="Times New Roman;Times;Serif"/>
          <w:b w:val="false"/>
          <w:i w:val="false"/>
          <w:caps w:val="false"/>
          <w:smallCaps w:val="false"/>
          <w:sz w:val="20"/>
          <w:u w:val="single"/>
        </w:rPr>
        <w:t>LivePerson</w:t>
      </w:r>
      <w:r>
        <w:rPr>
          <w:rFonts w:ascii="Times New Roman;Times;Serif" w:hAnsi="Times New Roman;Times;Serif"/>
          <w:b w:val="false"/>
          <w:i w:val="false"/>
          <w:caps w:val="false"/>
          <w:smallCaps w:val="false"/>
          <w:sz w:val="20"/>
        </w:rPr>
        <w:t>”) entered into an Amended and Restated Merger Agreement (the “</w:t>
      </w:r>
      <w:r>
        <w:rPr>
          <w:rFonts w:ascii="Times New Roman;Times;Serif" w:hAnsi="Times New Roman;Times;Serif"/>
          <w:b w:val="false"/>
          <w:i w:val="false"/>
          <w:caps w:val="false"/>
          <w:smallCaps w:val="false"/>
          <w:sz w:val="20"/>
          <w:u w:val="single"/>
        </w:rPr>
        <w:t>Amended and Restated Merger Agreement</w:t>
      </w:r>
      <w:r>
        <w:rPr>
          <w:rFonts w:ascii="Times New Roman;Times;Serif" w:hAnsi="Times New Roman;Times;Serif"/>
          <w:b w:val="false"/>
          <w:i w:val="false"/>
          <w:caps w:val="false"/>
          <w:smallCaps w:val="false"/>
          <w:sz w:val="20"/>
        </w:rPr>
        <w:t>”), which amends and restates in its entirety the Merger Agreement, dated as of April 21, 2026, by and among the Company, Merger Sub I and LivePerson (the “</w:t>
      </w:r>
      <w:r>
        <w:rPr>
          <w:rFonts w:ascii="Times New Roman;Times;Serif" w:hAnsi="Times New Roman;Times;Serif"/>
          <w:b w:val="false"/>
          <w:i w:val="false"/>
          <w:caps w:val="false"/>
          <w:smallCaps w:val="false"/>
          <w:sz w:val="20"/>
          <w:u w:val="single"/>
        </w:rPr>
        <w:t>Original Merger Agreement</w:t>
      </w:r>
      <w:r>
        <w:rPr>
          <w:rFonts w:ascii="Times New Roman;Times;Serif" w:hAnsi="Times New Roman;Times;Serif"/>
          <w:b w:val="false"/>
          <w:i w:val="false"/>
          <w:caps w:val="false"/>
          <w:smallCaps w:val="false"/>
          <w:sz w:val="20"/>
        </w:rPr>
        <w:t>”). Pursuant to the Amended and Restated Merger Agreement, on the terms and subject to the conditions set forth in the Amended and Restated Merger Agreement, Merger Sub I will merge with and into LivePerson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LivePerson surviving the First Merger as an indirect wholly owned subsidiary of the Company and, immediately following the First Merger, Merger Sub II will merge with and into LivePerson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LivePerson surviving the Second Merger as an indirect wholly owned subsidiary of the Company. All defined terms used in this summary of the Amended and Restated Merger Agreement that are not otherwise defined herein have the meanings ascribed to such terms in the Amended and Restated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Amended and Restated Merger Agreement, at the date and time the First Merger becomes effective (the “</w:t>
      </w:r>
      <w:r>
        <w:rPr>
          <w:rFonts w:ascii="Times New Roman;Times;Serif" w:hAnsi="Times New Roman;Times;Serif"/>
          <w:b w:val="false"/>
          <w:i w:val="false"/>
          <w:caps w:val="false"/>
          <w:smallCaps w:val="false"/>
          <w:sz w:val="20"/>
          <w:u w:val="single"/>
        </w:rPr>
        <w:t>First Effective Time</w:t>
      </w:r>
      <w:r>
        <w:rPr>
          <w:rFonts w:ascii="Times New Roman;Times;Serif" w:hAnsi="Times New Roman;Times;Serif"/>
          <w:b w:val="false"/>
          <w:i w:val="false"/>
          <w:caps w:val="false"/>
          <w:smallCaps w:val="false"/>
          <w:sz w:val="20"/>
        </w:rPr>
        <w:t>”), each share of common stock, par value $0.001 per share, of LivePerson (“</w:t>
      </w:r>
      <w:r>
        <w:rPr>
          <w:rFonts w:ascii="Times New Roman;Times;Serif" w:hAnsi="Times New Roman;Times;Serif"/>
          <w:b w:val="false"/>
          <w:i w:val="false"/>
          <w:caps w:val="false"/>
          <w:smallCaps w:val="false"/>
          <w:sz w:val="20"/>
          <w:u w:val="single"/>
        </w:rPr>
        <w:t>LivePerson Common Stock</w:t>
      </w:r>
      <w:r>
        <w:rPr>
          <w:rFonts w:ascii="Times New Roman;Times;Serif" w:hAnsi="Times New Roman;Times;Serif"/>
          <w:b w:val="false"/>
          <w:i w:val="false"/>
          <w:caps w:val="false"/>
          <w:smallCaps w:val="false"/>
          <w:sz w:val="20"/>
        </w:rPr>
        <w:t>”) issued and outstanding immediately prior to the First Effective Time (other than certain excluded shares, including TASE Shares (as defined below)) will be automatically converted into the right to receive a number of shares of Class A common stock of the Company, par value $0.0001 per share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equal to (a) the Closing Merger Consideration (as defined below), divided by (b) the total number of shares of LivePerson Common Stock that are issued and outstanding, or that are issuable upon the conversion, exercise or settlement in full of any rights to acquire LivePerson Common Stock, as of immediately prior to the First Effective Time (such number of shares, the “</w:t>
      </w:r>
      <w:r>
        <w:rPr>
          <w:rFonts w:ascii="Times New Roman;Times;Serif" w:hAnsi="Times New Roman;Times;Serif"/>
          <w:b w:val="false"/>
          <w:i w:val="false"/>
          <w:caps w:val="false"/>
          <w:smallCaps w:val="false"/>
          <w:sz w:val="20"/>
          <w:u w:val="single"/>
        </w:rPr>
        <w:t>Fully Diluted Common Number</w:t>
      </w:r>
      <w:r>
        <w:rPr>
          <w:rFonts w:ascii="Times New Roman;Times;Serif" w:hAnsi="Times New Roman;Times;Serif"/>
          <w:b w:val="false"/>
          <w:i w:val="false"/>
          <w:caps w:val="false"/>
          <w:smallCaps w:val="false"/>
          <w:sz w:val="20"/>
        </w:rPr>
        <w:t>”, and the result of the calculation set forth in the foregoing clauses (a) and (b), the “</w:t>
      </w:r>
      <w:r>
        <w:rPr>
          <w:rFonts w:ascii="Times New Roman;Times;Serif" w:hAnsi="Times New Roman;Times;Serif"/>
          <w:b w:val="false"/>
          <w:i w:val="false"/>
          <w:caps w:val="false"/>
          <w:smallCaps w:val="false"/>
          <w:sz w:val="20"/>
          <w:u w:val="single"/>
        </w:rPr>
        <w:t>Per Share 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consideration payable by the Company to holders of LivePerson Common Stock (other than certain excluded shares, including TASE Shares) in connection with the First Merger pursuant to the terms of the Amended and Restated Merger Agreement will be a number of shares of Company Common Stock equal to the quotient of (a) the Aggregate Consideration Amount (as defined below), divided by (b) the Company Closing Stock Price (the “</w:t>
      </w:r>
      <w:r>
        <w:rPr>
          <w:rFonts w:ascii="Times New Roman;Times;Serif" w:hAnsi="Times New Roman;Times;Serif"/>
          <w:b w:val="false"/>
          <w:i w:val="false"/>
          <w:caps w:val="false"/>
          <w:smallCaps w:val="false"/>
          <w:sz w:val="20"/>
          <w:u w:val="single"/>
        </w:rPr>
        <w:t>Closing 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Original Merger Agreement, the “</w:t>
      </w:r>
      <w:r>
        <w:rPr>
          <w:rFonts w:ascii="Times New Roman;Times;Serif" w:hAnsi="Times New Roman;Times;Serif"/>
          <w:b w:val="false"/>
          <w:i w:val="false"/>
          <w:caps w:val="false"/>
          <w:smallCaps w:val="false"/>
          <w:sz w:val="20"/>
          <w:u w:val="single"/>
        </w:rPr>
        <w:t>Aggregate Consideration Amount</w:t>
      </w:r>
      <w:r>
        <w:rPr>
          <w:rFonts w:ascii="Times New Roman;Times;Serif" w:hAnsi="Times New Roman;Times;Serif"/>
          <w:b w:val="false"/>
          <w:i w:val="false"/>
          <w:caps w:val="false"/>
          <w:smallCaps w:val="false"/>
          <w:sz w:val="20"/>
        </w:rPr>
        <w:t>” refers to an amount equal to (a) $42,784,532.64, minus (b) the LivePerson Shortfall Cash (as defined below), plus (c) the aggregate dollar amount of the exercise prices of all In-the-Money Options (as defined below) (other than options assumed by the Company and converted into an option to acquire shares of the Company Common Stock, in accordance with the terms of the Amended and Restated Merger Agreement). Consistent with the Original Merger Agreement, “</w:t>
      </w:r>
      <w:r>
        <w:rPr>
          <w:rFonts w:ascii="Times New Roman;Times;Serif" w:hAnsi="Times New Roman;Times;Serif"/>
          <w:b w:val="false"/>
          <w:i w:val="false"/>
          <w:caps w:val="false"/>
          <w:smallCaps w:val="false"/>
          <w:sz w:val="20"/>
          <w:u w:val="single"/>
        </w:rPr>
        <w:t>LivePerson Shortfall Cash</w:t>
      </w:r>
      <w:r>
        <w:rPr>
          <w:rFonts w:ascii="Times New Roman;Times;Serif" w:hAnsi="Times New Roman;Times;Serif"/>
          <w:b w:val="false"/>
          <w:i w:val="false"/>
          <w:caps w:val="false"/>
          <w:smallCaps w:val="false"/>
          <w:sz w:val="20"/>
        </w:rPr>
        <w:t>” refers to an amount equal to (x) $74,000,000 (or, solely for purposes of the Amended and Restated Merger Agreement, $71,000,000 if the Closing occurs in July), minus (y) the aggregate principal amount of LivePerson’s 0% convertible notes due 2026 (the “</w:t>
      </w:r>
      <w:r>
        <w:rPr>
          <w:rFonts w:ascii="Times New Roman;Times;Serif" w:hAnsi="Times New Roman;Times;Serif"/>
          <w:b w:val="false"/>
          <w:i w:val="false"/>
          <w:caps w:val="false"/>
          <w:smallCaps w:val="false"/>
          <w:sz w:val="20"/>
          <w:u w:val="single"/>
        </w:rPr>
        <w:t>2026 Convertible Notes</w:t>
      </w:r>
      <w:r>
        <w:rPr>
          <w:rFonts w:ascii="Times New Roman;Times;Serif" w:hAnsi="Times New Roman;Times;Serif"/>
          <w:b w:val="false"/>
          <w:i w:val="false"/>
          <w:caps w:val="false"/>
          <w:smallCaps w:val="false"/>
          <w:sz w:val="20"/>
        </w:rPr>
        <w:t>”) repurchased by LivePerson between April 1, 2026 and the Closing Date (the figure resulting from clause (x) minus clause (y), “</w:t>
      </w:r>
      <w:r>
        <w:rPr>
          <w:rFonts w:ascii="Times New Roman;Times;Serif" w:hAnsi="Times New Roman;Times;Serif"/>
          <w:b w:val="false"/>
          <w:i w:val="false"/>
          <w:caps w:val="false"/>
          <w:smallCaps w:val="false"/>
          <w:sz w:val="20"/>
          <w:u w:val="single"/>
        </w:rPr>
        <w:t>LivePerson Minimum Cash</w:t>
      </w:r>
      <w:r>
        <w:rPr>
          <w:rFonts w:ascii="Times New Roman;Times;Serif" w:hAnsi="Times New Roman;Times;Serif"/>
          <w:b w:val="false"/>
          <w:i w:val="false"/>
          <w:caps w:val="false"/>
          <w:smallCaps w:val="false"/>
          <w:sz w:val="20"/>
        </w:rPr>
        <w:t>”), minus (z) the cash and cash equivalents on LivePerson’s balance sheet as of 12:01 a.m. Pacific Time on the Closing Date (net of certain LivePerson transaction expenses) (the foregoing clause (z), the “</w:t>
      </w:r>
      <w:r>
        <w:rPr>
          <w:rFonts w:ascii="Times New Roman;Times;Serif" w:hAnsi="Times New Roman;Times;Serif"/>
          <w:b w:val="false"/>
          <w:i w:val="false"/>
          <w:caps w:val="false"/>
          <w:smallCaps w:val="false"/>
          <w:sz w:val="20"/>
          <w:u w:val="single"/>
        </w:rPr>
        <w:t>LivePerson Cash Balance</w:t>
      </w:r>
      <w:r>
        <w:rPr>
          <w:rFonts w:ascii="Times New Roman;Times;Serif" w:hAnsi="Times New Roman;Times;Serif"/>
          <w:b w:val="false"/>
          <w:i w:val="false"/>
          <w:caps w:val="false"/>
          <w:smallCaps w:val="false"/>
          <w:sz w:val="20"/>
        </w:rPr>
        <w:t>”); provided that, if a negative number results from such calculation, “LivePerson Shortfall Cash” will be $0. Consistent with the Original Merger Agreement, the “</w:t>
      </w:r>
      <w:r>
        <w:rPr>
          <w:rFonts w:ascii="Times New Roman;Times;Serif" w:hAnsi="Times New Roman;Times;Serif"/>
          <w:b w:val="false"/>
          <w:i w:val="false"/>
          <w:caps w:val="false"/>
          <w:smallCaps w:val="false"/>
          <w:sz w:val="20"/>
          <w:u w:val="single"/>
        </w:rPr>
        <w:t>Company Closing Stock Price</w:t>
      </w:r>
      <w:r>
        <w:rPr>
          <w:rFonts w:ascii="Times New Roman;Times;Serif" w:hAnsi="Times New Roman;Times;Serif"/>
          <w:b w:val="false"/>
          <w:i w:val="false"/>
          <w:caps w:val="false"/>
          <w:smallCaps w:val="false"/>
          <w:sz w:val="20"/>
        </w:rPr>
        <w:t>” refers to the price per share of Company Common Stock derived from the average of the daily volume weighted average prices of a share of Company Common Stock on the Nasdaq on each of the ten (10) consecutive trading days ending on (and including) the trading day that is three (3) trading days prior to the Closing Date, rounded down to the nearest penny, as reported by Bloomberg (such price per share, the “</w:t>
      </w:r>
      <w:r>
        <w:rPr>
          <w:rFonts w:ascii="Times New Roman;Times;Serif" w:hAnsi="Times New Roman;Times;Serif"/>
          <w:b w:val="false"/>
          <w:i w:val="false"/>
          <w:caps w:val="false"/>
          <w:smallCaps w:val="false"/>
          <w:sz w:val="20"/>
          <w:u w:val="single"/>
        </w:rPr>
        <w:t>Parent Closing VWAP Stock Price</w:t>
      </w:r>
      <w:r>
        <w:rPr>
          <w:rFonts w:ascii="Times New Roman;Times;Serif" w:hAnsi="Times New Roman;Times;Serif"/>
          <w:b w:val="false"/>
          <w:i w:val="false"/>
          <w:caps w:val="false"/>
          <w:smallCaps w:val="false"/>
          <w:sz w:val="20"/>
        </w:rPr>
        <w:t>”); provided that, in the event such price per share (I) exceeds $12 per share, “Company Closing Stock Price” will be $12 per share or (II) falls below $7 per share, “Company Closing Stock Price” will be $7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Original Merger Agreement, the Amended and Restated Merger Agreement provides that, at the First Effective Time, (i) each option to purchase shares of LivePerson Common Stock (a “</w:t>
      </w:r>
      <w:r>
        <w:rPr>
          <w:rFonts w:ascii="Times New Roman;Times;Serif" w:hAnsi="Times New Roman;Times;Serif"/>
          <w:b w:val="false"/>
          <w:i w:val="false"/>
          <w:caps w:val="false"/>
          <w:smallCaps w:val="false"/>
          <w:sz w:val="20"/>
          <w:u w:val="single"/>
        </w:rPr>
        <w:t>LivePerson Option</w:t>
      </w:r>
      <w:r>
        <w:rPr>
          <w:rFonts w:ascii="Times New Roman;Times;Serif" w:hAnsi="Times New Roman;Times;Serif"/>
          <w:b w:val="false"/>
          <w:i w:val="false"/>
          <w:caps w:val="false"/>
          <w:smallCaps w:val="false"/>
          <w:sz w:val="20"/>
        </w:rPr>
        <w:t>”) with a per-share exercise price less than the product of the Per Share Merger Consideration multiplied by the Company Closing Stock Price (each, an “</w:t>
      </w:r>
      <w:r>
        <w:rPr>
          <w:rFonts w:ascii="Times New Roman;Times;Serif" w:hAnsi="Times New Roman;Times;Serif"/>
          <w:b w:val="false"/>
          <w:i w:val="false"/>
          <w:caps w:val="false"/>
          <w:smallCaps w:val="false"/>
          <w:sz w:val="20"/>
          <w:u w:val="single"/>
        </w:rPr>
        <w:t>In-the-Money Option</w:t>
      </w:r>
      <w:r>
        <w:rPr>
          <w:rFonts w:ascii="Times New Roman;Times;Serif" w:hAnsi="Times New Roman;Times;Serif"/>
          <w:b w:val="false"/>
          <w:i w:val="false"/>
          <w:caps w:val="false"/>
          <w:smallCaps w:val="false"/>
          <w:sz w:val="20"/>
        </w:rPr>
        <w:t>”) and held by any individual who is not an “employee” of the Company within the meaning of Form S-8 as of immediately after the date and time the Second Merger becomes effective (the “</w:t>
      </w:r>
      <w:r>
        <w:rPr>
          <w:rFonts w:ascii="Times New Roman;Times;Serif" w:hAnsi="Times New Roman;Times;Serif"/>
          <w:b w:val="false"/>
          <w:i w:val="false"/>
          <w:caps w:val="false"/>
          <w:smallCaps w:val="false"/>
          <w:sz w:val="20"/>
          <w:u w:val="single"/>
        </w:rPr>
        <w:t>Second Effective Time</w:t>
      </w:r>
      <w:r>
        <w:rPr>
          <w:rFonts w:ascii="Times New Roman;Times;Serif" w:hAnsi="Times New Roman;Times;Serif"/>
          <w:b w:val="false"/>
          <w:i w:val="false"/>
          <w:caps w:val="false"/>
          <w:smallCaps w:val="false"/>
          <w:sz w:val="20"/>
        </w:rPr>
        <w:t>”) will be entitled to receive the Per Share Merger Consideration applicable to the number of shares covered by such LivePerson Option, net of the applicable exercise price and less applicable tax withholdings; (ii) each LivePerson Option that is not an In-the-Money Option will be cancelled for no consideration; (iii) restricted stock units with respect to shares of LivePerson Common Stock (the “</w:t>
      </w:r>
      <w:r>
        <w:rPr>
          <w:rFonts w:ascii="Times New Roman;Times;Serif" w:hAnsi="Times New Roman;Times;Serif"/>
          <w:b w:val="false"/>
          <w:i w:val="false"/>
          <w:caps w:val="false"/>
          <w:smallCaps w:val="false"/>
          <w:sz w:val="20"/>
          <w:u w:val="single"/>
        </w:rPr>
        <w:t>LivePerson RSUs</w:t>
      </w:r>
      <w:r>
        <w:rPr>
          <w:rFonts w:ascii="Times New Roman;Times;Serif" w:hAnsi="Times New Roman;Times;Serif"/>
          <w:b w:val="false"/>
          <w:i w:val="false"/>
          <w:caps w:val="false"/>
          <w:smallCaps w:val="false"/>
          <w:sz w:val="20"/>
        </w:rPr>
        <w:t>”) held by non-employee directors of LivePerson and each LivePerson RSU that has vested but not yet settled will be entitled to receive the Per Share Merger Consideration in respect of each LivePerson RSU, less applicable tax withholdings; (iv) all other In-the-Money Options and LivePerson RSUs will be assumed by the Company and converted into corresponding awards denominated in shares of Company Common Stock in accordance with the terms set forth in the Amended and Restated Merger Agreement, which are consistent with the terms of the Original Merger Agreement, and (v) all warrants to purchase shares of LivePerson Common Stock will be cancelled for no consideration. Consistent with the Original Merger Agreement, the Amended and Restated Merger Agreement also provides that in the event the treatment, as set forth in (i)-(iv) above, of any LivePerson Options or LivePerson RSUs held by persons outside of the United States would be administratively burdensome to the Company, the Company may either cash out such equity awards or convert them into cash-based awards that continue to vest on the same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Amended and Restated Merger Agreement, at the Second Effective Time, each share of LivePerson Common Stock that is held through the Tel-Aviv Stock Exchange Clearing House Ltd. (each, a “</w:t>
      </w:r>
      <w:r>
        <w:rPr>
          <w:rFonts w:ascii="Times New Roman;Times;Serif" w:hAnsi="Times New Roman;Times;Serif"/>
          <w:b w:val="false"/>
          <w:i w:val="false"/>
          <w:caps w:val="false"/>
          <w:smallCaps w:val="false"/>
          <w:sz w:val="20"/>
          <w:u w:val="single"/>
        </w:rPr>
        <w:t>TASE Share</w:t>
      </w:r>
      <w:r>
        <w:rPr>
          <w:rFonts w:ascii="Times New Roman;Times;Serif" w:hAnsi="Times New Roman;Times;Serif"/>
          <w:b w:val="false"/>
          <w:i w:val="false"/>
          <w:caps w:val="false"/>
          <w:smallCaps w:val="false"/>
          <w:sz w:val="20"/>
        </w:rPr>
        <w:t>”) and issued and outstanding immediately prior to the Second Effective Time (other than any Dissenting Shares (as defined below)) will be automatically converted into the right to receive an amount in cash equal to (a) the Closing TASE Cash Merger Consideration (as defined below), divided by (b) the total number of TASE Shares that are issued and outstanding as of immediately prior to the Second Effective Time (such number of shares, the “</w:t>
      </w:r>
      <w:r>
        <w:rPr>
          <w:rFonts w:ascii="Times New Roman;Times;Serif" w:hAnsi="Times New Roman;Times;Serif"/>
          <w:b w:val="false"/>
          <w:i w:val="false"/>
          <w:caps w:val="false"/>
          <w:smallCaps w:val="false"/>
          <w:sz w:val="20"/>
          <w:u w:val="single"/>
        </w:rPr>
        <w:t>Fully Diluted TASE Common Number</w:t>
      </w:r>
      <w:r>
        <w:rPr>
          <w:rFonts w:ascii="Times New Roman;Times;Serif" w:hAnsi="Times New Roman;Times;Serif"/>
          <w:b w:val="false"/>
          <w:i w:val="false"/>
          <w:caps w:val="false"/>
          <w:smallCaps w:val="false"/>
          <w:sz w:val="20"/>
        </w:rPr>
        <w:t>”, and the result of the calculation set forth in the foregoing clauses (a) and (b), the “</w:t>
      </w:r>
      <w:r>
        <w:rPr>
          <w:rFonts w:ascii="Times New Roman;Times;Serif" w:hAnsi="Times New Roman;Times;Serif"/>
          <w:b w:val="false"/>
          <w:i w:val="false"/>
          <w:caps w:val="false"/>
          <w:smallCaps w:val="false"/>
          <w:sz w:val="20"/>
          <w:u w:val="single"/>
        </w:rPr>
        <w:t>Per Share Cash 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cash consideration payable by the Company to holders of TASE Shares (other than Dissenting Shares) in connection with the Second Merger pursuant to the terms of the Amended and Restated Merger Agreement will be an amount in cash equal to (a) the Closing Merger Consideration, multiplied by (b) the Company Closing VWAP Stock Price, multiplied by (c) a fraction, the numerator of which is the Fully Diluted TASE Common Number, and the denominator of which is the Fully Diluted Common Number (the “</w:t>
      </w:r>
      <w:r>
        <w:rPr>
          <w:rFonts w:ascii="Times New Roman;Times;Serif" w:hAnsi="Times New Roman;Times;Serif"/>
          <w:b w:val="false"/>
          <w:i w:val="false"/>
          <w:caps w:val="false"/>
          <w:smallCaps w:val="false"/>
          <w:sz w:val="20"/>
          <w:u w:val="single"/>
        </w:rPr>
        <w:t>Closing TASE Cash Merger Consideration</w:t>
      </w:r>
      <w:r>
        <w:rPr>
          <w:rFonts w:ascii="Times New Roman;Times;Serif" w:hAnsi="Times New Roman;Times;Serif"/>
          <w:b w:val="false"/>
          <w:i w:val="false"/>
          <w:caps w:val="false"/>
          <w:smallCaps w:val="false"/>
          <w:sz w:val="20"/>
        </w:rPr>
        <w:t>”); provided that, in the event such amount exceeds $7,500,000, “Closing TASE Cash Merger Consideration” will be $7,500,000.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TASE Shares that are issued and outstanding immediately prior to the Second Effective Time and held by a holder or beneficial owner who did not vote in favor of the adoption of the Amended and Restated Merger Agreement and properly demanded appraisal of such TASE Shares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in accordance with Section 262 of the DGCL will not be converted into the right to receive the Per Share Cash Merger Consideration and will instead, at the Second Effective Time, be converted into the right to receive payment of the fair value of such Dissenting Shares in accordance with the terms of the Amended and Restated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the Mergers will not qualify as a tax-free reorganization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Original Merger Agreement, under the terms of the Amended and Restated Merger Agreement, completion of the Mergers is subject to customary closing conditions, including, among others (a) the adoption of the Amended and Restated Merger Agreement by the stockholders of LivePerson; (b) the absence of any law, order or other legal impediment prohibiting the consummation of the Mergers; (c) the receipt of approvals under certain applicable foreign direct investment laws; (d) the approval for listing the shares of Company Common Stock issuable to the stockholders of LivePerson pursuant to the Amended and Restated Merger Agreement on the Nasdaq; (e) the effectiveness of the Company’s registration statement on Form S-4; (f) the accuracy of the parties’ respective representations and warranties in the Amended and Restated Merger Agreement, subject to specified materiality qualifications; (g) the performance or compliance by the Company and LivePerson with the covenants in the Amended and Restated Merger Agreement in all material respects; (h) the absence of a material adverse effect on LivePerson (as defined in the Amended and Restated Merger Agreement); and (i) the consummation of the Notes Restructuring Transactions (as in the Amended and Restated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Original Merger Agreement, the Amended and Restated Merger Agreement contains customary representations, warranties and covenants made by each of the Company, Merger Subs and LivePerson, including, among others, covenants by LivePerson regarding the conduct of its business during the pendency of the transactions contemplated by the Amended and Restated Merger Agreement, public disclosures and other matters. LivePerson is required, among other things, not to solicit alternative business combination transactions and, subject to certain exceptions, not to engage in discussions or negotiations regarding an alternative business combination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Original Merger Agreement, both the Company and LivePerson may terminate the Amended and Restated Merger Agreement under specified circumstances, including (a) if the Mergers are not completed by October 21, 2026 (which date may be extended to December 5, 2026 if certain regulatory approvals have not been obtained); (b) if LivePerson fails to obtain stockholder approval; (c) if the board of directors of LivePerson makes an adverse recommendation change with respect to the Mergers or commits a material breach of its non-solicitation obligations; (d) if the board of directors of LivePerson terminates to accept a superior acquisition proposal; or (e) if the Notes Restructuring Transactions are terminated for any reason. Consistent with the Original Merger Agreement, the Amended and Restated Merger Agreement further provides that LivePerson is required to pay the Company a termination fee of $5,000,000, plus the Company’s transaction expenses, if the Amended and Restated Merger Agreement is terminated under certain specified circumstances, including if the board of directors of LivePerson changes or withdraws its recommendation of the Mergers, terminates the Amended and Restated Merger Agreement to enter into an agreement with respect to a superior acquisition proposal or if the Notes Restructuring Transactions terminate for any reason or otherwise fail to consummate by the Outside Date (as defined in the Amended and Restated Merger Agreement), except where such termination or failure to consummate primarily resulted from the Company’s material breach of the Notes Restructuring Agreement (as defined in the Amended and Restated Merger Agreement); provided that where a termination fee is payable in connection with the failure to consummate, or termination of, the Note Restructuring Transactions, the obligation to reimburse the Company’s transaction expenses will be capped at $3,750,000.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Original Merger Agreement, the Amended and Restated Merger Agreement and the consummation of the transactions contemplated thereby, including the Mergers, have been unanimously approved by LivePerson’s board of directors, and LivePerson’s board of directors has resolved to recommend to the stockholders of LivePerson to adopt the Amended and Restated Merger Agreement, subject to its 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Merger Agreement is attached hereto as Exhibit 2.1 and is incorporated herein by reference. The foregoing description does not purport to be complete and is subject to and qualified in its entirety by reference to the Amended and Restated Merger Agreement. The Amended and Restated Merger Agreement has been attached to provide investors with information regarding its terms. It is not intended to provide any other factual information about the Company, Merger Subs or LivePerson. In particular, the assertions embodied in the representations and warranties contained in the Amended and Restated Merger Agreement are qualified by information in a confidential disclosure letter provided by LivePerson to the Company in connection with the signing of the Original Merger Agreement and in filings of the parties with the United States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The confidential disclosure letter contains information that modifies, qualifies and creates exceptions to the representations and warranties and certain covenants set forth in the Amended and Restated Merger Agreement. Moreover, the representations and warranties in the Amended and Restated Merger Agreement were used for the purposes of allocating risk between the Company and LivePerson rather than establishing matters of fact. Accordingly, the representations and warranties in the Amended and Restated Merger Agreement should not be relied on as characterization of the actual state of facts about the Company, Merger Subs or LivePerson.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statements regarding the Company, LivePerson, the proposed transactions described herein and other matters that are forward-looking statements within the meaning of Section 27A of the Securities Act of 1933, as amended, and Section 21E of the Securities Exchange Act of 1934, as amended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the Company’s or LivePerson’s expected future financial position, results of operations, business strategy, production capacity, competitive positions, growth opportunities, employment opportunities and mobility, plans and objectives of management and (ii) the Company’s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the Company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failure to timely or at all obtain LivePerson stockholder approval for the Mergers; (c) the inability to obtain required regulatory approvals for the Mergers; (d) the timing of obtaining such approvals and the risk that such approvals may result in the imposition of conditions that could adversely affect the combined company or the expected benefits of the proposed transactions; (e) the risk that a condition to closing of the proposed transactions may not be satisfied on a timely basis or at all; (f) the possible occurrence of an event, change or other circumstance that would give rise to the termination of the Amended and Restated Merger Agreement; (g) the risk of stockholder litigation in connection with the Mergers, including resulting expense or delay in closing of the proposed transactions; (h) the failure of the proposed transactions to close for any other reason; (i) the diversion of the attention of the Company and LivePerson management from ongoing business operations; (j) unexpected costs, liabilities, charges or expenses resulting from the proposed transactions; (k) the risk that the integration of the Company and LivePerson will be more difficult, time-consuming or expensive than anticipated; (l) the risk of customer loss or other business disruption in connection with the proposed transactions, or of the loss of key employees; (m) the fact that unforeseen liabilities of the Company or LivePerson may exist; (n) changes in applicable laws or regulations and extensive and evolving government regulations that impact the Company’s or LivePerson’s operations and business; (o) investigations, claims, disputes, enforcement actions, litigation and/or other regulatory or legal proceedings, including with respect to AI technology; (p) risks that the Company may not be able to manage strains associated with its growth; (q) dependence on key personnel; (r) stock price volatility; (s) the Company’s and LivePerson’s ability to protect their intellectual property and litigation risks; (t) the risk that LivePerson’s usage patterns, customer renewals, customer outcomes and similar metrics differ from expectations; (u) the risk of cybersecurity incidents or breaches impacting LivePerson’s business; (v) the risks related to the use and regulation of artificial intelligence and machine learning; (w) general economic, financial, legal, political and business conditions; and (x) other risks inherent in the Company’s and LivePerson’s businesses.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factors are difficult to predict, are beyond the Company’s and LivePerson’s control, and are subject to additional risks and uncertainties, including those detailed in the Company’s annual report on Form 10-K for the year ended December 31, 2025 and those detailed in LivePerson’s annual report on Form 10-K for the year ended December 31, 2025 and LivePerson’s Quarterly Report on Form 10-Q for the quarterly period ended March 31, 2026. These risks, as well as other risks related to the proposed transaction, are included in the Form S-4 and proxy statement/prospectus (each as defined below) that the Company filed and LivePerson intends to file with the SEC in connection with the proposed transaction. Forward-looking statements are based on the estimates and opinions of management at the time the statements are made. Neither the Company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the Company filed with the SEC a registration statement on Form S-4 (the “Form S-4”) that includes a proxy statement of LivePerson and that also constitutes a prospectus of the Company with respect to the shares of the Company common stock to be issued in the proposed transaction (the “proxy statement/prospectus”). The definitive proxy statement/prospectus (if and when available) will be filed with the SEC by, and mailed to shareholders of, LivePerson. Each of the Company and LivePerson may also file other relevant documents with the SEC regarding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a substitute for the Form S-4, the proxy statement/prospectus or any other document that the Company or LivePerson filed or may file with the SEC in connection with the proposed transaction. INVESTORS AND SECURITY HOLDERS OF SOUNDHOUND AND LIVEPERSON ARE URGED TO READ THE FORM S-4, THE PROXY STATEMENT/PROSPECTUS AND ANY OTHER RELEVANT DOCUMENTS FILED WITH THE SEC, AS WELL AS ANY AMENDMENTS OR SUPPLEMENTS TO THOSE DOCUMENTS, CAREFULLY IN THEIR ENTIRETY BECAUSE THEY CONTAIN OR WILL CONTAIN, AS APPLICABLE, IMPORTANT INFORMATION ABOUT THE PROPOSED TRANSACTION. Investors and security holders will be able to obtain copies of these documents (if and when available), as well as other filings containing information about the Company and LivePerson, free of charge on the SEC’s website at www.sec.gov. Copies of the documents filed with, or furnished to, the SEC by the Company will be available free of charge on the Company’s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the Company’s or LivePerson’s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LivePerson and their respective directors and executive officers may be deemed to be participants in the solicitation of proxies with respect to the proposed transaction under the rules of the SEC. Information about the directors and executive officers of the Company, including a description of their direct or indirect interests, by security holdings or otherwise, is set forth in the Company’s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“Ownership of Securities” included in LivePerson's definitive proxy statement in connection with its Special Meeting of Stockholders, which was filed with the SEC on September 17, 2025 and is available at https://www.sec.gov/ix?doc=/Archives/edgar/data/1102993/000110299325000159/lpsn-20250917.htm; in the Form 3 and Form 4 statements of beneficial ownership and statements of changes in beneficial ownership filed with the SEC by LivePerson's directors and executive officers; and in other documents filed by LivePerson with the SEC. Additional information regarding the interests of the participants in the solicitation of proxies is included in the Form S-4, the proxy statement/prospectus and other relevant materials filed with the SEC. You should read the Form S-4 and the proxy statement/prospectus carefully before making any voting or investment decisions. You may obtain free copies of these documents using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858"/>
        <w:gridCol w:w="60"/>
        <w:gridCol w:w="9287"/>
      </w:tblGrid>
      <w:tr>
        <w:trPr/>
        <w:tc>
          <w:tcPr>
            <w:tcW w:w="858"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87"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Description</w:t>
            </w:r>
          </w:p>
        </w:tc>
      </w:tr>
      <w:tr>
        <w:trPr/>
        <w:tc>
          <w:tcPr>
            <w:tcW w:w="858" w:type="dxa"/>
            <w:tcBorders/>
            <w:shd w:fill="CCEEFF" w:val="clear"/>
            <w:tcMar>
              <w:bottom w:w="0" w:type="dxa"/>
            </w:tcMar>
            <w:vAlign w:val="center"/>
          </w:tcPr>
          <w:p>
            <w:pPr>
              <w:pStyle w:val="TableContents"/>
              <w:bidi w:val="0"/>
              <w:spacing w:before="0" w:after="283"/>
              <w:jc w:val="left"/>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87" w:type="dxa"/>
            <w:tcBorders/>
            <w:shd w:fill="CCEEFF" w:val="clear"/>
            <w:tcMar>
              <w:bottom w:w="0" w:type="dxa"/>
            </w:tcMar>
            <w:vAlign w:val="center"/>
          </w:tcPr>
          <w:p>
            <w:pPr>
              <w:pStyle w:val="TableContents"/>
              <w:bidi w:val="0"/>
              <w:spacing w:before="0" w:after="283"/>
              <w:jc w:val="both"/>
              <w:rPr/>
            </w:pPr>
            <w:hyperlink w:anchor="ea029685601ex2-1.htm">
              <w:r>
                <w:rPr>
                  <w:rStyle w:val="InternetLink"/>
                  <w:sz w:val="20"/>
                </w:rPr>
                <w:t>Amended and Restated</w:t>
              </w:r>
            </w:hyperlink>
            <w:hyperlink w:anchor="ea029685601ex2-1.htm">
              <w:r>
                <w:rPr>
                  <w:rStyle w:val="InternetLink"/>
                </w:rPr>
                <w:t xml:space="preserve"> </w:t>
              </w:r>
            </w:hyperlink>
            <w:hyperlink w:anchor="ea029685601ex2-1.htm">
              <w:r>
                <w:rPr>
                  <w:rStyle w:val="InternetLink"/>
                  <w:sz w:val="20"/>
                </w:rPr>
                <w:t>Merger Agreement, dated as of July 2, 2026, by and among SoundHound AI, Inc., Lightspeed Merger Sub Inc., Lightspeed Merger Sub II Inc. and LivePerson, Inc.</w:t>
              </w:r>
            </w:hyperlink>
          </w:p>
        </w:tc>
      </w:tr>
      <w:tr>
        <w:trPr/>
        <w:tc>
          <w:tcPr>
            <w:tcW w:w="858"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7"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Schedules and exhibits have been omitted pursuant to Item 601(a)(5) and (a)(6) of Regulation S-K. The Company hereby undertakes to furnish supplemental copies of any of the omitted schedules and exhibits upon request by the SEC.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20" w:type="dxa"/>
        <w:jc w:val="left"/>
        <w:tblInd w:w="0" w:type="dxa"/>
        <w:tblLayout w:type="fixed"/>
        <w:tblCellMar>
          <w:top w:w="0" w:type="dxa"/>
          <w:left w:w="0" w:type="dxa"/>
          <w:bottom w:w="0" w:type="dxa"/>
          <w:right w:w="0" w:type="dxa"/>
        </w:tblCellMar>
      </w:tblPr>
      <w:tblGrid>
        <w:gridCol w:w="1520"/>
        <w:gridCol w:w="545"/>
        <w:gridCol w:w="1955"/>
      </w:tblGrid>
      <w:tr>
        <w:trPr/>
        <w:tc>
          <w:tcPr>
            <w:tcW w:w="152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b/>
                <w:smallCaps/>
                <w:sz w:val="20"/>
              </w:rPr>
            </w:pPr>
            <w:r>
              <w:rPr>
                <w:b/>
                <w:smallCaps/>
                <w:sz w:val="20"/>
              </w:rPr>
              <w:t>SOUNDHOUND AI, INC.</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Date: July 2, 2026</w:t>
            </w:r>
          </w:p>
        </w:tc>
        <w:tc>
          <w:tcPr>
            <w:tcW w:w="545" w:type="dxa"/>
            <w:tcBorders/>
            <w:vAlign w:val="center"/>
          </w:tcPr>
          <w:p>
            <w:pPr>
              <w:pStyle w:val="TableContents"/>
              <w:bidi w:val="0"/>
              <w:spacing w:before="0" w:after="283"/>
              <w:jc w:val="left"/>
              <w:rPr>
                <w:sz w:val="20"/>
              </w:rPr>
            </w:pPr>
            <w:r>
              <w:rPr>
                <w:sz w:val="20"/>
              </w:rPr>
              <w:t>By:</w:t>
            </w:r>
          </w:p>
        </w:tc>
        <w:tc>
          <w:tcPr>
            <w:tcW w:w="1955"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Keyvan Mohajer</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Keyvan Mohajer</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5" w:name="ea029685601ex2-1.htm"/>
      <w:bookmarkStart w:id="26" w:name="ksea029685601ex21"/>
      <w:bookmarkEnd w:id="25"/>
      <w:bookmarkEnd w:id="26"/>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AmendED and RESTATED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MERGER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by and among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soundhound ai,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lightspeed merger sub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lightspeed Merger Sub II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AND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LIVEPERSON,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Dated as of JuLY 2,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589" w:type="dxa"/>
        <w:jc w:val="left"/>
        <w:tblInd w:w="0" w:type="dxa"/>
        <w:tblLayout w:type="fixed"/>
        <w:tblCellMar>
          <w:top w:w="0" w:type="dxa"/>
          <w:left w:w="0" w:type="dxa"/>
          <w:bottom w:w="0" w:type="dxa"/>
          <w:right w:w="0" w:type="dxa"/>
        </w:tblCellMar>
      </w:tblPr>
      <w:tblGrid>
        <w:gridCol w:w="692"/>
        <w:gridCol w:w="7367"/>
        <w:gridCol w:w="530"/>
      </w:tblGrid>
      <w:tr>
        <w:trPr/>
        <w:tc>
          <w:tcPr>
            <w:tcW w:w="8059" w:type="dxa"/>
            <w:gridSpan w:val="2"/>
            <w:tcBorders/>
            <w:shd w:fill="FFFFFF" w:val="clear"/>
            <w:vAlign w:val="center"/>
          </w:tcPr>
          <w:p>
            <w:pPr>
              <w:pStyle w:val="TableContents"/>
              <w:bidi w:val="0"/>
              <w:spacing w:before="0" w:after="283"/>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8059" w:type="dxa"/>
            <w:gridSpan w:val="2"/>
            <w:tcBorders/>
            <w:shd w:fill="CCEEFF" w:val="clear"/>
            <w:vAlign w:val="center"/>
          </w:tcPr>
          <w:p>
            <w:pPr>
              <w:pStyle w:val="TableContents"/>
              <w:bidi w:val="0"/>
              <w:spacing w:before="0" w:after="283"/>
              <w:jc w:val="left"/>
              <w:rPr/>
            </w:pPr>
            <w:r>
              <w:rPr/>
              <w:t>ARTICLE 1 THE MERGERS</w:t>
            </w:r>
          </w:p>
        </w:tc>
        <w:tc>
          <w:tcPr>
            <w:tcW w:w="530" w:type="dxa"/>
            <w:tcBorders/>
            <w:shd w:fill="CCEEFF" w:val="clear"/>
            <w:vAlign w:val="center"/>
          </w:tcPr>
          <w:p>
            <w:pPr>
              <w:pStyle w:val="TableContents"/>
              <w:bidi w:val="0"/>
              <w:spacing w:before="0" w:after="283"/>
              <w:jc w:val="center"/>
              <w:rPr/>
            </w:pPr>
            <w:r>
              <w:rPr/>
              <w:t>3</w:t>
            </w:r>
          </w:p>
        </w:tc>
      </w:tr>
      <w:tr>
        <w:trPr/>
        <w:tc>
          <w:tcPr>
            <w:tcW w:w="8059" w:type="dxa"/>
            <w:gridSpan w:val="2"/>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92" w:type="dxa"/>
            <w:tcBorders/>
            <w:shd w:fill="CCEEFF" w:val="clear"/>
            <w:vAlign w:val="center"/>
          </w:tcPr>
          <w:p>
            <w:pPr>
              <w:pStyle w:val="TableContents"/>
              <w:bidi w:val="0"/>
              <w:spacing w:before="0" w:after="283"/>
              <w:jc w:val="left"/>
              <w:rPr/>
            </w:pPr>
            <w:r>
              <w:rPr/>
              <w:t>1.1</w:t>
            </w:r>
          </w:p>
        </w:tc>
        <w:tc>
          <w:tcPr>
            <w:tcW w:w="7367" w:type="dxa"/>
            <w:tcBorders/>
            <w:shd w:fill="CCEEFF" w:val="clear"/>
            <w:vAlign w:val="center"/>
          </w:tcPr>
          <w:p>
            <w:pPr>
              <w:pStyle w:val="TableContents"/>
              <w:bidi w:val="0"/>
              <w:spacing w:before="0" w:after="283"/>
              <w:jc w:val="left"/>
              <w:rPr/>
            </w:pPr>
            <w:r>
              <w:rPr/>
              <w:t>The Mergers</w:t>
            </w:r>
          </w:p>
        </w:tc>
        <w:tc>
          <w:tcPr>
            <w:tcW w:w="530" w:type="dxa"/>
            <w:tcBorders/>
            <w:shd w:fill="CCEEFF" w:val="clear"/>
            <w:vAlign w:val="center"/>
          </w:tcPr>
          <w:p>
            <w:pPr>
              <w:pStyle w:val="TableContents"/>
              <w:bidi w:val="0"/>
              <w:spacing w:before="0" w:after="283"/>
              <w:jc w:val="center"/>
              <w:rPr/>
            </w:pPr>
            <w:r>
              <w:rPr/>
              <w:t>3</w:t>
            </w:r>
          </w:p>
        </w:tc>
      </w:tr>
      <w:tr>
        <w:trPr/>
        <w:tc>
          <w:tcPr>
            <w:tcW w:w="692" w:type="dxa"/>
            <w:tcBorders/>
            <w:shd w:fill="FFFFFF" w:val="clear"/>
            <w:vAlign w:val="center"/>
          </w:tcPr>
          <w:p>
            <w:pPr>
              <w:pStyle w:val="TableContents"/>
              <w:bidi w:val="0"/>
              <w:spacing w:before="0" w:after="283"/>
              <w:jc w:val="left"/>
              <w:rPr/>
            </w:pPr>
            <w:r>
              <w:rPr/>
              <w:t>1.2</w:t>
            </w:r>
          </w:p>
        </w:tc>
        <w:tc>
          <w:tcPr>
            <w:tcW w:w="7367" w:type="dxa"/>
            <w:tcBorders/>
            <w:shd w:fill="FFFFFF" w:val="clear"/>
            <w:vAlign w:val="center"/>
          </w:tcPr>
          <w:p>
            <w:pPr>
              <w:pStyle w:val="TableContents"/>
              <w:bidi w:val="0"/>
              <w:spacing w:before="0" w:after="283"/>
              <w:jc w:val="left"/>
              <w:rPr/>
            </w:pPr>
            <w:r>
              <w:rPr/>
              <w:t>Closing and Effective Times of the Mergers</w:t>
            </w:r>
          </w:p>
        </w:tc>
        <w:tc>
          <w:tcPr>
            <w:tcW w:w="530" w:type="dxa"/>
            <w:tcBorders/>
            <w:shd w:fill="FFFFFF" w:val="clear"/>
            <w:vAlign w:val="center"/>
          </w:tcPr>
          <w:p>
            <w:pPr>
              <w:pStyle w:val="TableContents"/>
              <w:bidi w:val="0"/>
              <w:spacing w:before="0" w:after="283"/>
              <w:jc w:val="center"/>
              <w:rPr/>
            </w:pPr>
            <w:r>
              <w:rPr/>
              <w:t>4</w:t>
            </w:r>
          </w:p>
        </w:tc>
      </w:tr>
      <w:tr>
        <w:trPr/>
        <w:tc>
          <w:tcPr>
            <w:tcW w:w="692" w:type="dxa"/>
            <w:tcBorders/>
            <w:shd w:fill="CCEEFF" w:val="clear"/>
            <w:vAlign w:val="center"/>
          </w:tcPr>
          <w:p>
            <w:pPr>
              <w:pStyle w:val="TableContents"/>
              <w:bidi w:val="0"/>
              <w:spacing w:before="0" w:after="283"/>
              <w:jc w:val="left"/>
              <w:rPr/>
            </w:pPr>
            <w:r>
              <w:rPr/>
              <w:t> </w:t>
            </w:r>
          </w:p>
        </w:tc>
        <w:tc>
          <w:tcPr>
            <w:tcW w:w="7367"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8059" w:type="dxa"/>
            <w:gridSpan w:val="2"/>
            <w:tcBorders/>
            <w:shd w:fill="FFFFFF" w:val="clear"/>
            <w:vAlign w:val="center"/>
          </w:tcPr>
          <w:p>
            <w:pPr>
              <w:pStyle w:val="TableContents"/>
              <w:bidi w:val="0"/>
              <w:spacing w:before="0" w:after="283"/>
              <w:jc w:val="left"/>
              <w:rPr/>
            </w:pPr>
            <w:r>
              <w:rPr/>
              <w:t>ARTICLE 2 CONVERSION OF SECURITIES IN THE MERGER</w:t>
            </w:r>
          </w:p>
        </w:tc>
        <w:tc>
          <w:tcPr>
            <w:tcW w:w="530" w:type="dxa"/>
            <w:tcBorders/>
            <w:shd w:fill="FFFFFF" w:val="clear"/>
            <w:vAlign w:val="center"/>
          </w:tcPr>
          <w:p>
            <w:pPr>
              <w:pStyle w:val="TableContents"/>
              <w:bidi w:val="0"/>
              <w:spacing w:before="0" w:after="283"/>
              <w:jc w:val="center"/>
              <w:rPr/>
            </w:pPr>
            <w:r>
              <w:rPr/>
              <w:t>4</w:t>
            </w:r>
          </w:p>
        </w:tc>
      </w:tr>
      <w:tr>
        <w:trPr/>
        <w:tc>
          <w:tcPr>
            <w:tcW w:w="8059" w:type="dxa"/>
            <w:gridSpan w:val="2"/>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692" w:type="dxa"/>
            <w:tcBorders/>
            <w:shd w:fill="FFFFFF" w:val="clear"/>
            <w:vAlign w:val="center"/>
          </w:tcPr>
          <w:p>
            <w:pPr>
              <w:pStyle w:val="TableContents"/>
              <w:bidi w:val="0"/>
              <w:spacing w:before="0" w:after="283"/>
              <w:jc w:val="left"/>
              <w:rPr/>
            </w:pPr>
            <w:r>
              <w:rPr/>
              <w:t>2.1</w:t>
            </w:r>
          </w:p>
        </w:tc>
        <w:tc>
          <w:tcPr>
            <w:tcW w:w="7367" w:type="dxa"/>
            <w:tcBorders/>
            <w:shd w:fill="FFFFFF" w:val="clear"/>
            <w:vAlign w:val="center"/>
          </w:tcPr>
          <w:p>
            <w:pPr>
              <w:pStyle w:val="TableContents"/>
              <w:bidi w:val="0"/>
              <w:spacing w:before="0" w:after="283"/>
              <w:jc w:val="left"/>
              <w:rPr/>
            </w:pPr>
            <w:r>
              <w:rPr/>
              <w:t>Conversion of Securities</w:t>
            </w:r>
          </w:p>
        </w:tc>
        <w:tc>
          <w:tcPr>
            <w:tcW w:w="530" w:type="dxa"/>
            <w:tcBorders/>
            <w:shd w:fill="FFFFFF" w:val="clear"/>
            <w:vAlign w:val="center"/>
          </w:tcPr>
          <w:p>
            <w:pPr>
              <w:pStyle w:val="TableContents"/>
              <w:bidi w:val="0"/>
              <w:spacing w:before="0" w:after="283"/>
              <w:jc w:val="center"/>
              <w:rPr/>
            </w:pPr>
            <w:r>
              <w:rPr/>
              <w:t>4</w:t>
            </w:r>
          </w:p>
        </w:tc>
      </w:tr>
      <w:tr>
        <w:trPr/>
        <w:tc>
          <w:tcPr>
            <w:tcW w:w="692" w:type="dxa"/>
            <w:tcBorders/>
            <w:shd w:fill="CCEEFF" w:val="clear"/>
            <w:vAlign w:val="center"/>
          </w:tcPr>
          <w:p>
            <w:pPr>
              <w:pStyle w:val="TableContents"/>
              <w:bidi w:val="0"/>
              <w:spacing w:before="0" w:after="283"/>
              <w:jc w:val="left"/>
              <w:rPr/>
            </w:pPr>
            <w:r>
              <w:rPr/>
              <w:t>2.2</w:t>
            </w:r>
          </w:p>
        </w:tc>
        <w:tc>
          <w:tcPr>
            <w:tcW w:w="7367" w:type="dxa"/>
            <w:tcBorders/>
            <w:shd w:fill="CCEEFF" w:val="clear"/>
            <w:vAlign w:val="center"/>
          </w:tcPr>
          <w:p>
            <w:pPr>
              <w:pStyle w:val="TableContents"/>
              <w:bidi w:val="0"/>
              <w:spacing w:before="0" w:after="283"/>
              <w:jc w:val="left"/>
              <w:rPr/>
            </w:pPr>
            <w:r>
              <w:rPr/>
              <w:t>Payment for Securities; Surrender of Certificates</w:t>
            </w:r>
          </w:p>
        </w:tc>
        <w:tc>
          <w:tcPr>
            <w:tcW w:w="530" w:type="dxa"/>
            <w:tcBorders/>
            <w:shd w:fill="CCEEFF" w:val="clear"/>
            <w:vAlign w:val="center"/>
          </w:tcPr>
          <w:p>
            <w:pPr>
              <w:pStyle w:val="TableContents"/>
              <w:bidi w:val="0"/>
              <w:spacing w:before="0" w:after="283"/>
              <w:jc w:val="center"/>
              <w:rPr/>
            </w:pPr>
            <w:r>
              <w:rPr/>
              <w:t>6</w:t>
            </w:r>
          </w:p>
        </w:tc>
      </w:tr>
      <w:tr>
        <w:trPr/>
        <w:tc>
          <w:tcPr>
            <w:tcW w:w="692" w:type="dxa"/>
            <w:tcBorders/>
            <w:shd w:fill="FFFFFF" w:val="clear"/>
            <w:vAlign w:val="center"/>
          </w:tcPr>
          <w:p>
            <w:pPr>
              <w:pStyle w:val="TableContents"/>
              <w:bidi w:val="0"/>
              <w:spacing w:before="0" w:after="283"/>
              <w:jc w:val="left"/>
              <w:rPr/>
            </w:pPr>
            <w:r>
              <w:rPr/>
              <w:t>2.3</w:t>
            </w:r>
          </w:p>
        </w:tc>
        <w:tc>
          <w:tcPr>
            <w:tcW w:w="7367" w:type="dxa"/>
            <w:tcBorders/>
            <w:shd w:fill="FFFFFF" w:val="clear"/>
            <w:vAlign w:val="center"/>
          </w:tcPr>
          <w:p>
            <w:pPr>
              <w:pStyle w:val="TableContents"/>
              <w:bidi w:val="0"/>
              <w:spacing w:before="0" w:after="283"/>
              <w:jc w:val="left"/>
              <w:rPr/>
            </w:pPr>
            <w:r>
              <w:rPr/>
              <w:t>Distributions with Respect to Unexchanged Shares</w:t>
            </w:r>
          </w:p>
        </w:tc>
        <w:tc>
          <w:tcPr>
            <w:tcW w:w="530" w:type="dxa"/>
            <w:tcBorders/>
            <w:shd w:fill="FFFFFF" w:val="clear"/>
            <w:vAlign w:val="center"/>
          </w:tcPr>
          <w:p>
            <w:pPr>
              <w:pStyle w:val="TableContents"/>
              <w:bidi w:val="0"/>
              <w:spacing w:before="0" w:after="283"/>
              <w:jc w:val="center"/>
              <w:rPr/>
            </w:pPr>
            <w:r>
              <w:rPr/>
              <w:t>10</w:t>
            </w:r>
          </w:p>
        </w:tc>
      </w:tr>
      <w:tr>
        <w:trPr/>
        <w:tc>
          <w:tcPr>
            <w:tcW w:w="692" w:type="dxa"/>
            <w:tcBorders/>
            <w:shd w:fill="CCEEFF" w:val="clear"/>
            <w:vAlign w:val="center"/>
          </w:tcPr>
          <w:p>
            <w:pPr>
              <w:pStyle w:val="TableContents"/>
              <w:bidi w:val="0"/>
              <w:spacing w:before="0" w:after="283"/>
              <w:jc w:val="left"/>
              <w:rPr/>
            </w:pPr>
            <w:r>
              <w:rPr/>
              <w:t>2.4</w:t>
            </w:r>
          </w:p>
        </w:tc>
        <w:tc>
          <w:tcPr>
            <w:tcW w:w="7367" w:type="dxa"/>
            <w:tcBorders/>
            <w:shd w:fill="CCEEFF" w:val="clear"/>
            <w:vAlign w:val="center"/>
          </w:tcPr>
          <w:p>
            <w:pPr>
              <w:pStyle w:val="TableContents"/>
              <w:bidi w:val="0"/>
              <w:spacing w:before="0" w:after="283"/>
              <w:jc w:val="left"/>
              <w:rPr/>
            </w:pPr>
            <w:r>
              <w:rPr/>
              <w:t>Fractional Shares</w:t>
            </w:r>
          </w:p>
        </w:tc>
        <w:tc>
          <w:tcPr>
            <w:tcW w:w="530" w:type="dxa"/>
            <w:tcBorders/>
            <w:shd w:fill="CCEEFF" w:val="clear"/>
            <w:vAlign w:val="center"/>
          </w:tcPr>
          <w:p>
            <w:pPr>
              <w:pStyle w:val="TableContents"/>
              <w:bidi w:val="0"/>
              <w:spacing w:before="0" w:after="283"/>
              <w:jc w:val="center"/>
              <w:rPr/>
            </w:pPr>
            <w:r>
              <w:rPr/>
              <w:t>10</w:t>
            </w:r>
          </w:p>
        </w:tc>
      </w:tr>
      <w:tr>
        <w:trPr/>
        <w:tc>
          <w:tcPr>
            <w:tcW w:w="692" w:type="dxa"/>
            <w:tcBorders/>
            <w:shd w:fill="FFFFFF" w:val="clear"/>
            <w:vAlign w:val="center"/>
          </w:tcPr>
          <w:p>
            <w:pPr>
              <w:pStyle w:val="TableContents"/>
              <w:bidi w:val="0"/>
              <w:spacing w:before="0" w:after="283"/>
              <w:jc w:val="left"/>
              <w:rPr/>
            </w:pPr>
            <w:r>
              <w:rPr/>
              <w:t>2.5</w:t>
            </w:r>
          </w:p>
        </w:tc>
        <w:tc>
          <w:tcPr>
            <w:tcW w:w="7367" w:type="dxa"/>
            <w:tcBorders/>
            <w:shd w:fill="FFFFFF" w:val="clear"/>
            <w:vAlign w:val="center"/>
          </w:tcPr>
          <w:p>
            <w:pPr>
              <w:pStyle w:val="TableContents"/>
              <w:bidi w:val="0"/>
              <w:spacing w:before="0" w:after="283"/>
              <w:jc w:val="left"/>
              <w:rPr/>
            </w:pPr>
            <w:r>
              <w:rPr/>
              <w:t>Further Assurances</w:t>
            </w:r>
          </w:p>
        </w:tc>
        <w:tc>
          <w:tcPr>
            <w:tcW w:w="530" w:type="dxa"/>
            <w:tcBorders/>
            <w:shd w:fill="FFFFFF" w:val="clear"/>
            <w:vAlign w:val="center"/>
          </w:tcPr>
          <w:p>
            <w:pPr>
              <w:pStyle w:val="TableContents"/>
              <w:bidi w:val="0"/>
              <w:spacing w:before="0" w:after="283"/>
              <w:jc w:val="center"/>
              <w:rPr/>
            </w:pPr>
            <w:r>
              <w:rPr/>
              <w:t>11</w:t>
            </w:r>
          </w:p>
        </w:tc>
      </w:tr>
      <w:tr>
        <w:trPr/>
        <w:tc>
          <w:tcPr>
            <w:tcW w:w="692" w:type="dxa"/>
            <w:tcBorders/>
            <w:shd w:fill="CCEEFF" w:val="clear"/>
            <w:vAlign w:val="center"/>
          </w:tcPr>
          <w:p>
            <w:pPr>
              <w:pStyle w:val="TableContents"/>
              <w:bidi w:val="0"/>
              <w:spacing w:before="0" w:after="283"/>
              <w:jc w:val="left"/>
              <w:rPr/>
            </w:pPr>
            <w:r>
              <w:rPr/>
              <w:t>2.6</w:t>
            </w:r>
          </w:p>
        </w:tc>
        <w:tc>
          <w:tcPr>
            <w:tcW w:w="7367" w:type="dxa"/>
            <w:tcBorders/>
            <w:shd w:fill="CCEEFF" w:val="clear"/>
            <w:vAlign w:val="center"/>
          </w:tcPr>
          <w:p>
            <w:pPr>
              <w:pStyle w:val="TableContents"/>
              <w:bidi w:val="0"/>
              <w:spacing w:before="0" w:after="283"/>
              <w:jc w:val="left"/>
              <w:rPr/>
            </w:pPr>
            <w:r>
              <w:rPr/>
              <w:t>Treatment of Company Equity Awards</w:t>
            </w:r>
          </w:p>
        </w:tc>
        <w:tc>
          <w:tcPr>
            <w:tcW w:w="530" w:type="dxa"/>
            <w:tcBorders/>
            <w:shd w:fill="CCEEFF" w:val="clear"/>
            <w:vAlign w:val="center"/>
          </w:tcPr>
          <w:p>
            <w:pPr>
              <w:pStyle w:val="TableContents"/>
              <w:bidi w:val="0"/>
              <w:spacing w:before="0" w:after="283"/>
              <w:jc w:val="center"/>
              <w:rPr/>
            </w:pPr>
            <w:r>
              <w:rPr/>
              <w:t>11</w:t>
            </w:r>
          </w:p>
        </w:tc>
      </w:tr>
      <w:tr>
        <w:trPr/>
        <w:tc>
          <w:tcPr>
            <w:tcW w:w="692" w:type="dxa"/>
            <w:tcBorders/>
            <w:shd w:fill="FFFFFF" w:val="clear"/>
            <w:vAlign w:val="center"/>
          </w:tcPr>
          <w:p>
            <w:pPr>
              <w:pStyle w:val="TableContents"/>
              <w:bidi w:val="0"/>
              <w:spacing w:before="0" w:after="283"/>
              <w:jc w:val="left"/>
              <w:rPr/>
            </w:pPr>
            <w:r>
              <w:rPr/>
              <w:t>2.7</w:t>
            </w:r>
          </w:p>
        </w:tc>
        <w:tc>
          <w:tcPr>
            <w:tcW w:w="7367" w:type="dxa"/>
            <w:tcBorders/>
            <w:shd w:fill="FFFFFF" w:val="clear"/>
            <w:vAlign w:val="center"/>
          </w:tcPr>
          <w:p>
            <w:pPr>
              <w:pStyle w:val="TableContents"/>
              <w:bidi w:val="0"/>
              <w:spacing w:before="0" w:after="283"/>
              <w:jc w:val="left"/>
              <w:rPr/>
            </w:pPr>
            <w:r>
              <w:rPr/>
              <w:t>Treatment of Company Warrants</w:t>
            </w:r>
          </w:p>
        </w:tc>
        <w:tc>
          <w:tcPr>
            <w:tcW w:w="530" w:type="dxa"/>
            <w:tcBorders/>
            <w:shd w:fill="FFFFFF" w:val="clear"/>
            <w:vAlign w:val="center"/>
          </w:tcPr>
          <w:p>
            <w:pPr>
              <w:pStyle w:val="TableContents"/>
              <w:bidi w:val="0"/>
              <w:spacing w:before="0" w:after="283"/>
              <w:jc w:val="center"/>
              <w:rPr/>
            </w:pPr>
            <w:r>
              <w:rPr/>
              <w:t>13</w:t>
            </w:r>
          </w:p>
        </w:tc>
      </w:tr>
      <w:tr>
        <w:trPr/>
        <w:tc>
          <w:tcPr>
            <w:tcW w:w="692" w:type="dxa"/>
            <w:tcBorders/>
            <w:shd w:fill="CCEEFF" w:val="clear"/>
            <w:vAlign w:val="center"/>
          </w:tcPr>
          <w:p>
            <w:pPr>
              <w:pStyle w:val="TableContents"/>
              <w:bidi w:val="0"/>
              <w:spacing w:before="0" w:after="283"/>
              <w:jc w:val="left"/>
              <w:rPr/>
            </w:pPr>
            <w:r>
              <w:rPr/>
              <w:t>2.8</w:t>
            </w:r>
          </w:p>
        </w:tc>
        <w:tc>
          <w:tcPr>
            <w:tcW w:w="7367" w:type="dxa"/>
            <w:tcBorders/>
            <w:shd w:fill="CCEEFF" w:val="clear"/>
            <w:vAlign w:val="center"/>
          </w:tcPr>
          <w:p>
            <w:pPr>
              <w:pStyle w:val="TableContents"/>
              <w:bidi w:val="0"/>
              <w:spacing w:before="0" w:after="283"/>
              <w:jc w:val="left"/>
              <w:rPr/>
            </w:pPr>
            <w:r>
              <w:rPr/>
              <w:t>Estimated Closing Statement</w:t>
            </w:r>
          </w:p>
        </w:tc>
        <w:tc>
          <w:tcPr>
            <w:tcW w:w="530" w:type="dxa"/>
            <w:tcBorders/>
            <w:shd w:fill="CCEEFF" w:val="clear"/>
            <w:vAlign w:val="center"/>
          </w:tcPr>
          <w:p>
            <w:pPr>
              <w:pStyle w:val="TableContents"/>
              <w:bidi w:val="0"/>
              <w:spacing w:before="0" w:after="283"/>
              <w:jc w:val="center"/>
              <w:rPr/>
            </w:pPr>
            <w:r>
              <w:rPr/>
              <w:t>13</w:t>
            </w:r>
          </w:p>
        </w:tc>
      </w:tr>
      <w:tr>
        <w:trPr/>
        <w:tc>
          <w:tcPr>
            <w:tcW w:w="692" w:type="dxa"/>
            <w:tcBorders/>
            <w:shd w:fill="FFFFFF" w:val="clear"/>
            <w:vAlign w:val="center"/>
          </w:tcPr>
          <w:p>
            <w:pPr>
              <w:pStyle w:val="TableContents"/>
              <w:bidi w:val="0"/>
              <w:spacing w:before="0" w:after="283"/>
              <w:jc w:val="left"/>
              <w:rPr/>
            </w:pPr>
            <w:r>
              <w:rPr/>
              <w:t>2.9</w:t>
            </w:r>
          </w:p>
        </w:tc>
        <w:tc>
          <w:tcPr>
            <w:tcW w:w="7367" w:type="dxa"/>
            <w:tcBorders/>
            <w:shd w:fill="FFFFFF" w:val="clear"/>
            <w:vAlign w:val="center"/>
          </w:tcPr>
          <w:p>
            <w:pPr>
              <w:pStyle w:val="TableContents"/>
              <w:bidi w:val="0"/>
              <w:spacing w:before="0" w:after="283"/>
              <w:jc w:val="left"/>
              <w:rPr/>
            </w:pPr>
            <w:r>
              <w:rPr/>
              <w:t>Withholding Rights</w:t>
            </w:r>
          </w:p>
        </w:tc>
        <w:tc>
          <w:tcPr>
            <w:tcW w:w="530" w:type="dxa"/>
            <w:tcBorders/>
            <w:shd w:fill="FFFFFF" w:val="clear"/>
            <w:vAlign w:val="center"/>
          </w:tcPr>
          <w:p>
            <w:pPr>
              <w:pStyle w:val="TableContents"/>
              <w:bidi w:val="0"/>
              <w:spacing w:before="0" w:after="283"/>
              <w:jc w:val="center"/>
              <w:rPr/>
            </w:pPr>
            <w:r>
              <w:rPr/>
              <w:t>14</w:t>
            </w:r>
          </w:p>
        </w:tc>
      </w:tr>
      <w:tr>
        <w:trPr/>
        <w:tc>
          <w:tcPr>
            <w:tcW w:w="692" w:type="dxa"/>
            <w:tcBorders/>
            <w:shd w:fill="CCEEFF" w:val="clear"/>
            <w:vAlign w:val="center"/>
          </w:tcPr>
          <w:p>
            <w:pPr>
              <w:pStyle w:val="TableContents"/>
              <w:bidi w:val="0"/>
              <w:spacing w:before="0" w:after="283"/>
              <w:jc w:val="left"/>
              <w:rPr/>
            </w:pPr>
            <w:r>
              <w:rPr/>
              <w:t>2.10</w:t>
            </w:r>
          </w:p>
        </w:tc>
        <w:tc>
          <w:tcPr>
            <w:tcW w:w="7367" w:type="dxa"/>
            <w:tcBorders/>
            <w:shd w:fill="CCEEFF" w:val="clear"/>
            <w:vAlign w:val="center"/>
          </w:tcPr>
          <w:p>
            <w:pPr>
              <w:pStyle w:val="TableContents"/>
              <w:bidi w:val="0"/>
              <w:spacing w:before="0" w:after="283"/>
              <w:jc w:val="left"/>
              <w:rPr/>
            </w:pPr>
            <w:r>
              <w:rPr/>
              <w:t>Tax Treatment</w:t>
            </w:r>
          </w:p>
        </w:tc>
        <w:tc>
          <w:tcPr>
            <w:tcW w:w="530" w:type="dxa"/>
            <w:tcBorders/>
            <w:shd w:fill="CCEEFF" w:val="clear"/>
            <w:vAlign w:val="center"/>
          </w:tcPr>
          <w:p>
            <w:pPr>
              <w:pStyle w:val="TableContents"/>
              <w:bidi w:val="0"/>
              <w:spacing w:before="0" w:after="283"/>
              <w:jc w:val="center"/>
              <w:rPr/>
            </w:pPr>
            <w:r>
              <w:rPr/>
              <w:t>14</w:t>
            </w:r>
          </w:p>
        </w:tc>
      </w:tr>
      <w:tr>
        <w:trPr/>
        <w:tc>
          <w:tcPr>
            <w:tcW w:w="692" w:type="dxa"/>
            <w:tcBorders/>
            <w:shd w:fill="FFFFFF" w:val="clear"/>
            <w:vAlign w:val="center"/>
          </w:tcPr>
          <w:p>
            <w:pPr>
              <w:pStyle w:val="TableContents"/>
              <w:bidi w:val="0"/>
              <w:spacing w:before="0" w:after="283"/>
              <w:jc w:val="left"/>
              <w:rPr/>
            </w:pPr>
            <w:r>
              <w:rPr/>
              <w:t>2.11</w:t>
            </w:r>
          </w:p>
        </w:tc>
        <w:tc>
          <w:tcPr>
            <w:tcW w:w="7367" w:type="dxa"/>
            <w:tcBorders/>
            <w:shd w:fill="FFFFFF" w:val="clear"/>
            <w:vAlign w:val="center"/>
          </w:tcPr>
          <w:p>
            <w:pPr>
              <w:pStyle w:val="TableContents"/>
              <w:bidi w:val="0"/>
              <w:spacing w:before="0" w:after="283"/>
              <w:jc w:val="left"/>
              <w:rPr/>
            </w:pPr>
            <w:r>
              <w:rPr/>
              <w:t>Appraisal Rights</w:t>
            </w:r>
          </w:p>
        </w:tc>
        <w:tc>
          <w:tcPr>
            <w:tcW w:w="530" w:type="dxa"/>
            <w:tcBorders/>
            <w:shd w:fill="FFFFFF" w:val="clear"/>
            <w:vAlign w:val="center"/>
          </w:tcPr>
          <w:p>
            <w:pPr>
              <w:pStyle w:val="TableContents"/>
              <w:bidi w:val="0"/>
              <w:spacing w:before="0" w:after="283"/>
              <w:jc w:val="center"/>
              <w:rPr/>
            </w:pPr>
            <w:r>
              <w:rPr/>
              <w:t>15</w:t>
            </w:r>
          </w:p>
        </w:tc>
      </w:tr>
      <w:tr>
        <w:trPr/>
        <w:tc>
          <w:tcPr>
            <w:tcW w:w="692" w:type="dxa"/>
            <w:tcBorders/>
            <w:shd w:fill="CCEEFF" w:val="clear"/>
            <w:vAlign w:val="center"/>
          </w:tcPr>
          <w:p>
            <w:pPr>
              <w:pStyle w:val="TableContents"/>
              <w:bidi w:val="0"/>
              <w:spacing w:before="0" w:after="283"/>
              <w:jc w:val="left"/>
              <w:rPr/>
            </w:pPr>
            <w:r>
              <w:rPr/>
              <w:t>2.12</w:t>
            </w:r>
          </w:p>
        </w:tc>
        <w:tc>
          <w:tcPr>
            <w:tcW w:w="7367" w:type="dxa"/>
            <w:tcBorders/>
            <w:shd w:fill="CCEEFF" w:val="clear"/>
            <w:vAlign w:val="center"/>
          </w:tcPr>
          <w:p>
            <w:pPr>
              <w:pStyle w:val="TableContents"/>
              <w:bidi w:val="0"/>
              <w:spacing w:before="0" w:after="283"/>
              <w:jc w:val="left"/>
              <w:rPr/>
            </w:pPr>
            <w:r>
              <w:rPr/>
              <w:t>Prohibition on Transfer</w:t>
            </w:r>
          </w:p>
        </w:tc>
        <w:tc>
          <w:tcPr>
            <w:tcW w:w="530" w:type="dxa"/>
            <w:tcBorders/>
            <w:shd w:fill="CCEEFF" w:val="clear"/>
            <w:vAlign w:val="center"/>
          </w:tcPr>
          <w:p>
            <w:pPr>
              <w:pStyle w:val="TableContents"/>
              <w:bidi w:val="0"/>
              <w:spacing w:before="0" w:after="283"/>
              <w:jc w:val="center"/>
              <w:rPr/>
            </w:pPr>
            <w:r>
              <w:rPr/>
              <w:t>15</w:t>
            </w:r>
          </w:p>
        </w:tc>
      </w:tr>
      <w:tr>
        <w:trPr/>
        <w:tc>
          <w:tcPr>
            <w:tcW w:w="692" w:type="dxa"/>
            <w:tcBorders/>
            <w:shd w:fill="FFFFFF" w:val="clear"/>
            <w:vAlign w:val="center"/>
          </w:tcPr>
          <w:p>
            <w:pPr>
              <w:pStyle w:val="TableContents"/>
              <w:bidi w:val="0"/>
              <w:spacing w:before="0" w:after="283"/>
              <w:jc w:val="left"/>
              <w:rPr/>
            </w:pPr>
            <w:r>
              <w:rPr/>
              <w:t> </w:t>
            </w:r>
          </w:p>
        </w:tc>
        <w:tc>
          <w:tcPr>
            <w:tcW w:w="7367"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59" w:type="dxa"/>
            <w:gridSpan w:val="2"/>
            <w:tcBorders/>
            <w:shd w:fill="CCEEFF" w:val="clear"/>
            <w:vAlign w:val="center"/>
          </w:tcPr>
          <w:p>
            <w:pPr>
              <w:pStyle w:val="TableContents"/>
              <w:bidi w:val="0"/>
              <w:spacing w:before="0" w:after="283"/>
              <w:jc w:val="left"/>
              <w:rPr/>
            </w:pPr>
            <w:r>
              <w:rPr/>
              <w:t>ARTICLE 3 REPRESENTATIONS AND WARRANTIES OF THE COMPANY</w:t>
            </w:r>
          </w:p>
        </w:tc>
        <w:tc>
          <w:tcPr>
            <w:tcW w:w="530" w:type="dxa"/>
            <w:tcBorders/>
            <w:shd w:fill="CCEEFF" w:val="clear"/>
            <w:vAlign w:val="center"/>
          </w:tcPr>
          <w:p>
            <w:pPr>
              <w:pStyle w:val="TableContents"/>
              <w:bidi w:val="0"/>
              <w:spacing w:before="0" w:after="283"/>
              <w:jc w:val="center"/>
              <w:rPr/>
            </w:pPr>
            <w:r>
              <w:rPr/>
              <w:t>16</w:t>
            </w:r>
          </w:p>
        </w:tc>
      </w:tr>
      <w:tr>
        <w:trPr/>
        <w:tc>
          <w:tcPr>
            <w:tcW w:w="8059" w:type="dxa"/>
            <w:gridSpan w:val="2"/>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92" w:type="dxa"/>
            <w:tcBorders/>
            <w:shd w:fill="CCEEFF" w:val="clear"/>
            <w:vAlign w:val="center"/>
          </w:tcPr>
          <w:p>
            <w:pPr>
              <w:pStyle w:val="TableContents"/>
              <w:bidi w:val="0"/>
              <w:spacing w:before="0" w:after="283"/>
              <w:jc w:val="left"/>
              <w:rPr/>
            </w:pPr>
            <w:r>
              <w:rPr/>
              <w:t>3.1</w:t>
            </w:r>
          </w:p>
        </w:tc>
        <w:tc>
          <w:tcPr>
            <w:tcW w:w="7367" w:type="dxa"/>
            <w:tcBorders/>
            <w:shd w:fill="CCEEFF" w:val="clear"/>
            <w:vAlign w:val="center"/>
          </w:tcPr>
          <w:p>
            <w:pPr>
              <w:pStyle w:val="TableContents"/>
              <w:bidi w:val="0"/>
              <w:spacing w:before="0" w:after="283"/>
              <w:jc w:val="left"/>
              <w:rPr/>
            </w:pPr>
            <w:r>
              <w:rPr/>
              <w:t>Organization and Qualification; Subsidiaries</w:t>
            </w:r>
          </w:p>
        </w:tc>
        <w:tc>
          <w:tcPr>
            <w:tcW w:w="530" w:type="dxa"/>
            <w:tcBorders/>
            <w:shd w:fill="CCEEFF" w:val="clear"/>
            <w:vAlign w:val="center"/>
          </w:tcPr>
          <w:p>
            <w:pPr>
              <w:pStyle w:val="TableContents"/>
              <w:bidi w:val="0"/>
              <w:spacing w:before="0" w:after="283"/>
              <w:jc w:val="center"/>
              <w:rPr/>
            </w:pPr>
            <w:r>
              <w:rPr/>
              <w:t>16</w:t>
            </w:r>
          </w:p>
        </w:tc>
      </w:tr>
      <w:tr>
        <w:trPr/>
        <w:tc>
          <w:tcPr>
            <w:tcW w:w="692" w:type="dxa"/>
            <w:tcBorders/>
            <w:shd w:fill="FFFFFF" w:val="clear"/>
            <w:vAlign w:val="center"/>
          </w:tcPr>
          <w:p>
            <w:pPr>
              <w:pStyle w:val="TableContents"/>
              <w:bidi w:val="0"/>
              <w:spacing w:before="0" w:after="283"/>
              <w:jc w:val="left"/>
              <w:rPr/>
            </w:pPr>
            <w:r>
              <w:rPr/>
              <w:t>3.2</w:t>
            </w:r>
          </w:p>
        </w:tc>
        <w:tc>
          <w:tcPr>
            <w:tcW w:w="7367" w:type="dxa"/>
            <w:tcBorders/>
            <w:shd w:fill="FFFFFF" w:val="clear"/>
            <w:vAlign w:val="center"/>
          </w:tcPr>
          <w:p>
            <w:pPr>
              <w:pStyle w:val="TableContents"/>
              <w:bidi w:val="0"/>
              <w:spacing w:before="0" w:after="283"/>
              <w:jc w:val="left"/>
              <w:rPr/>
            </w:pPr>
            <w:r>
              <w:rPr/>
              <w:t>Capitalization</w:t>
            </w:r>
          </w:p>
        </w:tc>
        <w:tc>
          <w:tcPr>
            <w:tcW w:w="530" w:type="dxa"/>
            <w:tcBorders/>
            <w:shd w:fill="FFFFFF" w:val="clear"/>
            <w:vAlign w:val="center"/>
          </w:tcPr>
          <w:p>
            <w:pPr>
              <w:pStyle w:val="TableContents"/>
              <w:bidi w:val="0"/>
              <w:spacing w:before="0" w:after="283"/>
              <w:jc w:val="center"/>
              <w:rPr/>
            </w:pPr>
            <w:r>
              <w:rPr/>
              <w:t>17</w:t>
            </w:r>
          </w:p>
        </w:tc>
      </w:tr>
      <w:tr>
        <w:trPr/>
        <w:tc>
          <w:tcPr>
            <w:tcW w:w="692" w:type="dxa"/>
            <w:tcBorders/>
            <w:shd w:fill="CCEEFF" w:val="clear"/>
            <w:vAlign w:val="center"/>
          </w:tcPr>
          <w:p>
            <w:pPr>
              <w:pStyle w:val="TableContents"/>
              <w:bidi w:val="0"/>
              <w:spacing w:before="0" w:after="283"/>
              <w:jc w:val="left"/>
              <w:rPr/>
            </w:pPr>
            <w:r>
              <w:rPr/>
              <w:t>3.3</w:t>
            </w:r>
          </w:p>
        </w:tc>
        <w:tc>
          <w:tcPr>
            <w:tcW w:w="7367" w:type="dxa"/>
            <w:tcBorders/>
            <w:shd w:fill="CCEEFF" w:val="clear"/>
            <w:vAlign w:val="center"/>
          </w:tcPr>
          <w:p>
            <w:pPr>
              <w:pStyle w:val="TableContents"/>
              <w:bidi w:val="0"/>
              <w:spacing w:before="0" w:after="283"/>
              <w:jc w:val="left"/>
              <w:rPr/>
            </w:pPr>
            <w:r>
              <w:rPr/>
              <w:t>Authority</w:t>
            </w:r>
          </w:p>
        </w:tc>
        <w:tc>
          <w:tcPr>
            <w:tcW w:w="530" w:type="dxa"/>
            <w:tcBorders/>
            <w:shd w:fill="CCEEFF" w:val="clear"/>
            <w:vAlign w:val="center"/>
          </w:tcPr>
          <w:p>
            <w:pPr>
              <w:pStyle w:val="TableContents"/>
              <w:bidi w:val="0"/>
              <w:spacing w:before="0" w:after="283"/>
              <w:jc w:val="center"/>
              <w:rPr/>
            </w:pPr>
            <w:r>
              <w:rPr/>
              <w:t>18</w:t>
            </w:r>
          </w:p>
        </w:tc>
      </w:tr>
      <w:tr>
        <w:trPr/>
        <w:tc>
          <w:tcPr>
            <w:tcW w:w="692" w:type="dxa"/>
            <w:tcBorders/>
            <w:shd w:fill="FFFFFF" w:val="clear"/>
            <w:vAlign w:val="center"/>
          </w:tcPr>
          <w:p>
            <w:pPr>
              <w:pStyle w:val="TableContents"/>
              <w:bidi w:val="0"/>
              <w:spacing w:before="0" w:after="283"/>
              <w:jc w:val="left"/>
              <w:rPr/>
            </w:pPr>
            <w:r>
              <w:rPr/>
              <w:t>3.4</w:t>
            </w:r>
          </w:p>
        </w:tc>
        <w:tc>
          <w:tcPr>
            <w:tcW w:w="7367" w:type="dxa"/>
            <w:tcBorders/>
            <w:shd w:fill="FFFFFF" w:val="clear"/>
            <w:vAlign w:val="center"/>
          </w:tcPr>
          <w:p>
            <w:pPr>
              <w:pStyle w:val="TableContents"/>
              <w:bidi w:val="0"/>
              <w:spacing w:before="0" w:after="283"/>
              <w:jc w:val="left"/>
              <w:rPr/>
            </w:pPr>
            <w:r>
              <w:rPr/>
              <w:t>No Conflict</w:t>
            </w:r>
          </w:p>
        </w:tc>
        <w:tc>
          <w:tcPr>
            <w:tcW w:w="530" w:type="dxa"/>
            <w:tcBorders/>
            <w:shd w:fill="FFFFFF" w:val="clear"/>
            <w:vAlign w:val="center"/>
          </w:tcPr>
          <w:p>
            <w:pPr>
              <w:pStyle w:val="TableContents"/>
              <w:bidi w:val="0"/>
              <w:spacing w:before="0" w:after="283"/>
              <w:jc w:val="center"/>
              <w:rPr/>
            </w:pPr>
            <w:r>
              <w:rPr/>
              <w:t>19</w:t>
            </w:r>
          </w:p>
        </w:tc>
      </w:tr>
      <w:tr>
        <w:trPr/>
        <w:tc>
          <w:tcPr>
            <w:tcW w:w="692" w:type="dxa"/>
            <w:tcBorders/>
            <w:shd w:fill="CCEEFF" w:val="clear"/>
            <w:vAlign w:val="center"/>
          </w:tcPr>
          <w:p>
            <w:pPr>
              <w:pStyle w:val="TableContents"/>
              <w:bidi w:val="0"/>
              <w:spacing w:before="0" w:after="283"/>
              <w:jc w:val="left"/>
              <w:rPr/>
            </w:pPr>
            <w:r>
              <w:rPr/>
              <w:t>3.5</w:t>
            </w:r>
          </w:p>
        </w:tc>
        <w:tc>
          <w:tcPr>
            <w:tcW w:w="7367" w:type="dxa"/>
            <w:tcBorders/>
            <w:shd w:fill="CCEEFF" w:val="clear"/>
            <w:vAlign w:val="center"/>
          </w:tcPr>
          <w:p>
            <w:pPr>
              <w:pStyle w:val="TableContents"/>
              <w:bidi w:val="0"/>
              <w:spacing w:before="0" w:after="283"/>
              <w:jc w:val="left"/>
              <w:rPr/>
            </w:pPr>
            <w:r>
              <w:rPr/>
              <w:t>Required Filings and Consents</w:t>
            </w:r>
          </w:p>
        </w:tc>
        <w:tc>
          <w:tcPr>
            <w:tcW w:w="530" w:type="dxa"/>
            <w:tcBorders/>
            <w:shd w:fill="CCEEFF" w:val="clear"/>
            <w:vAlign w:val="center"/>
          </w:tcPr>
          <w:p>
            <w:pPr>
              <w:pStyle w:val="TableContents"/>
              <w:bidi w:val="0"/>
              <w:spacing w:before="0" w:after="283"/>
              <w:jc w:val="center"/>
              <w:rPr/>
            </w:pPr>
            <w:r>
              <w:rPr/>
              <w:t>19</w:t>
            </w:r>
          </w:p>
        </w:tc>
      </w:tr>
      <w:tr>
        <w:trPr/>
        <w:tc>
          <w:tcPr>
            <w:tcW w:w="692" w:type="dxa"/>
            <w:tcBorders/>
            <w:shd w:fill="FFFFFF" w:val="clear"/>
            <w:vAlign w:val="center"/>
          </w:tcPr>
          <w:p>
            <w:pPr>
              <w:pStyle w:val="TableContents"/>
              <w:bidi w:val="0"/>
              <w:spacing w:before="0" w:after="283"/>
              <w:jc w:val="left"/>
              <w:rPr/>
            </w:pPr>
            <w:r>
              <w:rPr/>
              <w:t>3.6</w:t>
            </w:r>
          </w:p>
        </w:tc>
        <w:tc>
          <w:tcPr>
            <w:tcW w:w="7367" w:type="dxa"/>
            <w:tcBorders/>
            <w:shd w:fill="FFFFFF" w:val="clear"/>
            <w:vAlign w:val="center"/>
          </w:tcPr>
          <w:p>
            <w:pPr>
              <w:pStyle w:val="TableContents"/>
              <w:bidi w:val="0"/>
              <w:spacing w:before="0" w:after="283"/>
              <w:jc w:val="left"/>
              <w:rPr/>
            </w:pPr>
            <w:r>
              <w:rPr/>
              <w:t>Compliance With Law</w:t>
            </w:r>
          </w:p>
        </w:tc>
        <w:tc>
          <w:tcPr>
            <w:tcW w:w="530" w:type="dxa"/>
            <w:tcBorders/>
            <w:shd w:fill="FFFFFF" w:val="clear"/>
            <w:vAlign w:val="center"/>
          </w:tcPr>
          <w:p>
            <w:pPr>
              <w:pStyle w:val="TableContents"/>
              <w:bidi w:val="0"/>
              <w:spacing w:before="0" w:after="283"/>
              <w:jc w:val="center"/>
              <w:rPr/>
            </w:pPr>
            <w:r>
              <w:rPr/>
              <w:t>19</w:t>
            </w:r>
          </w:p>
        </w:tc>
      </w:tr>
      <w:tr>
        <w:trPr/>
        <w:tc>
          <w:tcPr>
            <w:tcW w:w="692" w:type="dxa"/>
            <w:tcBorders/>
            <w:shd w:fill="CCEEFF" w:val="clear"/>
            <w:vAlign w:val="center"/>
          </w:tcPr>
          <w:p>
            <w:pPr>
              <w:pStyle w:val="TableContents"/>
              <w:bidi w:val="0"/>
              <w:spacing w:before="0" w:after="283"/>
              <w:jc w:val="left"/>
              <w:rPr/>
            </w:pPr>
            <w:r>
              <w:rPr/>
              <w:t>3.7</w:t>
            </w:r>
          </w:p>
        </w:tc>
        <w:tc>
          <w:tcPr>
            <w:tcW w:w="7367" w:type="dxa"/>
            <w:tcBorders/>
            <w:shd w:fill="CCEEFF" w:val="clear"/>
            <w:vAlign w:val="center"/>
          </w:tcPr>
          <w:p>
            <w:pPr>
              <w:pStyle w:val="TableContents"/>
              <w:bidi w:val="0"/>
              <w:spacing w:before="0" w:after="283"/>
              <w:jc w:val="left"/>
              <w:rPr/>
            </w:pPr>
            <w:r>
              <w:rPr/>
              <w:t>SEC Filings; Financial Statements</w:t>
            </w:r>
          </w:p>
        </w:tc>
        <w:tc>
          <w:tcPr>
            <w:tcW w:w="530" w:type="dxa"/>
            <w:tcBorders/>
            <w:shd w:fill="CCEEFF" w:val="clear"/>
            <w:vAlign w:val="center"/>
          </w:tcPr>
          <w:p>
            <w:pPr>
              <w:pStyle w:val="TableContents"/>
              <w:bidi w:val="0"/>
              <w:spacing w:before="0" w:after="283"/>
              <w:jc w:val="center"/>
              <w:rPr/>
            </w:pPr>
            <w:r>
              <w:rPr/>
              <w:t>20</w:t>
            </w:r>
          </w:p>
        </w:tc>
      </w:tr>
      <w:tr>
        <w:trPr/>
        <w:tc>
          <w:tcPr>
            <w:tcW w:w="692" w:type="dxa"/>
            <w:tcBorders/>
            <w:shd w:fill="FFFFFF" w:val="clear"/>
            <w:vAlign w:val="center"/>
          </w:tcPr>
          <w:p>
            <w:pPr>
              <w:pStyle w:val="TableContents"/>
              <w:bidi w:val="0"/>
              <w:spacing w:before="0" w:after="283"/>
              <w:jc w:val="left"/>
              <w:rPr/>
            </w:pPr>
            <w:r>
              <w:rPr/>
              <w:t>3.8</w:t>
            </w:r>
          </w:p>
        </w:tc>
        <w:tc>
          <w:tcPr>
            <w:tcW w:w="7367" w:type="dxa"/>
            <w:tcBorders/>
            <w:shd w:fill="FFFFFF" w:val="clear"/>
            <w:vAlign w:val="center"/>
          </w:tcPr>
          <w:p>
            <w:pPr>
              <w:pStyle w:val="TableContents"/>
              <w:bidi w:val="0"/>
              <w:spacing w:before="0" w:after="283"/>
              <w:jc w:val="left"/>
              <w:rPr/>
            </w:pPr>
            <w:r>
              <w:rPr/>
              <w:t>Absence of Certain Changes or Events</w:t>
            </w:r>
          </w:p>
        </w:tc>
        <w:tc>
          <w:tcPr>
            <w:tcW w:w="530" w:type="dxa"/>
            <w:tcBorders/>
            <w:shd w:fill="FFFFFF" w:val="clear"/>
            <w:vAlign w:val="center"/>
          </w:tcPr>
          <w:p>
            <w:pPr>
              <w:pStyle w:val="TableContents"/>
              <w:bidi w:val="0"/>
              <w:spacing w:before="0" w:after="283"/>
              <w:jc w:val="center"/>
              <w:rPr/>
            </w:pPr>
            <w:r>
              <w:rPr/>
              <w:t>21</w:t>
            </w:r>
          </w:p>
        </w:tc>
      </w:tr>
      <w:tr>
        <w:trPr/>
        <w:tc>
          <w:tcPr>
            <w:tcW w:w="692" w:type="dxa"/>
            <w:tcBorders/>
            <w:shd w:fill="CCEEFF" w:val="clear"/>
            <w:vAlign w:val="center"/>
          </w:tcPr>
          <w:p>
            <w:pPr>
              <w:pStyle w:val="TableContents"/>
              <w:bidi w:val="0"/>
              <w:spacing w:before="0" w:after="283"/>
              <w:jc w:val="left"/>
              <w:rPr/>
            </w:pPr>
            <w:r>
              <w:rPr/>
              <w:t>3.9</w:t>
            </w:r>
          </w:p>
        </w:tc>
        <w:tc>
          <w:tcPr>
            <w:tcW w:w="7367" w:type="dxa"/>
            <w:tcBorders/>
            <w:shd w:fill="CCEEFF" w:val="clear"/>
            <w:vAlign w:val="center"/>
          </w:tcPr>
          <w:p>
            <w:pPr>
              <w:pStyle w:val="TableContents"/>
              <w:bidi w:val="0"/>
              <w:spacing w:before="0" w:after="283"/>
              <w:jc w:val="left"/>
              <w:rPr/>
            </w:pPr>
            <w:r>
              <w:rPr/>
              <w:t>Employee Benefit Plans</w:t>
            </w:r>
          </w:p>
        </w:tc>
        <w:tc>
          <w:tcPr>
            <w:tcW w:w="530" w:type="dxa"/>
            <w:tcBorders/>
            <w:shd w:fill="CCEEFF" w:val="clear"/>
            <w:vAlign w:val="center"/>
          </w:tcPr>
          <w:p>
            <w:pPr>
              <w:pStyle w:val="TableContents"/>
              <w:bidi w:val="0"/>
              <w:spacing w:before="0" w:after="283"/>
              <w:jc w:val="center"/>
              <w:rPr/>
            </w:pPr>
            <w:r>
              <w:rPr/>
              <w:t>22</w:t>
            </w:r>
          </w:p>
        </w:tc>
      </w:tr>
      <w:tr>
        <w:trPr/>
        <w:tc>
          <w:tcPr>
            <w:tcW w:w="692" w:type="dxa"/>
            <w:tcBorders/>
            <w:shd w:fill="FFFFFF" w:val="clear"/>
            <w:vAlign w:val="center"/>
          </w:tcPr>
          <w:p>
            <w:pPr>
              <w:pStyle w:val="TableContents"/>
              <w:bidi w:val="0"/>
              <w:spacing w:before="0" w:after="283"/>
              <w:jc w:val="left"/>
              <w:rPr/>
            </w:pPr>
            <w:r>
              <w:rPr/>
              <w:t>3.10</w:t>
            </w:r>
          </w:p>
        </w:tc>
        <w:tc>
          <w:tcPr>
            <w:tcW w:w="7367" w:type="dxa"/>
            <w:tcBorders/>
            <w:shd w:fill="FFFFFF" w:val="clear"/>
            <w:vAlign w:val="center"/>
          </w:tcPr>
          <w:p>
            <w:pPr>
              <w:pStyle w:val="TableContents"/>
              <w:bidi w:val="0"/>
              <w:spacing w:before="0" w:after="283"/>
              <w:jc w:val="left"/>
              <w:rPr/>
            </w:pPr>
            <w:r>
              <w:rPr/>
              <w:t>Labor and Other Employment Matters</w:t>
            </w:r>
          </w:p>
        </w:tc>
        <w:tc>
          <w:tcPr>
            <w:tcW w:w="530" w:type="dxa"/>
            <w:tcBorders/>
            <w:shd w:fill="FFFFFF" w:val="clear"/>
            <w:vAlign w:val="center"/>
          </w:tcPr>
          <w:p>
            <w:pPr>
              <w:pStyle w:val="TableContents"/>
              <w:bidi w:val="0"/>
              <w:spacing w:before="0" w:after="283"/>
              <w:jc w:val="center"/>
              <w:rPr/>
            </w:pPr>
            <w:r>
              <w:rPr/>
              <w:t>24</w:t>
            </w:r>
          </w:p>
        </w:tc>
      </w:tr>
      <w:tr>
        <w:trPr/>
        <w:tc>
          <w:tcPr>
            <w:tcW w:w="692" w:type="dxa"/>
            <w:tcBorders/>
            <w:shd w:fill="CCEEFF" w:val="clear"/>
            <w:vAlign w:val="center"/>
          </w:tcPr>
          <w:p>
            <w:pPr>
              <w:pStyle w:val="TableContents"/>
              <w:bidi w:val="0"/>
              <w:spacing w:before="0" w:after="283"/>
              <w:jc w:val="left"/>
              <w:rPr/>
            </w:pPr>
            <w:r>
              <w:rPr/>
              <w:t>3.11</w:t>
            </w:r>
          </w:p>
        </w:tc>
        <w:tc>
          <w:tcPr>
            <w:tcW w:w="7367" w:type="dxa"/>
            <w:tcBorders/>
            <w:shd w:fill="CCEEFF" w:val="clear"/>
            <w:vAlign w:val="center"/>
          </w:tcPr>
          <w:p>
            <w:pPr>
              <w:pStyle w:val="TableContents"/>
              <w:bidi w:val="0"/>
              <w:spacing w:before="0" w:after="283"/>
              <w:jc w:val="left"/>
              <w:rPr/>
            </w:pPr>
            <w:r>
              <w:rPr/>
              <w:t>Contracts</w:t>
            </w:r>
          </w:p>
        </w:tc>
        <w:tc>
          <w:tcPr>
            <w:tcW w:w="530" w:type="dxa"/>
            <w:tcBorders/>
            <w:shd w:fill="CCEEFF" w:val="clear"/>
            <w:vAlign w:val="center"/>
          </w:tcPr>
          <w:p>
            <w:pPr>
              <w:pStyle w:val="TableContents"/>
              <w:bidi w:val="0"/>
              <w:spacing w:before="0" w:after="283"/>
              <w:jc w:val="center"/>
              <w:rPr/>
            </w:pPr>
            <w:r>
              <w:rPr/>
              <w:t>27</w:t>
            </w:r>
          </w:p>
        </w:tc>
      </w:tr>
      <w:tr>
        <w:trPr/>
        <w:tc>
          <w:tcPr>
            <w:tcW w:w="692" w:type="dxa"/>
            <w:tcBorders/>
            <w:shd w:fill="FFFFFF" w:val="clear"/>
            <w:vAlign w:val="center"/>
          </w:tcPr>
          <w:p>
            <w:pPr>
              <w:pStyle w:val="TableContents"/>
              <w:bidi w:val="0"/>
              <w:spacing w:before="0" w:after="283"/>
              <w:jc w:val="left"/>
              <w:rPr/>
            </w:pPr>
            <w:r>
              <w:rPr/>
              <w:t>3.12</w:t>
            </w:r>
          </w:p>
        </w:tc>
        <w:tc>
          <w:tcPr>
            <w:tcW w:w="7367" w:type="dxa"/>
            <w:tcBorders/>
            <w:shd w:fill="FFFFFF" w:val="clear"/>
            <w:vAlign w:val="center"/>
          </w:tcPr>
          <w:p>
            <w:pPr>
              <w:pStyle w:val="TableContents"/>
              <w:bidi w:val="0"/>
              <w:spacing w:before="0" w:after="283"/>
              <w:jc w:val="left"/>
              <w:rPr/>
            </w:pPr>
            <w:r>
              <w:rPr/>
              <w:t>Permits</w:t>
            </w:r>
          </w:p>
        </w:tc>
        <w:tc>
          <w:tcPr>
            <w:tcW w:w="530" w:type="dxa"/>
            <w:tcBorders/>
            <w:shd w:fill="FFFFFF" w:val="clear"/>
            <w:vAlign w:val="center"/>
          </w:tcPr>
          <w:p>
            <w:pPr>
              <w:pStyle w:val="TableContents"/>
              <w:bidi w:val="0"/>
              <w:spacing w:before="0" w:after="283"/>
              <w:jc w:val="center"/>
              <w:rPr/>
            </w:pPr>
            <w:r>
              <w:rPr/>
              <w:t>30</w:t>
            </w:r>
          </w:p>
        </w:tc>
      </w:tr>
      <w:tr>
        <w:trPr/>
        <w:tc>
          <w:tcPr>
            <w:tcW w:w="692" w:type="dxa"/>
            <w:tcBorders/>
            <w:shd w:fill="CCEEFF" w:val="clear"/>
            <w:vAlign w:val="center"/>
          </w:tcPr>
          <w:p>
            <w:pPr>
              <w:pStyle w:val="TableContents"/>
              <w:bidi w:val="0"/>
              <w:spacing w:before="0" w:after="283"/>
              <w:jc w:val="left"/>
              <w:rPr/>
            </w:pPr>
            <w:r>
              <w:rPr/>
              <w:t>3.13</w:t>
            </w:r>
          </w:p>
        </w:tc>
        <w:tc>
          <w:tcPr>
            <w:tcW w:w="7367" w:type="dxa"/>
            <w:tcBorders/>
            <w:shd w:fill="CCEEFF" w:val="clear"/>
            <w:vAlign w:val="center"/>
          </w:tcPr>
          <w:p>
            <w:pPr>
              <w:pStyle w:val="TableContents"/>
              <w:bidi w:val="0"/>
              <w:spacing w:before="0" w:after="283"/>
              <w:jc w:val="left"/>
              <w:rPr/>
            </w:pPr>
            <w:r>
              <w:rPr/>
              <w:t>Litigation</w:t>
            </w:r>
          </w:p>
        </w:tc>
        <w:tc>
          <w:tcPr>
            <w:tcW w:w="530" w:type="dxa"/>
            <w:tcBorders/>
            <w:shd w:fill="CCEEFF" w:val="clear"/>
            <w:vAlign w:val="center"/>
          </w:tcPr>
          <w:p>
            <w:pPr>
              <w:pStyle w:val="TableContents"/>
              <w:bidi w:val="0"/>
              <w:spacing w:before="0" w:after="283"/>
              <w:jc w:val="center"/>
              <w:rPr/>
            </w:pPr>
            <w:r>
              <w:rPr/>
              <w:t>30</w:t>
            </w:r>
          </w:p>
        </w:tc>
      </w:tr>
      <w:tr>
        <w:trPr/>
        <w:tc>
          <w:tcPr>
            <w:tcW w:w="692" w:type="dxa"/>
            <w:tcBorders/>
            <w:shd w:fill="FFFFFF" w:val="clear"/>
            <w:vAlign w:val="center"/>
          </w:tcPr>
          <w:p>
            <w:pPr>
              <w:pStyle w:val="TableContents"/>
              <w:bidi w:val="0"/>
              <w:spacing w:before="0" w:after="283"/>
              <w:jc w:val="left"/>
              <w:rPr/>
            </w:pPr>
            <w:r>
              <w:rPr/>
              <w:t>3.14</w:t>
            </w:r>
          </w:p>
        </w:tc>
        <w:tc>
          <w:tcPr>
            <w:tcW w:w="7367" w:type="dxa"/>
            <w:tcBorders/>
            <w:shd w:fill="FFFFFF" w:val="clear"/>
            <w:vAlign w:val="center"/>
          </w:tcPr>
          <w:p>
            <w:pPr>
              <w:pStyle w:val="TableContents"/>
              <w:bidi w:val="0"/>
              <w:spacing w:before="0" w:after="283"/>
              <w:jc w:val="left"/>
              <w:rPr/>
            </w:pPr>
            <w:r>
              <w:rPr/>
              <w:t>Environmental Matters</w:t>
            </w:r>
          </w:p>
        </w:tc>
        <w:tc>
          <w:tcPr>
            <w:tcW w:w="530" w:type="dxa"/>
            <w:tcBorders/>
            <w:shd w:fill="FFFFFF" w:val="clear"/>
            <w:vAlign w:val="center"/>
          </w:tcPr>
          <w:p>
            <w:pPr>
              <w:pStyle w:val="TableContents"/>
              <w:bidi w:val="0"/>
              <w:spacing w:before="0" w:after="283"/>
              <w:jc w:val="center"/>
              <w:rPr/>
            </w:pPr>
            <w:r>
              <w:rPr/>
              <w:t>31</w:t>
            </w:r>
          </w:p>
        </w:tc>
      </w:tr>
      <w:tr>
        <w:trPr/>
        <w:tc>
          <w:tcPr>
            <w:tcW w:w="692" w:type="dxa"/>
            <w:tcBorders/>
            <w:shd w:fill="CCEEFF" w:val="clear"/>
            <w:vAlign w:val="center"/>
          </w:tcPr>
          <w:p>
            <w:pPr>
              <w:pStyle w:val="TableContents"/>
              <w:bidi w:val="0"/>
              <w:spacing w:before="0" w:after="283"/>
              <w:jc w:val="left"/>
              <w:rPr/>
            </w:pPr>
            <w:r>
              <w:rPr/>
              <w:t>3.15</w:t>
            </w:r>
          </w:p>
        </w:tc>
        <w:tc>
          <w:tcPr>
            <w:tcW w:w="7367" w:type="dxa"/>
            <w:tcBorders/>
            <w:shd w:fill="CCEEFF" w:val="clear"/>
            <w:vAlign w:val="center"/>
          </w:tcPr>
          <w:p>
            <w:pPr>
              <w:pStyle w:val="TableContents"/>
              <w:bidi w:val="0"/>
              <w:spacing w:before="0" w:after="283"/>
              <w:jc w:val="left"/>
              <w:rPr/>
            </w:pPr>
            <w:r>
              <w:rPr/>
              <w:t>Intellectual Property</w:t>
            </w:r>
          </w:p>
        </w:tc>
        <w:tc>
          <w:tcPr>
            <w:tcW w:w="530" w:type="dxa"/>
            <w:tcBorders/>
            <w:shd w:fill="CCEEFF" w:val="clear"/>
            <w:vAlign w:val="center"/>
          </w:tcPr>
          <w:p>
            <w:pPr>
              <w:pStyle w:val="TableContents"/>
              <w:bidi w:val="0"/>
              <w:spacing w:before="0" w:after="283"/>
              <w:jc w:val="center"/>
              <w:rPr/>
            </w:pPr>
            <w:r>
              <w:rPr/>
              <w:t>31</w:t>
            </w:r>
          </w:p>
        </w:tc>
      </w:tr>
      <w:tr>
        <w:trPr/>
        <w:tc>
          <w:tcPr>
            <w:tcW w:w="692" w:type="dxa"/>
            <w:tcBorders/>
            <w:shd w:fill="FFFFFF" w:val="clear"/>
            <w:vAlign w:val="center"/>
          </w:tcPr>
          <w:p>
            <w:pPr>
              <w:pStyle w:val="TableContents"/>
              <w:bidi w:val="0"/>
              <w:spacing w:before="0" w:after="283"/>
              <w:jc w:val="left"/>
              <w:rPr/>
            </w:pPr>
            <w:r>
              <w:rPr/>
              <w:t>3.16</w:t>
            </w:r>
          </w:p>
        </w:tc>
        <w:tc>
          <w:tcPr>
            <w:tcW w:w="7367" w:type="dxa"/>
            <w:tcBorders/>
            <w:shd w:fill="FFFFFF" w:val="clear"/>
            <w:vAlign w:val="center"/>
          </w:tcPr>
          <w:p>
            <w:pPr>
              <w:pStyle w:val="TableContents"/>
              <w:bidi w:val="0"/>
              <w:spacing w:before="0" w:after="283"/>
              <w:jc w:val="left"/>
              <w:rPr/>
            </w:pPr>
            <w:r>
              <w:rPr/>
              <w:t>Data Privacy and Security</w:t>
            </w:r>
          </w:p>
        </w:tc>
        <w:tc>
          <w:tcPr>
            <w:tcW w:w="530" w:type="dxa"/>
            <w:tcBorders/>
            <w:shd w:fill="FFFFFF" w:val="clear"/>
            <w:vAlign w:val="center"/>
          </w:tcPr>
          <w:p>
            <w:pPr>
              <w:pStyle w:val="TableContents"/>
              <w:bidi w:val="0"/>
              <w:spacing w:before="0" w:after="283"/>
              <w:jc w:val="center"/>
              <w:rPr/>
            </w:pPr>
            <w:r>
              <w:rPr/>
              <w:t>34</w:t>
            </w:r>
          </w:p>
        </w:tc>
      </w:tr>
      <w:tr>
        <w:trPr/>
        <w:tc>
          <w:tcPr>
            <w:tcW w:w="692" w:type="dxa"/>
            <w:tcBorders/>
            <w:shd w:fill="CCEEFF" w:val="clear"/>
            <w:vAlign w:val="center"/>
          </w:tcPr>
          <w:p>
            <w:pPr>
              <w:pStyle w:val="TableContents"/>
              <w:bidi w:val="0"/>
              <w:spacing w:before="0" w:after="283"/>
              <w:jc w:val="left"/>
              <w:rPr/>
            </w:pPr>
            <w:r>
              <w:rPr/>
              <w:t>3.17</w:t>
            </w:r>
          </w:p>
        </w:tc>
        <w:tc>
          <w:tcPr>
            <w:tcW w:w="7367" w:type="dxa"/>
            <w:tcBorders/>
            <w:shd w:fill="CCEEFF" w:val="clear"/>
            <w:vAlign w:val="center"/>
          </w:tcPr>
          <w:p>
            <w:pPr>
              <w:pStyle w:val="TableContents"/>
              <w:bidi w:val="0"/>
              <w:spacing w:before="0" w:after="283"/>
              <w:jc w:val="left"/>
              <w:rPr/>
            </w:pPr>
            <w:r>
              <w:rPr/>
              <w:t>Tax Matters</w:t>
            </w:r>
          </w:p>
        </w:tc>
        <w:tc>
          <w:tcPr>
            <w:tcW w:w="530" w:type="dxa"/>
            <w:tcBorders/>
            <w:shd w:fill="CCEEFF" w:val="clear"/>
            <w:vAlign w:val="center"/>
          </w:tcPr>
          <w:p>
            <w:pPr>
              <w:pStyle w:val="TableContents"/>
              <w:bidi w:val="0"/>
              <w:spacing w:before="0" w:after="283"/>
              <w:jc w:val="center"/>
              <w:rPr/>
            </w:pPr>
            <w:r>
              <w:rPr/>
              <w:t>35</w:t>
            </w:r>
          </w:p>
        </w:tc>
      </w:tr>
      <w:tr>
        <w:trPr/>
        <w:tc>
          <w:tcPr>
            <w:tcW w:w="692" w:type="dxa"/>
            <w:tcBorders/>
            <w:shd w:fill="FFFFFF" w:val="clear"/>
            <w:vAlign w:val="center"/>
          </w:tcPr>
          <w:p>
            <w:pPr>
              <w:pStyle w:val="TableContents"/>
              <w:bidi w:val="0"/>
              <w:spacing w:before="0" w:after="283"/>
              <w:jc w:val="left"/>
              <w:rPr/>
            </w:pPr>
            <w:r>
              <w:rPr/>
              <w:t>3.18</w:t>
            </w:r>
          </w:p>
        </w:tc>
        <w:tc>
          <w:tcPr>
            <w:tcW w:w="7367" w:type="dxa"/>
            <w:tcBorders/>
            <w:shd w:fill="FFFFFF" w:val="clear"/>
            <w:vAlign w:val="center"/>
          </w:tcPr>
          <w:p>
            <w:pPr>
              <w:pStyle w:val="TableContents"/>
              <w:bidi w:val="0"/>
              <w:spacing w:before="0" w:after="283"/>
              <w:jc w:val="left"/>
              <w:rPr/>
            </w:pPr>
            <w:r>
              <w:rPr/>
              <w:t>Real Property; Title to Assets</w:t>
            </w:r>
          </w:p>
        </w:tc>
        <w:tc>
          <w:tcPr>
            <w:tcW w:w="530" w:type="dxa"/>
            <w:tcBorders/>
            <w:shd w:fill="FFFFFF" w:val="clear"/>
            <w:vAlign w:val="center"/>
          </w:tcPr>
          <w:p>
            <w:pPr>
              <w:pStyle w:val="TableContents"/>
              <w:bidi w:val="0"/>
              <w:spacing w:before="0" w:after="283"/>
              <w:jc w:val="center"/>
              <w:rPr/>
            </w:pPr>
            <w:r>
              <w:rPr/>
              <w:t>38</w:t>
            </w:r>
          </w:p>
        </w:tc>
      </w:tr>
      <w:tr>
        <w:trPr/>
        <w:tc>
          <w:tcPr>
            <w:tcW w:w="692" w:type="dxa"/>
            <w:tcBorders/>
            <w:shd w:fill="CCEEFF" w:val="clear"/>
            <w:vAlign w:val="center"/>
          </w:tcPr>
          <w:p>
            <w:pPr>
              <w:pStyle w:val="TableContents"/>
              <w:bidi w:val="0"/>
              <w:spacing w:before="0" w:after="283"/>
              <w:jc w:val="left"/>
              <w:rPr/>
            </w:pPr>
            <w:r>
              <w:rPr/>
              <w:t>3.19</w:t>
            </w:r>
          </w:p>
        </w:tc>
        <w:tc>
          <w:tcPr>
            <w:tcW w:w="7367" w:type="dxa"/>
            <w:tcBorders/>
            <w:shd w:fill="CCEEFF" w:val="clear"/>
            <w:vAlign w:val="center"/>
          </w:tcPr>
          <w:p>
            <w:pPr>
              <w:pStyle w:val="TableContents"/>
              <w:bidi w:val="0"/>
              <w:spacing w:before="0" w:after="283"/>
              <w:jc w:val="left"/>
              <w:rPr/>
            </w:pPr>
            <w:r>
              <w:rPr/>
              <w:t>Anti-Corruption</w:t>
            </w:r>
          </w:p>
        </w:tc>
        <w:tc>
          <w:tcPr>
            <w:tcW w:w="530" w:type="dxa"/>
            <w:tcBorders/>
            <w:shd w:fill="CCEEFF" w:val="clear"/>
            <w:vAlign w:val="center"/>
          </w:tcPr>
          <w:p>
            <w:pPr>
              <w:pStyle w:val="TableContents"/>
              <w:bidi w:val="0"/>
              <w:spacing w:before="0" w:after="283"/>
              <w:jc w:val="center"/>
              <w:rPr/>
            </w:pPr>
            <w:r>
              <w:rPr/>
              <w:t>38</w:t>
            </w:r>
          </w:p>
        </w:tc>
      </w:tr>
      <w:tr>
        <w:trPr/>
        <w:tc>
          <w:tcPr>
            <w:tcW w:w="692" w:type="dxa"/>
            <w:tcBorders/>
            <w:shd w:fill="FFFFFF" w:val="clear"/>
            <w:vAlign w:val="center"/>
          </w:tcPr>
          <w:p>
            <w:pPr>
              <w:pStyle w:val="TableContents"/>
              <w:bidi w:val="0"/>
              <w:spacing w:before="0" w:after="283"/>
              <w:jc w:val="left"/>
              <w:rPr/>
            </w:pPr>
            <w:r>
              <w:rPr/>
              <w:t>3.20</w:t>
            </w:r>
          </w:p>
        </w:tc>
        <w:tc>
          <w:tcPr>
            <w:tcW w:w="7367" w:type="dxa"/>
            <w:tcBorders/>
            <w:shd w:fill="FFFFFF" w:val="clear"/>
            <w:vAlign w:val="center"/>
          </w:tcPr>
          <w:p>
            <w:pPr>
              <w:pStyle w:val="TableContents"/>
              <w:bidi w:val="0"/>
              <w:spacing w:before="0" w:after="283"/>
              <w:jc w:val="left"/>
              <w:rPr/>
            </w:pPr>
            <w:r>
              <w:rPr/>
              <w:t>International Trade</w:t>
            </w:r>
          </w:p>
        </w:tc>
        <w:tc>
          <w:tcPr>
            <w:tcW w:w="530" w:type="dxa"/>
            <w:tcBorders/>
            <w:shd w:fill="FFFFFF" w:val="clear"/>
            <w:vAlign w:val="center"/>
          </w:tcPr>
          <w:p>
            <w:pPr>
              <w:pStyle w:val="TableContents"/>
              <w:bidi w:val="0"/>
              <w:spacing w:before="0" w:after="283"/>
              <w:jc w:val="center"/>
              <w:rPr/>
            </w:pPr>
            <w:r>
              <w:rPr/>
              <w:t>39</w:t>
            </w:r>
          </w:p>
        </w:tc>
      </w:tr>
      <w:tr>
        <w:trPr/>
        <w:tc>
          <w:tcPr>
            <w:tcW w:w="692" w:type="dxa"/>
            <w:tcBorders/>
            <w:shd w:fill="CCEEFF" w:val="clear"/>
            <w:vAlign w:val="center"/>
          </w:tcPr>
          <w:p>
            <w:pPr>
              <w:pStyle w:val="TableContents"/>
              <w:bidi w:val="0"/>
              <w:spacing w:before="0" w:after="283"/>
              <w:jc w:val="left"/>
              <w:rPr/>
            </w:pPr>
            <w:r>
              <w:rPr/>
              <w:t>3.21</w:t>
            </w:r>
          </w:p>
        </w:tc>
        <w:tc>
          <w:tcPr>
            <w:tcW w:w="7367" w:type="dxa"/>
            <w:tcBorders/>
            <w:shd w:fill="CCEEFF" w:val="clear"/>
            <w:vAlign w:val="center"/>
          </w:tcPr>
          <w:p>
            <w:pPr>
              <w:pStyle w:val="TableContents"/>
              <w:bidi w:val="0"/>
              <w:spacing w:before="0" w:after="283"/>
              <w:jc w:val="left"/>
              <w:rPr/>
            </w:pPr>
            <w:r>
              <w:rPr/>
              <w:t>Opinion of Financial Advisor</w:t>
            </w:r>
          </w:p>
        </w:tc>
        <w:tc>
          <w:tcPr>
            <w:tcW w:w="530" w:type="dxa"/>
            <w:tcBorders/>
            <w:shd w:fill="CCEEFF" w:val="clear"/>
            <w:vAlign w:val="center"/>
          </w:tcPr>
          <w:p>
            <w:pPr>
              <w:pStyle w:val="TableContents"/>
              <w:bidi w:val="0"/>
              <w:spacing w:before="0" w:after="283"/>
              <w:jc w:val="center"/>
              <w:rPr/>
            </w:pPr>
            <w:r>
              <w:rPr/>
              <w:t>40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475"/>
        <w:gridCol w:w="275"/>
      </w:tblGrid>
      <w:tr>
        <w:trPr/>
        <w:tc>
          <w:tcPr>
            <w:tcW w:w="455" w:type="dxa"/>
            <w:tcBorders/>
            <w:shd w:fill="CCEEFF" w:val="clear"/>
            <w:vAlign w:val="center"/>
          </w:tcPr>
          <w:p>
            <w:pPr>
              <w:pStyle w:val="TableContents"/>
              <w:bidi w:val="0"/>
              <w:spacing w:before="0" w:after="283"/>
              <w:jc w:val="left"/>
              <w:rPr/>
            </w:pPr>
            <w:r>
              <w:rPr/>
              <w:t>3.22</w:t>
            </w:r>
          </w:p>
        </w:tc>
        <w:tc>
          <w:tcPr>
            <w:tcW w:w="9475" w:type="dxa"/>
            <w:tcBorders/>
            <w:shd w:fill="CCEEFF" w:val="clear"/>
            <w:vAlign w:val="center"/>
          </w:tcPr>
          <w:p>
            <w:pPr>
              <w:pStyle w:val="TableContents"/>
              <w:bidi w:val="0"/>
              <w:spacing w:before="0" w:after="283"/>
              <w:jc w:val="left"/>
              <w:rPr/>
            </w:pPr>
            <w:r>
              <w:rPr/>
              <w:t>Information Supplied</w:t>
            </w:r>
          </w:p>
        </w:tc>
        <w:tc>
          <w:tcPr>
            <w:tcW w:w="275" w:type="dxa"/>
            <w:tcBorders/>
            <w:shd w:fill="CCEEFF" w:val="clear"/>
            <w:vAlign w:val="center"/>
          </w:tcPr>
          <w:p>
            <w:pPr>
              <w:pStyle w:val="TableContents"/>
              <w:bidi w:val="0"/>
              <w:spacing w:before="0" w:after="283"/>
              <w:jc w:val="center"/>
              <w:rPr/>
            </w:pPr>
            <w:r>
              <w:rPr/>
              <w:t>40</w:t>
            </w:r>
          </w:p>
        </w:tc>
      </w:tr>
      <w:tr>
        <w:trPr/>
        <w:tc>
          <w:tcPr>
            <w:tcW w:w="455" w:type="dxa"/>
            <w:tcBorders/>
            <w:shd w:fill="FFFFFF" w:val="clear"/>
            <w:vAlign w:val="center"/>
          </w:tcPr>
          <w:p>
            <w:pPr>
              <w:pStyle w:val="TableContents"/>
              <w:bidi w:val="0"/>
              <w:spacing w:before="0" w:after="283"/>
              <w:jc w:val="left"/>
              <w:rPr/>
            </w:pPr>
            <w:r>
              <w:rPr/>
              <w:t>3.23</w:t>
            </w:r>
          </w:p>
        </w:tc>
        <w:tc>
          <w:tcPr>
            <w:tcW w:w="9475" w:type="dxa"/>
            <w:tcBorders/>
            <w:shd w:fill="FFFFFF" w:val="clear"/>
            <w:vAlign w:val="center"/>
          </w:tcPr>
          <w:p>
            <w:pPr>
              <w:pStyle w:val="TableContents"/>
              <w:bidi w:val="0"/>
              <w:spacing w:before="0" w:after="283"/>
              <w:jc w:val="left"/>
              <w:rPr/>
            </w:pPr>
            <w:r>
              <w:rPr/>
              <w:t>Takeover Statutes</w:t>
            </w:r>
          </w:p>
        </w:tc>
        <w:tc>
          <w:tcPr>
            <w:tcW w:w="275" w:type="dxa"/>
            <w:tcBorders/>
            <w:shd w:fill="FFFFFF" w:val="clear"/>
            <w:vAlign w:val="center"/>
          </w:tcPr>
          <w:p>
            <w:pPr>
              <w:pStyle w:val="TableContents"/>
              <w:bidi w:val="0"/>
              <w:spacing w:before="0" w:after="283"/>
              <w:jc w:val="center"/>
              <w:rPr/>
            </w:pPr>
            <w:r>
              <w:rPr/>
              <w:t>40</w:t>
            </w:r>
          </w:p>
        </w:tc>
      </w:tr>
      <w:tr>
        <w:trPr/>
        <w:tc>
          <w:tcPr>
            <w:tcW w:w="455" w:type="dxa"/>
            <w:tcBorders/>
            <w:shd w:fill="CCEEFF" w:val="clear"/>
            <w:vAlign w:val="center"/>
          </w:tcPr>
          <w:p>
            <w:pPr>
              <w:pStyle w:val="TableContents"/>
              <w:bidi w:val="0"/>
              <w:spacing w:before="0" w:after="283"/>
              <w:jc w:val="left"/>
              <w:rPr/>
            </w:pPr>
            <w:r>
              <w:rPr/>
              <w:t>3.24</w:t>
            </w:r>
          </w:p>
        </w:tc>
        <w:tc>
          <w:tcPr>
            <w:tcW w:w="9475" w:type="dxa"/>
            <w:tcBorders/>
            <w:shd w:fill="CCEEFF" w:val="clear"/>
            <w:vAlign w:val="center"/>
          </w:tcPr>
          <w:p>
            <w:pPr>
              <w:pStyle w:val="TableContents"/>
              <w:bidi w:val="0"/>
              <w:spacing w:before="0" w:after="283"/>
              <w:jc w:val="left"/>
              <w:rPr/>
            </w:pPr>
            <w:r>
              <w:rPr/>
              <w:t>Related Party Transactions</w:t>
            </w:r>
          </w:p>
        </w:tc>
        <w:tc>
          <w:tcPr>
            <w:tcW w:w="275" w:type="dxa"/>
            <w:tcBorders/>
            <w:shd w:fill="CCEEFF" w:val="clear"/>
            <w:vAlign w:val="center"/>
          </w:tcPr>
          <w:p>
            <w:pPr>
              <w:pStyle w:val="TableContents"/>
              <w:bidi w:val="0"/>
              <w:spacing w:before="0" w:after="283"/>
              <w:jc w:val="center"/>
              <w:rPr/>
            </w:pPr>
            <w:r>
              <w:rPr/>
              <w:t>41</w:t>
            </w:r>
          </w:p>
        </w:tc>
      </w:tr>
      <w:tr>
        <w:trPr/>
        <w:tc>
          <w:tcPr>
            <w:tcW w:w="455" w:type="dxa"/>
            <w:tcBorders/>
            <w:shd w:fill="FFFFFF" w:val="clear"/>
            <w:vAlign w:val="center"/>
          </w:tcPr>
          <w:p>
            <w:pPr>
              <w:pStyle w:val="TableContents"/>
              <w:bidi w:val="0"/>
              <w:spacing w:before="0" w:after="283"/>
              <w:jc w:val="left"/>
              <w:rPr/>
            </w:pPr>
            <w:r>
              <w:rPr/>
              <w:t>3.25</w:t>
            </w:r>
          </w:p>
        </w:tc>
        <w:tc>
          <w:tcPr>
            <w:tcW w:w="9475" w:type="dxa"/>
            <w:tcBorders/>
            <w:shd w:fill="FFFFFF" w:val="clear"/>
            <w:vAlign w:val="center"/>
          </w:tcPr>
          <w:p>
            <w:pPr>
              <w:pStyle w:val="TableContents"/>
              <w:bidi w:val="0"/>
              <w:spacing w:before="0" w:after="283"/>
              <w:jc w:val="left"/>
              <w:rPr/>
            </w:pPr>
            <w:r>
              <w:rPr/>
              <w:t>Insurance</w:t>
            </w:r>
          </w:p>
        </w:tc>
        <w:tc>
          <w:tcPr>
            <w:tcW w:w="275" w:type="dxa"/>
            <w:tcBorders/>
            <w:shd w:fill="FFFFFF" w:val="clear"/>
            <w:vAlign w:val="center"/>
          </w:tcPr>
          <w:p>
            <w:pPr>
              <w:pStyle w:val="TableContents"/>
              <w:bidi w:val="0"/>
              <w:spacing w:before="0" w:after="283"/>
              <w:jc w:val="center"/>
              <w:rPr/>
            </w:pPr>
            <w:r>
              <w:rPr/>
              <w:t>41</w:t>
            </w:r>
          </w:p>
        </w:tc>
      </w:tr>
      <w:tr>
        <w:trPr/>
        <w:tc>
          <w:tcPr>
            <w:tcW w:w="455" w:type="dxa"/>
            <w:tcBorders/>
            <w:shd w:fill="CCEEFF" w:val="clear"/>
            <w:vAlign w:val="center"/>
          </w:tcPr>
          <w:p>
            <w:pPr>
              <w:pStyle w:val="TableContents"/>
              <w:bidi w:val="0"/>
              <w:spacing w:before="0" w:after="283"/>
              <w:jc w:val="left"/>
              <w:rPr/>
            </w:pPr>
            <w:r>
              <w:rPr/>
              <w:t>3.26</w:t>
            </w:r>
          </w:p>
        </w:tc>
        <w:tc>
          <w:tcPr>
            <w:tcW w:w="9475" w:type="dxa"/>
            <w:tcBorders/>
            <w:shd w:fill="CCEEFF" w:val="clear"/>
            <w:vAlign w:val="center"/>
          </w:tcPr>
          <w:p>
            <w:pPr>
              <w:pStyle w:val="TableContents"/>
              <w:bidi w:val="0"/>
              <w:spacing w:before="0" w:after="283"/>
              <w:jc w:val="left"/>
              <w:rPr/>
            </w:pPr>
            <w:r>
              <w:rPr/>
              <w:t>Brokers</w:t>
            </w:r>
          </w:p>
        </w:tc>
        <w:tc>
          <w:tcPr>
            <w:tcW w:w="275" w:type="dxa"/>
            <w:tcBorders/>
            <w:shd w:fill="CCEEFF" w:val="clear"/>
            <w:vAlign w:val="center"/>
          </w:tcPr>
          <w:p>
            <w:pPr>
              <w:pStyle w:val="TableContents"/>
              <w:bidi w:val="0"/>
              <w:spacing w:before="0" w:after="283"/>
              <w:jc w:val="center"/>
              <w:rPr/>
            </w:pPr>
            <w:r>
              <w:rPr/>
              <w:t>41</w:t>
            </w:r>
          </w:p>
        </w:tc>
      </w:tr>
      <w:tr>
        <w:trPr/>
        <w:tc>
          <w:tcPr>
            <w:tcW w:w="455" w:type="dxa"/>
            <w:tcBorders/>
            <w:shd w:fill="FFFFFF" w:val="clear"/>
            <w:vAlign w:val="center"/>
          </w:tcPr>
          <w:p>
            <w:pPr>
              <w:pStyle w:val="TableContents"/>
              <w:bidi w:val="0"/>
              <w:spacing w:before="0" w:after="283"/>
              <w:jc w:val="left"/>
              <w:rPr/>
            </w:pPr>
            <w:r>
              <w:rPr/>
              <w:t>3.27</w:t>
            </w:r>
          </w:p>
        </w:tc>
        <w:tc>
          <w:tcPr>
            <w:tcW w:w="9475" w:type="dxa"/>
            <w:tcBorders/>
            <w:shd w:fill="FFFFFF" w:val="clear"/>
            <w:vAlign w:val="center"/>
          </w:tcPr>
          <w:p>
            <w:pPr>
              <w:pStyle w:val="TableContents"/>
              <w:bidi w:val="0"/>
              <w:spacing w:before="0" w:after="283"/>
              <w:jc w:val="left"/>
              <w:rPr/>
            </w:pPr>
            <w:r>
              <w:rPr/>
              <w:t>No Other Representations or Warranties</w:t>
            </w:r>
          </w:p>
        </w:tc>
        <w:tc>
          <w:tcPr>
            <w:tcW w:w="275" w:type="dxa"/>
            <w:tcBorders/>
            <w:shd w:fill="FFFFFF" w:val="clear"/>
            <w:vAlign w:val="center"/>
          </w:tcPr>
          <w:p>
            <w:pPr>
              <w:pStyle w:val="TableContents"/>
              <w:bidi w:val="0"/>
              <w:spacing w:before="0" w:after="283"/>
              <w:jc w:val="center"/>
              <w:rPr/>
            </w:pPr>
            <w:r>
              <w:rPr/>
              <w:t>41</w:t>
            </w:r>
          </w:p>
        </w:tc>
      </w:tr>
      <w:tr>
        <w:trPr/>
        <w:tc>
          <w:tcPr>
            <w:tcW w:w="455" w:type="dxa"/>
            <w:tcBorders/>
            <w:shd w:fill="CCEEFF" w:val="clear"/>
            <w:vAlign w:val="center"/>
          </w:tcPr>
          <w:p>
            <w:pPr>
              <w:pStyle w:val="TableContents"/>
              <w:bidi w:val="0"/>
              <w:spacing w:before="0" w:after="283"/>
              <w:jc w:val="left"/>
              <w:rPr/>
            </w:pPr>
            <w:r>
              <w:rPr/>
              <w:t> </w:t>
            </w:r>
          </w:p>
        </w:tc>
        <w:tc>
          <w:tcPr>
            <w:tcW w:w="94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9930" w:type="dxa"/>
            <w:gridSpan w:val="2"/>
            <w:tcBorders/>
            <w:shd w:fill="FFFFFF" w:val="clear"/>
            <w:vAlign w:val="center"/>
          </w:tcPr>
          <w:p>
            <w:pPr>
              <w:pStyle w:val="TableContents"/>
              <w:bidi w:val="0"/>
              <w:spacing w:before="0" w:after="283"/>
              <w:jc w:val="left"/>
              <w:rPr/>
            </w:pPr>
            <w:r>
              <w:rPr/>
              <w:t>ARTICLE 4 REPRESENTATIONS AND WARRANTIES OF PARENT AND MERGER SUBS</w:t>
            </w:r>
          </w:p>
        </w:tc>
        <w:tc>
          <w:tcPr>
            <w:tcW w:w="275" w:type="dxa"/>
            <w:tcBorders/>
            <w:shd w:fill="FFFFFF" w:val="clear"/>
            <w:vAlign w:val="center"/>
          </w:tcPr>
          <w:p>
            <w:pPr>
              <w:pStyle w:val="TableContents"/>
              <w:bidi w:val="0"/>
              <w:spacing w:before="0" w:after="283"/>
              <w:jc w:val="center"/>
              <w:rPr/>
            </w:pPr>
            <w:r>
              <w:rPr/>
              <w:t>42</w:t>
            </w:r>
          </w:p>
        </w:tc>
      </w:tr>
      <w:tr>
        <w:trPr/>
        <w:tc>
          <w:tcPr>
            <w:tcW w:w="9930"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4.1</w:t>
            </w:r>
          </w:p>
        </w:tc>
        <w:tc>
          <w:tcPr>
            <w:tcW w:w="9475" w:type="dxa"/>
            <w:tcBorders/>
            <w:shd w:fill="FFFFFF" w:val="clear"/>
            <w:vAlign w:val="center"/>
          </w:tcPr>
          <w:p>
            <w:pPr>
              <w:pStyle w:val="TableContents"/>
              <w:bidi w:val="0"/>
              <w:spacing w:before="0" w:after="283"/>
              <w:jc w:val="left"/>
              <w:rPr/>
            </w:pPr>
            <w:r>
              <w:rPr/>
              <w:t>Organization and Qualification</w:t>
            </w:r>
          </w:p>
        </w:tc>
        <w:tc>
          <w:tcPr>
            <w:tcW w:w="275" w:type="dxa"/>
            <w:tcBorders/>
            <w:shd w:fill="FFFFFF" w:val="clear"/>
            <w:vAlign w:val="center"/>
          </w:tcPr>
          <w:p>
            <w:pPr>
              <w:pStyle w:val="TableContents"/>
              <w:bidi w:val="0"/>
              <w:spacing w:before="0" w:after="283"/>
              <w:jc w:val="center"/>
              <w:rPr/>
            </w:pPr>
            <w:r>
              <w:rPr/>
              <w:t>42</w:t>
            </w:r>
          </w:p>
        </w:tc>
      </w:tr>
      <w:tr>
        <w:trPr/>
        <w:tc>
          <w:tcPr>
            <w:tcW w:w="455" w:type="dxa"/>
            <w:tcBorders/>
            <w:shd w:fill="CCEEFF" w:val="clear"/>
            <w:vAlign w:val="center"/>
          </w:tcPr>
          <w:p>
            <w:pPr>
              <w:pStyle w:val="TableContents"/>
              <w:bidi w:val="0"/>
              <w:spacing w:before="0" w:after="283"/>
              <w:jc w:val="left"/>
              <w:rPr/>
            </w:pPr>
            <w:r>
              <w:rPr/>
              <w:t>4.2</w:t>
            </w:r>
          </w:p>
        </w:tc>
        <w:tc>
          <w:tcPr>
            <w:tcW w:w="9475" w:type="dxa"/>
            <w:tcBorders/>
            <w:shd w:fill="CCEEFF" w:val="clear"/>
            <w:vAlign w:val="center"/>
          </w:tcPr>
          <w:p>
            <w:pPr>
              <w:pStyle w:val="TableContents"/>
              <w:bidi w:val="0"/>
              <w:spacing w:before="0" w:after="283"/>
              <w:jc w:val="left"/>
              <w:rPr/>
            </w:pPr>
            <w:r>
              <w:rPr/>
              <w:t>Authority</w:t>
            </w:r>
          </w:p>
        </w:tc>
        <w:tc>
          <w:tcPr>
            <w:tcW w:w="275" w:type="dxa"/>
            <w:tcBorders/>
            <w:shd w:fill="CCEEFF" w:val="clear"/>
            <w:vAlign w:val="center"/>
          </w:tcPr>
          <w:p>
            <w:pPr>
              <w:pStyle w:val="TableContents"/>
              <w:bidi w:val="0"/>
              <w:spacing w:before="0" w:after="283"/>
              <w:jc w:val="center"/>
              <w:rPr/>
            </w:pPr>
            <w:r>
              <w:rPr/>
              <w:t>42</w:t>
            </w:r>
          </w:p>
        </w:tc>
      </w:tr>
      <w:tr>
        <w:trPr/>
        <w:tc>
          <w:tcPr>
            <w:tcW w:w="455" w:type="dxa"/>
            <w:tcBorders/>
            <w:shd w:fill="FFFFFF" w:val="clear"/>
            <w:vAlign w:val="center"/>
          </w:tcPr>
          <w:p>
            <w:pPr>
              <w:pStyle w:val="TableContents"/>
              <w:bidi w:val="0"/>
              <w:spacing w:before="0" w:after="283"/>
              <w:jc w:val="left"/>
              <w:rPr/>
            </w:pPr>
            <w:r>
              <w:rPr/>
              <w:t>4.3</w:t>
            </w:r>
          </w:p>
        </w:tc>
        <w:tc>
          <w:tcPr>
            <w:tcW w:w="9475" w:type="dxa"/>
            <w:tcBorders/>
            <w:shd w:fill="FFFFFF" w:val="clear"/>
            <w:vAlign w:val="center"/>
          </w:tcPr>
          <w:p>
            <w:pPr>
              <w:pStyle w:val="TableContents"/>
              <w:bidi w:val="0"/>
              <w:spacing w:before="0" w:after="283"/>
              <w:jc w:val="left"/>
              <w:rPr/>
            </w:pPr>
            <w:r>
              <w:rPr/>
              <w:t>No Conflict</w:t>
            </w:r>
          </w:p>
        </w:tc>
        <w:tc>
          <w:tcPr>
            <w:tcW w:w="275" w:type="dxa"/>
            <w:tcBorders/>
            <w:shd w:fill="FFFFFF" w:val="clear"/>
            <w:vAlign w:val="center"/>
          </w:tcPr>
          <w:p>
            <w:pPr>
              <w:pStyle w:val="TableContents"/>
              <w:bidi w:val="0"/>
              <w:spacing w:before="0" w:after="283"/>
              <w:jc w:val="center"/>
              <w:rPr/>
            </w:pPr>
            <w:r>
              <w:rPr/>
              <w:t>43</w:t>
            </w:r>
          </w:p>
        </w:tc>
      </w:tr>
      <w:tr>
        <w:trPr/>
        <w:tc>
          <w:tcPr>
            <w:tcW w:w="455" w:type="dxa"/>
            <w:tcBorders/>
            <w:shd w:fill="CCEEFF" w:val="clear"/>
            <w:vAlign w:val="center"/>
          </w:tcPr>
          <w:p>
            <w:pPr>
              <w:pStyle w:val="TableContents"/>
              <w:bidi w:val="0"/>
              <w:spacing w:before="0" w:after="283"/>
              <w:jc w:val="left"/>
              <w:rPr/>
            </w:pPr>
            <w:r>
              <w:rPr/>
              <w:t>4.4</w:t>
            </w:r>
          </w:p>
        </w:tc>
        <w:tc>
          <w:tcPr>
            <w:tcW w:w="9475" w:type="dxa"/>
            <w:tcBorders/>
            <w:shd w:fill="CCEEFF" w:val="clear"/>
            <w:vAlign w:val="center"/>
          </w:tcPr>
          <w:p>
            <w:pPr>
              <w:pStyle w:val="TableContents"/>
              <w:bidi w:val="0"/>
              <w:spacing w:before="0" w:after="283"/>
              <w:jc w:val="left"/>
              <w:rPr/>
            </w:pPr>
            <w:r>
              <w:rPr/>
              <w:t>Required Filings and Consents</w:t>
            </w:r>
          </w:p>
        </w:tc>
        <w:tc>
          <w:tcPr>
            <w:tcW w:w="275" w:type="dxa"/>
            <w:tcBorders/>
            <w:shd w:fill="CCEEFF" w:val="clear"/>
            <w:vAlign w:val="center"/>
          </w:tcPr>
          <w:p>
            <w:pPr>
              <w:pStyle w:val="TableContents"/>
              <w:bidi w:val="0"/>
              <w:spacing w:before="0" w:after="283"/>
              <w:jc w:val="center"/>
              <w:rPr/>
            </w:pPr>
            <w:r>
              <w:rPr/>
              <w:t>43</w:t>
            </w:r>
          </w:p>
        </w:tc>
      </w:tr>
      <w:tr>
        <w:trPr/>
        <w:tc>
          <w:tcPr>
            <w:tcW w:w="455" w:type="dxa"/>
            <w:tcBorders/>
            <w:shd w:fill="FFFFFF" w:val="clear"/>
            <w:vAlign w:val="center"/>
          </w:tcPr>
          <w:p>
            <w:pPr>
              <w:pStyle w:val="TableContents"/>
              <w:bidi w:val="0"/>
              <w:spacing w:before="0" w:after="283"/>
              <w:jc w:val="left"/>
              <w:rPr/>
            </w:pPr>
            <w:r>
              <w:rPr/>
              <w:t>4.5</w:t>
            </w:r>
          </w:p>
        </w:tc>
        <w:tc>
          <w:tcPr>
            <w:tcW w:w="9475" w:type="dxa"/>
            <w:tcBorders/>
            <w:shd w:fill="FFFFFF" w:val="clear"/>
            <w:vAlign w:val="center"/>
          </w:tcPr>
          <w:p>
            <w:pPr>
              <w:pStyle w:val="TableContents"/>
              <w:bidi w:val="0"/>
              <w:spacing w:before="0" w:after="283"/>
              <w:jc w:val="left"/>
              <w:rPr/>
            </w:pPr>
            <w:r>
              <w:rPr/>
              <w:t>SEC Filings; Financial Statements</w:t>
            </w:r>
          </w:p>
        </w:tc>
        <w:tc>
          <w:tcPr>
            <w:tcW w:w="275" w:type="dxa"/>
            <w:tcBorders/>
            <w:shd w:fill="FFFFFF" w:val="clear"/>
            <w:vAlign w:val="center"/>
          </w:tcPr>
          <w:p>
            <w:pPr>
              <w:pStyle w:val="TableContents"/>
              <w:bidi w:val="0"/>
              <w:spacing w:before="0" w:after="283"/>
              <w:jc w:val="center"/>
              <w:rPr/>
            </w:pPr>
            <w:r>
              <w:rPr/>
              <w:t>43</w:t>
            </w:r>
          </w:p>
        </w:tc>
      </w:tr>
      <w:tr>
        <w:trPr/>
        <w:tc>
          <w:tcPr>
            <w:tcW w:w="455" w:type="dxa"/>
            <w:tcBorders/>
            <w:shd w:fill="CCEEFF" w:val="clear"/>
            <w:vAlign w:val="center"/>
          </w:tcPr>
          <w:p>
            <w:pPr>
              <w:pStyle w:val="TableContents"/>
              <w:bidi w:val="0"/>
              <w:spacing w:before="0" w:after="283"/>
              <w:jc w:val="left"/>
              <w:rPr/>
            </w:pPr>
            <w:r>
              <w:rPr/>
              <w:t>4.6</w:t>
            </w:r>
          </w:p>
        </w:tc>
        <w:tc>
          <w:tcPr>
            <w:tcW w:w="9475" w:type="dxa"/>
            <w:tcBorders/>
            <w:shd w:fill="CCEEFF" w:val="clear"/>
            <w:vAlign w:val="center"/>
          </w:tcPr>
          <w:p>
            <w:pPr>
              <w:pStyle w:val="TableContents"/>
              <w:bidi w:val="0"/>
              <w:spacing w:before="0" w:after="283"/>
              <w:jc w:val="left"/>
              <w:rPr/>
            </w:pPr>
            <w:r>
              <w:rPr/>
              <w:t>Information Supplied</w:t>
            </w:r>
          </w:p>
        </w:tc>
        <w:tc>
          <w:tcPr>
            <w:tcW w:w="275" w:type="dxa"/>
            <w:tcBorders/>
            <w:shd w:fill="CCEEFF" w:val="clear"/>
            <w:vAlign w:val="center"/>
          </w:tcPr>
          <w:p>
            <w:pPr>
              <w:pStyle w:val="TableContents"/>
              <w:bidi w:val="0"/>
              <w:spacing w:before="0" w:after="283"/>
              <w:jc w:val="center"/>
              <w:rPr/>
            </w:pPr>
            <w:r>
              <w:rPr/>
              <w:t>44</w:t>
            </w:r>
          </w:p>
        </w:tc>
      </w:tr>
      <w:tr>
        <w:trPr/>
        <w:tc>
          <w:tcPr>
            <w:tcW w:w="455" w:type="dxa"/>
            <w:tcBorders/>
            <w:shd w:fill="FFFFFF" w:val="clear"/>
            <w:vAlign w:val="center"/>
          </w:tcPr>
          <w:p>
            <w:pPr>
              <w:pStyle w:val="TableContents"/>
              <w:bidi w:val="0"/>
              <w:spacing w:before="0" w:after="283"/>
              <w:jc w:val="left"/>
              <w:rPr/>
            </w:pPr>
            <w:r>
              <w:rPr/>
              <w:t>4.7</w:t>
            </w:r>
          </w:p>
        </w:tc>
        <w:tc>
          <w:tcPr>
            <w:tcW w:w="9475" w:type="dxa"/>
            <w:tcBorders/>
            <w:shd w:fill="FFFFFF" w:val="clear"/>
            <w:vAlign w:val="center"/>
          </w:tcPr>
          <w:p>
            <w:pPr>
              <w:pStyle w:val="TableContents"/>
              <w:bidi w:val="0"/>
              <w:spacing w:before="0" w:after="283"/>
              <w:jc w:val="left"/>
              <w:rPr/>
            </w:pPr>
            <w:r>
              <w:rPr/>
              <w:t>Takeover Statutes</w:t>
            </w:r>
          </w:p>
        </w:tc>
        <w:tc>
          <w:tcPr>
            <w:tcW w:w="275" w:type="dxa"/>
            <w:tcBorders/>
            <w:shd w:fill="FFFFFF" w:val="clear"/>
            <w:vAlign w:val="center"/>
          </w:tcPr>
          <w:p>
            <w:pPr>
              <w:pStyle w:val="TableContents"/>
              <w:bidi w:val="0"/>
              <w:spacing w:before="0" w:after="283"/>
              <w:jc w:val="center"/>
              <w:rPr/>
            </w:pPr>
            <w:r>
              <w:rPr/>
              <w:t>45</w:t>
            </w:r>
          </w:p>
        </w:tc>
      </w:tr>
      <w:tr>
        <w:trPr/>
        <w:tc>
          <w:tcPr>
            <w:tcW w:w="455" w:type="dxa"/>
            <w:tcBorders/>
            <w:shd w:fill="CCEEFF" w:val="clear"/>
            <w:vAlign w:val="center"/>
          </w:tcPr>
          <w:p>
            <w:pPr>
              <w:pStyle w:val="TableContents"/>
              <w:bidi w:val="0"/>
              <w:spacing w:before="0" w:after="283"/>
              <w:jc w:val="left"/>
              <w:rPr/>
            </w:pPr>
            <w:r>
              <w:rPr/>
              <w:t>4.8</w:t>
            </w:r>
          </w:p>
        </w:tc>
        <w:tc>
          <w:tcPr>
            <w:tcW w:w="9475" w:type="dxa"/>
            <w:tcBorders/>
            <w:shd w:fill="CCEEFF" w:val="clear"/>
            <w:vAlign w:val="center"/>
          </w:tcPr>
          <w:p>
            <w:pPr>
              <w:pStyle w:val="TableContents"/>
              <w:bidi w:val="0"/>
              <w:spacing w:before="0" w:after="283"/>
              <w:jc w:val="left"/>
              <w:rPr/>
            </w:pPr>
            <w:r>
              <w:rPr/>
              <w:t>Ownership of Merger Subs</w:t>
            </w:r>
          </w:p>
        </w:tc>
        <w:tc>
          <w:tcPr>
            <w:tcW w:w="275" w:type="dxa"/>
            <w:tcBorders/>
            <w:shd w:fill="CCEEFF" w:val="clear"/>
            <w:vAlign w:val="center"/>
          </w:tcPr>
          <w:p>
            <w:pPr>
              <w:pStyle w:val="TableContents"/>
              <w:bidi w:val="0"/>
              <w:spacing w:before="0" w:after="283"/>
              <w:jc w:val="center"/>
              <w:rPr/>
            </w:pPr>
            <w:r>
              <w:rPr/>
              <w:t>45</w:t>
            </w:r>
          </w:p>
        </w:tc>
      </w:tr>
      <w:tr>
        <w:trPr/>
        <w:tc>
          <w:tcPr>
            <w:tcW w:w="455" w:type="dxa"/>
            <w:tcBorders/>
            <w:shd w:fill="FFFFFF" w:val="clear"/>
            <w:vAlign w:val="center"/>
          </w:tcPr>
          <w:p>
            <w:pPr>
              <w:pStyle w:val="TableContents"/>
              <w:bidi w:val="0"/>
              <w:spacing w:before="0" w:after="283"/>
              <w:jc w:val="left"/>
              <w:rPr/>
            </w:pPr>
            <w:r>
              <w:rPr/>
              <w:t>4.9</w:t>
            </w:r>
          </w:p>
        </w:tc>
        <w:tc>
          <w:tcPr>
            <w:tcW w:w="9475" w:type="dxa"/>
            <w:tcBorders/>
            <w:shd w:fill="FFFFFF" w:val="clear"/>
            <w:vAlign w:val="center"/>
          </w:tcPr>
          <w:p>
            <w:pPr>
              <w:pStyle w:val="TableContents"/>
              <w:bidi w:val="0"/>
              <w:spacing w:before="0" w:after="283"/>
              <w:jc w:val="left"/>
              <w:rPr/>
            </w:pPr>
            <w:r>
              <w:rPr/>
              <w:t>Valid Issuance</w:t>
            </w:r>
          </w:p>
        </w:tc>
        <w:tc>
          <w:tcPr>
            <w:tcW w:w="275" w:type="dxa"/>
            <w:tcBorders/>
            <w:shd w:fill="FFFFFF" w:val="clear"/>
            <w:vAlign w:val="center"/>
          </w:tcPr>
          <w:p>
            <w:pPr>
              <w:pStyle w:val="TableContents"/>
              <w:bidi w:val="0"/>
              <w:spacing w:before="0" w:after="283"/>
              <w:jc w:val="center"/>
              <w:rPr/>
            </w:pPr>
            <w:r>
              <w:rPr/>
              <w:t>45</w:t>
            </w:r>
          </w:p>
        </w:tc>
      </w:tr>
      <w:tr>
        <w:trPr/>
        <w:tc>
          <w:tcPr>
            <w:tcW w:w="455" w:type="dxa"/>
            <w:tcBorders/>
            <w:shd w:fill="CCEEFF" w:val="clear"/>
            <w:vAlign w:val="center"/>
          </w:tcPr>
          <w:p>
            <w:pPr>
              <w:pStyle w:val="TableContents"/>
              <w:bidi w:val="0"/>
              <w:spacing w:before="0" w:after="283"/>
              <w:jc w:val="left"/>
              <w:rPr/>
            </w:pPr>
            <w:r>
              <w:rPr/>
              <w:t>4.10</w:t>
            </w:r>
          </w:p>
        </w:tc>
        <w:tc>
          <w:tcPr>
            <w:tcW w:w="9475" w:type="dxa"/>
            <w:tcBorders/>
            <w:shd w:fill="CCEEFF" w:val="clear"/>
            <w:vAlign w:val="center"/>
          </w:tcPr>
          <w:p>
            <w:pPr>
              <w:pStyle w:val="TableContents"/>
              <w:bidi w:val="0"/>
              <w:spacing w:before="0" w:after="283"/>
              <w:jc w:val="left"/>
              <w:rPr/>
            </w:pPr>
            <w:r>
              <w:rPr/>
              <w:t>Brokers</w:t>
            </w:r>
          </w:p>
        </w:tc>
        <w:tc>
          <w:tcPr>
            <w:tcW w:w="275" w:type="dxa"/>
            <w:tcBorders/>
            <w:shd w:fill="CCEEFF" w:val="clear"/>
            <w:vAlign w:val="center"/>
          </w:tcPr>
          <w:p>
            <w:pPr>
              <w:pStyle w:val="TableContents"/>
              <w:bidi w:val="0"/>
              <w:spacing w:before="0" w:after="283"/>
              <w:jc w:val="center"/>
              <w:rPr/>
            </w:pPr>
            <w:r>
              <w:rPr/>
              <w:t>45</w:t>
            </w:r>
          </w:p>
        </w:tc>
      </w:tr>
      <w:tr>
        <w:trPr/>
        <w:tc>
          <w:tcPr>
            <w:tcW w:w="455" w:type="dxa"/>
            <w:tcBorders/>
            <w:shd w:fill="FFFFFF" w:val="clear"/>
            <w:vAlign w:val="center"/>
          </w:tcPr>
          <w:p>
            <w:pPr>
              <w:pStyle w:val="TableContents"/>
              <w:bidi w:val="0"/>
              <w:spacing w:before="0" w:after="283"/>
              <w:jc w:val="left"/>
              <w:rPr/>
            </w:pPr>
            <w:r>
              <w:rPr/>
              <w:t>4.11</w:t>
            </w:r>
          </w:p>
        </w:tc>
        <w:tc>
          <w:tcPr>
            <w:tcW w:w="9475" w:type="dxa"/>
            <w:tcBorders/>
            <w:shd w:fill="FFFFFF" w:val="clear"/>
            <w:vAlign w:val="center"/>
          </w:tcPr>
          <w:p>
            <w:pPr>
              <w:pStyle w:val="TableContents"/>
              <w:bidi w:val="0"/>
              <w:spacing w:before="0" w:after="283"/>
              <w:jc w:val="left"/>
              <w:rPr/>
            </w:pPr>
            <w:r>
              <w:rPr/>
              <w:t>No Other Representations and Warranties</w:t>
            </w:r>
          </w:p>
        </w:tc>
        <w:tc>
          <w:tcPr>
            <w:tcW w:w="275" w:type="dxa"/>
            <w:tcBorders/>
            <w:shd w:fill="FFFFFF" w:val="clear"/>
            <w:vAlign w:val="center"/>
          </w:tcPr>
          <w:p>
            <w:pPr>
              <w:pStyle w:val="TableContents"/>
              <w:bidi w:val="0"/>
              <w:spacing w:before="0" w:after="283"/>
              <w:jc w:val="center"/>
              <w:rPr/>
            </w:pPr>
            <w:r>
              <w:rPr/>
              <w:t>45</w:t>
            </w:r>
          </w:p>
        </w:tc>
      </w:tr>
      <w:tr>
        <w:trPr/>
        <w:tc>
          <w:tcPr>
            <w:tcW w:w="455" w:type="dxa"/>
            <w:tcBorders/>
            <w:shd w:fill="CCEEFF" w:val="clear"/>
            <w:vAlign w:val="center"/>
          </w:tcPr>
          <w:p>
            <w:pPr>
              <w:pStyle w:val="TableContents"/>
              <w:bidi w:val="0"/>
              <w:spacing w:before="0" w:after="283"/>
              <w:jc w:val="left"/>
              <w:rPr/>
            </w:pPr>
            <w:r>
              <w:rPr/>
              <w:t> </w:t>
            </w:r>
          </w:p>
        </w:tc>
        <w:tc>
          <w:tcPr>
            <w:tcW w:w="94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9930" w:type="dxa"/>
            <w:gridSpan w:val="2"/>
            <w:tcBorders/>
            <w:shd w:fill="FFFFFF" w:val="clear"/>
            <w:vAlign w:val="center"/>
          </w:tcPr>
          <w:p>
            <w:pPr>
              <w:pStyle w:val="TableContents"/>
              <w:bidi w:val="0"/>
              <w:spacing w:before="0" w:after="283"/>
              <w:jc w:val="left"/>
              <w:rPr/>
            </w:pPr>
            <w:r>
              <w:rPr/>
              <w:t>ARTICLE 5 CONDUCT OF THE COMPANY</w:t>
            </w:r>
          </w:p>
        </w:tc>
        <w:tc>
          <w:tcPr>
            <w:tcW w:w="275" w:type="dxa"/>
            <w:tcBorders/>
            <w:shd w:fill="FFFFFF" w:val="clear"/>
            <w:vAlign w:val="center"/>
          </w:tcPr>
          <w:p>
            <w:pPr>
              <w:pStyle w:val="TableContents"/>
              <w:bidi w:val="0"/>
              <w:spacing w:before="0" w:after="283"/>
              <w:jc w:val="center"/>
              <w:rPr/>
            </w:pPr>
            <w:r>
              <w:rPr/>
              <w:t>46</w:t>
            </w:r>
          </w:p>
        </w:tc>
      </w:tr>
      <w:tr>
        <w:trPr/>
        <w:tc>
          <w:tcPr>
            <w:tcW w:w="9930"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5.1</w:t>
            </w:r>
          </w:p>
        </w:tc>
        <w:tc>
          <w:tcPr>
            <w:tcW w:w="9475" w:type="dxa"/>
            <w:tcBorders/>
            <w:shd w:fill="FFFFFF" w:val="clear"/>
            <w:vAlign w:val="center"/>
          </w:tcPr>
          <w:p>
            <w:pPr>
              <w:pStyle w:val="TableContents"/>
              <w:bidi w:val="0"/>
              <w:spacing w:before="0" w:after="283"/>
              <w:jc w:val="left"/>
              <w:rPr/>
            </w:pPr>
            <w:r>
              <w:rPr/>
              <w:t>Conduct of Business by the Company Pending the Closing</w:t>
            </w:r>
          </w:p>
        </w:tc>
        <w:tc>
          <w:tcPr>
            <w:tcW w:w="275" w:type="dxa"/>
            <w:tcBorders/>
            <w:shd w:fill="FFFFFF" w:val="clear"/>
            <w:vAlign w:val="center"/>
          </w:tcPr>
          <w:p>
            <w:pPr>
              <w:pStyle w:val="TableContents"/>
              <w:bidi w:val="0"/>
              <w:spacing w:before="0" w:after="283"/>
              <w:jc w:val="center"/>
              <w:rPr/>
            </w:pPr>
            <w:r>
              <w:rPr/>
              <w:t>46</w:t>
            </w:r>
          </w:p>
        </w:tc>
      </w:tr>
      <w:tr>
        <w:trPr/>
        <w:tc>
          <w:tcPr>
            <w:tcW w:w="455" w:type="dxa"/>
            <w:tcBorders/>
            <w:shd w:fill="CCEEFF" w:val="clear"/>
            <w:vAlign w:val="center"/>
          </w:tcPr>
          <w:p>
            <w:pPr>
              <w:pStyle w:val="TableContents"/>
              <w:bidi w:val="0"/>
              <w:spacing w:before="0" w:after="283"/>
              <w:jc w:val="left"/>
              <w:rPr/>
            </w:pPr>
            <w:r>
              <w:rPr/>
              <w:t> </w:t>
            </w:r>
          </w:p>
        </w:tc>
        <w:tc>
          <w:tcPr>
            <w:tcW w:w="94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9930" w:type="dxa"/>
            <w:gridSpan w:val="2"/>
            <w:tcBorders/>
            <w:shd w:fill="FFFFFF" w:val="clear"/>
            <w:vAlign w:val="center"/>
          </w:tcPr>
          <w:p>
            <w:pPr>
              <w:pStyle w:val="TableContents"/>
              <w:bidi w:val="0"/>
              <w:spacing w:before="0" w:after="283"/>
              <w:jc w:val="left"/>
              <w:rPr/>
            </w:pPr>
            <w:r>
              <w:rPr/>
              <w:t>ARTICLE 6 ADDITIONAL COVENANTS OF THE PARTIES</w:t>
            </w:r>
          </w:p>
        </w:tc>
        <w:tc>
          <w:tcPr>
            <w:tcW w:w="275" w:type="dxa"/>
            <w:tcBorders/>
            <w:shd w:fill="FFFFFF" w:val="clear"/>
            <w:vAlign w:val="center"/>
          </w:tcPr>
          <w:p>
            <w:pPr>
              <w:pStyle w:val="TableContents"/>
              <w:bidi w:val="0"/>
              <w:spacing w:before="0" w:after="283"/>
              <w:jc w:val="center"/>
              <w:rPr/>
            </w:pPr>
            <w:r>
              <w:rPr/>
              <w:t>51</w:t>
            </w:r>
          </w:p>
        </w:tc>
      </w:tr>
      <w:tr>
        <w:trPr/>
        <w:tc>
          <w:tcPr>
            <w:tcW w:w="9930"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5" w:type="dxa"/>
            <w:tcBorders/>
            <w:shd w:fill="FFFFFF" w:val="clear"/>
            <w:vAlign w:val="center"/>
          </w:tcPr>
          <w:p>
            <w:pPr>
              <w:pStyle w:val="TableContents"/>
              <w:bidi w:val="0"/>
              <w:spacing w:before="0" w:after="283"/>
              <w:jc w:val="left"/>
              <w:rPr/>
            </w:pPr>
            <w:r>
              <w:rPr/>
              <w:t>6.1</w:t>
            </w:r>
          </w:p>
        </w:tc>
        <w:tc>
          <w:tcPr>
            <w:tcW w:w="9475" w:type="dxa"/>
            <w:tcBorders/>
            <w:shd w:fill="FFFFFF" w:val="clear"/>
            <w:vAlign w:val="center"/>
          </w:tcPr>
          <w:p>
            <w:pPr>
              <w:pStyle w:val="TableContents"/>
              <w:bidi w:val="0"/>
              <w:spacing w:before="0" w:after="283"/>
              <w:jc w:val="left"/>
              <w:rPr/>
            </w:pPr>
            <w:r>
              <w:rPr/>
              <w:t>Preparation of Proxy Statement/Prospectus and Registration Statement; Company Stockholder Meeting</w:t>
            </w:r>
          </w:p>
        </w:tc>
        <w:tc>
          <w:tcPr>
            <w:tcW w:w="275" w:type="dxa"/>
            <w:tcBorders/>
            <w:shd w:fill="FFFFFF" w:val="clear"/>
            <w:vAlign w:val="center"/>
          </w:tcPr>
          <w:p>
            <w:pPr>
              <w:pStyle w:val="TableContents"/>
              <w:bidi w:val="0"/>
              <w:spacing w:before="0" w:after="283"/>
              <w:jc w:val="center"/>
              <w:rPr/>
            </w:pPr>
            <w:r>
              <w:rPr/>
              <w:t>51</w:t>
            </w:r>
          </w:p>
        </w:tc>
      </w:tr>
      <w:tr>
        <w:trPr/>
        <w:tc>
          <w:tcPr>
            <w:tcW w:w="455" w:type="dxa"/>
            <w:tcBorders/>
            <w:shd w:fill="CCEEFF" w:val="clear"/>
            <w:vAlign w:val="center"/>
          </w:tcPr>
          <w:p>
            <w:pPr>
              <w:pStyle w:val="TableContents"/>
              <w:bidi w:val="0"/>
              <w:spacing w:before="0" w:after="283"/>
              <w:jc w:val="left"/>
              <w:rPr/>
            </w:pPr>
            <w:r>
              <w:rPr/>
              <w:t>6.2</w:t>
            </w:r>
          </w:p>
        </w:tc>
        <w:tc>
          <w:tcPr>
            <w:tcW w:w="9475" w:type="dxa"/>
            <w:tcBorders/>
            <w:shd w:fill="CCEEFF" w:val="clear"/>
            <w:vAlign w:val="center"/>
          </w:tcPr>
          <w:p>
            <w:pPr>
              <w:pStyle w:val="TableContents"/>
              <w:bidi w:val="0"/>
              <w:spacing w:before="0" w:after="283"/>
              <w:jc w:val="left"/>
              <w:rPr/>
            </w:pPr>
            <w:r>
              <w:rPr/>
              <w:t>Access to Information; Confidentiality</w:t>
            </w:r>
          </w:p>
        </w:tc>
        <w:tc>
          <w:tcPr>
            <w:tcW w:w="275" w:type="dxa"/>
            <w:tcBorders/>
            <w:shd w:fill="CCEEFF" w:val="clear"/>
            <w:vAlign w:val="center"/>
          </w:tcPr>
          <w:p>
            <w:pPr>
              <w:pStyle w:val="TableContents"/>
              <w:bidi w:val="0"/>
              <w:spacing w:before="0" w:after="283"/>
              <w:jc w:val="center"/>
              <w:rPr/>
            </w:pPr>
            <w:r>
              <w:rPr/>
              <w:t>53</w:t>
            </w:r>
          </w:p>
        </w:tc>
      </w:tr>
      <w:tr>
        <w:trPr/>
        <w:tc>
          <w:tcPr>
            <w:tcW w:w="455" w:type="dxa"/>
            <w:tcBorders/>
            <w:shd w:fill="FFFFFF" w:val="clear"/>
            <w:vAlign w:val="center"/>
          </w:tcPr>
          <w:p>
            <w:pPr>
              <w:pStyle w:val="TableContents"/>
              <w:bidi w:val="0"/>
              <w:spacing w:before="0" w:after="283"/>
              <w:jc w:val="left"/>
              <w:rPr/>
            </w:pPr>
            <w:r>
              <w:rPr/>
              <w:t>6.3</w:t>
            </w:r>
          </w:p>
        </w:tc>
        <w:tc>
          <w:tcPr>
            <w:tcW w:w="9475" w:type="dxa"/>
            <w:tcBorders/>
            <w:shd w:fill="FFFFFF" w:val="clear"/>
            <w:vAlign w:val="center"/>
          </w:tcPr>
          <w:p>
            <w:pPr>
              <w:pStyle w:val="TableContents"/>
              <w:bidi w:val="0"/>
              <w:spacing w:before="0" w:after="283"/>
              <w:jc w:val="left"/>
              <w:rPr/>
            </w:pPr>
            <w:r>
              <w:rPr/>
              <w:t>Company Non-Solicitation</w:t>
            </w:r>
          </w:p>
        </w:tc>
        <w:tc>
          <w:tcPr>
            <w:tcW w:w="275" w:type="dxa"/>
            <w:tcBorders/>
            <w:shd w:fill="FFFFFF" w:val="clear"/>
            <w:vAlign w:val="center"/>
          </w:tcPr>
          <w:p>
            <w:pPr>
              <w:pStyle w:val="TableContents"/>
              <w:bidi w:val="0"/>
              <w:spacing w:before="0" w:after="283"/>
              <w:jc w:val="center"/>
              <w:rPr/>
            </w:pPr>
            <w:r>
              <w:rPr/>
              <w:t>54</w:t>
            </w:r>
          </w:p>
        </w:tc>
      </w:tr>
      <w:tr>
        <w:trPr/>
        <w:tc>
          <w:tcPr>
            <w:tcW w:w="455" w:type="dxa"/>
            <w:tcBorders/>
            <w:shd w:fill="CCEEFF" w:val="clear"/>
            <w:vAlign w:val="center"/>
          </w:tcPr>
          <w:p>
            <w:pPr>
              <w:pStyle w:val="TableContents"/>
              <w:bidi w:val="0"/>
              <w:spacing w:before="0" w:after="283"/>
              <w:jc w:val="left"/>
              <w:rPr/>
            </w:pPr>
            <w:r>
              <w:rPr/>
              <w:t>6.4</w:t>
            </w:r>
          </w:p>
        </w:tc>
        <w:tc>
          <w:tcPr>
            <w:tcW w:w="9475" w:type="dxa"/>
            <w:tcBorders/>
            <w:shd w:fill="CCEEFF" w:val="clear"/>
            <w:vAlign w:val="center"/>
          </w:tcPr>
          <w:p>
            <w:pPr>
              <w:pStyle w:val="TableContents"/>
              <w:bidi w:val="0"/>
              <w:spacing w:before="0" w:after="283"/>
              <w:jc w:val="left"/>
              <w:rPr/>
            </w:pPr>
            <w:r>
              <w:rPr/>
              <w:t>Appropriate Action; Consents; Filings</w:t>
            </w:r>
          </w:p>
        </w:tc>
        <w:tc>
          <w:tcPr>
            <w:tcW w:w="275" w:type="dxa"/>
            <w:tcBorders/>
            <w:shd w:fill="CCEEFF" w:val="clear"/>
            <w:vAlign w:val="center"/>
          </w:tcPr>
          <w:p>
            <w:pPr>
              <w:pStyle w:val="TableContents"/>
              <w:bidi w:val="0"/>
              <w:spacing w:before="0" w:after="283"/>
              <w:jc w:val="center"/>
              <w:rPr/>
            </w:pPr>
            <w:r>
              <w:rPr/>
              <w:t>57</w:t>
            </w:r>
          </w:p>
        </w:tc>
      </w:tr>
      <w:tr>
        <w:trPr/>
        <w:tc>
          <w:tcPr>
            <w:tcW w:w="455" w:type="dxa"/>
            <w:tcBorders/>
            <w:shd w:fill="FFFFFF" w:val="clear"/>
            <w:vAlign w:val="center"/>
          </w:tcPr>
          <w:p>
            <w:pPr>
              <w:pStyle w:val="TableContents"/>
              <w:bidi w:val="0"/>
              <w:spacing w:before="0" w:after="283"/>
              <w:jc w:val="left"/>
              <w:rPr/>
            </w:pPr>
            <w:r>
              <w:rPr/>
              <w:t>6.5</w:t>
            </w:r>
          </w:p>
        </w:tc>
        <w:tc>
          <w:tcPr>
            <w:tcW w:w="9475" w:type="dxa"/>
            <w:tcBorders/>
            <w:shd w:fill="FFFFFF" w:val="clear"/>
            <w:vAlign w:val="center"/>
          </w:tcPr>
          <w:p>
            <w:pPr>
              <w:pStyle w:val="TableContents"/>
              <w:bidi w:val="0"/>
              <w:spacing w:before="0" w:after="283"/>
              <w:jc w:val="left"/>
              <w:rPr/>
            </w:pPr>
            <w:r>
              <w:rPr/>
              <w:t>Certain Notices</w:t>
            </w:r>
          </w:p>
        </w:tc>
        <w:tc>
          <w:tcPr>
            <w:tcW w:w="275" w:type="dxa"/>
            <w:tcBorders/>
            <w:shd w:fill="FFFFFF" w:val="clear"/>
            <w:vAlign w:val="center"/>
          </w:tcPr>
          <w:p>
            <w:pPr>
              <w:pStyle w:val="TableContents"/>
              <w:bidi w:val="0"/>
              <w:spacing w:before="0" w:after="283"/>
              <w:jc w:val="center"/>
              <w:rPr/>
            </w:pPr>
            <w:r>
              <w:rPr/>
              <w:t>58</w:t>
            </w:r>
          </w:p>
        </w:tc>
      </w:tr>
      <w:tr>
        <w:trPr/>
        <w:tc>
          <w:tcPr>
            <w:tcW w:w="455" w:type="dxa"/>
            <w:tcBorders/>
            <w:shd w:fill="CCEEFF" w:val="clear"/>
            <w:vAlign w:val="center"/>
          </w:tcPr>
          <w:p>
            <w:pPr>
              <w:pStyle w:val="TableContents"/>
              <w:bidi w:val="0"/>
              <w:spacing w:before="0" w:after="283"/>
              <w:jc w:val="left"/>
              <w:rPr/>
            </w:pPr>
            <w:r>
              <w:rPr/>
              <w:t>6.6</w:t>
            </w:r>
          </w:p>
        </w:tc>
        <w:tc>
          <w:tcPr>
            <w:tcW w:w="9475" w:type="dxa"/>
            <w:tcBorders/>
            <w:shd w:fill="CCEEFF" w:val="clear"/>
            <w:vAlign w:val="center"/>
          </w:tcPr>
          <w:p>
            <w:pPr>
              <w:pStyle w:val="TableContents"/>
              <w:bidi w:val="0"/>
              <w:spacing w:before="0" w:after="283"/>
              <w:jc w:val="left"/>
              <w:rPr/>
            </w:pPr>
            <w:r>
              <w:rPr/>
              <w:t>Stockholder Litigation</w:t>
            </w:r>
          </w:p>
        </w:tc>
        <w:tc>
          <w:tcPr>
            <w:tcW w:w="275" w:type="dxa"/>
            <w:tcBorders/>
            <w:shd w:fill="CCEEFF" w:val="clear"/>
            <w:vAlign w:val="center"/>
          </w:tcPr>
          <w:p>
            <w:pPr>
              <w:pStyle w:val="TableContents"/>
              <w:bidi w:val="0"/>
              <w:spacing w:before="0" w:after="283"/>
              <w:jc w:val="center"/>
              <w:rPr/>
            </w:pPr>
            <w:r>
              <w:rPr/>
              <w:t>59</w:t>
            </w:r>
          </w:p>
        </w:tc>
      </w:tr>
      <w:tr>
        <w:trPr/>
        <w:tc>
          <w:tcPr>
            <w:tcW w:w="455" w:type="dxa"/>
            <w:tcBorders/>
            <w:shd w:fill="FFFFFF" w:val="clear"/>
            <w:vAlign w:val="center"/>
          </w:tcPr>
          <w:p>
            <w:pPr>
              <w:pStyle w:val="TableContents"/>
              <w:bidi w:val="0"/>
              <w:spacing w:before="0" w:after="283"/>
              <w:jc w:val="left"/>
              <w:rPr/>
            </w:pPr>
            <w:r>
              <w:rPr/>
              <w:t>6.7</w:t>
            </w:r>
          </w:p>
        </w:tc>
        <w:tc>
          <w:tcPr>
            <w:tcW w:w="9475" w:type="dxa"/>
            <w:tcBorders/>
            <w:shd w:fill="FFFFFF" w:val="clear"/>
            <w:vAlign w:val="center"/>
          </w:tcPr>
          <w:p>
            <w:pPr>
              <w:pStyle w:val="TableContents"/>
              <w:bidi w:val="0"/>
              <w:spacing w:before="0" w:after="283"/>
              <w:jc w:val="left"/>
              <w:rPr/>
            </w:pPr>
            <w:r>
              <w:rPr/>
              <w:t>Public Announcements</w:t>
            </w:r>
          </w:p>
        </w:tc>
        <w:tc>
          <w:tcPr>
            <w:tcW w:w="275" w:type="dxa"/>
            <w:tcBorders/>
            <w:shd w:fill="FFFFFF" w:val="clear"/>
            <w:vAlign w:val="center"/>
          </w:tcPr>
          <w:p>
            <w:pPr>
              <w:pStyle w:val="TableContents"/>
              <w:bidi w:val="0"/>
              <w:spacing w:before="0" w:after="283"/>
              <w:jc w:val="center"/>
              <w:rPr/>
            </w:pPr>
            <w:r>
              <w:rPr/>
              <w:t>59</w:t>
            </w:r>
          </w:p>
        </w:tc>
      </w:tr>
      <w:tr>
        <w:trPr/>
        <w:tc>
          <w:tcPr>
            <w:tcW w:w="455" w:type="dxa"/>
            <w:tcBorders/>
            <w:shd w:fill="CCEEFF" w:val="clear"/>
            <w:vAlign w:val="center"/>
          </w:tcPr>
          <w:p>
            <w:pPr>
              <w:pStyle w:val="TableContents"/>
              <w:bidi w:val="0"/>
              <w:spacing w:before="0" w:after="283"/>
              <w:jc w:val="left"/>
              <w:rPr/>
            </w:pPr>
            <w:r>
              <w:rPr/>
              <w:t>6.8</w:t>
            </w:r>
          </w:p>
        </w:tc>
        <w:tc>
          <w:tcPr>
            <w:tcW w:w="9475" w:type="dxa"/>
            <w:tcBorders/>
            <w:shd w:fill="CCEEFF" w:val="clear"/>
            <w:vAlign w:val="center"/>
          </w:tcPr>
          <w:p>
            <w:pPr>
              <w:pStyle w:val="TableContents"/>
              <w:bidi w:val="0"/>
              <w:spacing w:before="0" w:after="283"/>
              <w:jc w:val="left"/>
              <w:rPr/>
            </w:pPr>
            <w:r>
              <w:rPr/>
              <w:t>Employee Benefit Matters</w:t>
            </w:r>
          </w:p>
        </w:tc>
        <w:tc>
          <w:tcPr>
            <w:tcW w:w="275" w:type="dxa"/>
            <w:tcBorders/>
            <w:shd w:fill="CCEEFF" w:val="clear"/>
            <w:vAlign w:val="center"/>
          </w:tcPr>
          <w:p>
            <w:pPr>
              <w:pStyle w:val="TableContents"/>
              <w:bidi w:val="0"/>
              <w:spacing w:before="0" w:after="283"/>
              <w:jc w:val="center"/>
              <w:rPr/>
            </w:pPr>
            <w:r>
              <w:rPr/>
              <w:t>60</w:t>
            </w:r>
          </w:p>
        </w:tc>
      </w:tr>
      <w:tr>
        <w:trPr/>
        <w:tc>
          <w:tcPr>
            <w:tcW w:w="455" w:type="dxa"/>
            <w:tcBorders/>
            <w:shd w:fill="FFFFFF" w:val="clear"/>
            <w:vAlign w:val="center"/>
          </w:tcPr>
          <w:p>
            <w:pPr>
              <w:pStyle w:val="TableContents"/>
              <w:bidi w:val="0"/>
              <w:spacing w:before="0" w:after="283"/>
              <w:jc w:val="left"/>
              <w:rPr/>
            </w:pPr>
            <w:r>
              <w:rPr/>
              <w:t>6.9</w:t>
            </w:r>
          </w:p>
        </w:tc>
        <w:tc>
          <w:tcPr>
            <w:tcW w:w="9475" w:type="dxa"/>
            <w:tcBorders/>
            <w:shd w:fill="FFFFFF" w:val="clear"/>
            <w:vAlign w:val="center"/>
          </w:tcPr>
          <w:p>
            <w:pPr>
              <w:pStyle w:val="TableContents"/>
              <w:bidi w:val="0"/>
              <w:spacing w:before="0" w:after="283"/>
              <w:jc w:val="left"/>
              <w:rPr/>
            </w:pPr>
            <w:r>
              <w:rPr/>
              <w:t>Indemnification of Directors and Officers</w:t>
            </w:r>
          </w:p>
        </w:tc>
        <w:tc>
          <w:tcPr>
            <w:tcW w:w="275" w:type="dxa"/>
            <w:tcBorders/>
            <w:shd w:fill="FFFFFF" w:val="clear"/>
            <w:vAlign w:val="center"/>
          </w:tcPr>
          <w:p>
            <w:pPr>
              <w:pStyle w:val="TableContents"/>
              <w:bidi w:val="0"/>
              <w:spacing w:before="0" w:after="283"/>
              <w:jc w:val="center"/>
              <w:rPr/>
            </w:pPr>
            <w:r>
              <w:rPr/>
              <w:t>61</w:t>
            </w:r>
          </w:p>
        </w:tc>
      </w:tr>
      <w:tr>
        <w:trPr/>
        <w:tc>
          <w:tcPr>
            <w:tcW w:w="455" w:type="dxa"/>
            <w:tcBorders/>
            <w:shd w:fill="CCEEFF" w:val="clear"/>
            <w:vAlign w:val="center"/>
          </w:tcPr>
          <w:p>
            <w:pPr>
              <w:pStyle w:val="TableContents"/>
              <w:bidi w:val="0"/>
              <w:spacing w:before="0" w:after="283"/>
              <w:jc w:val="left"/>
              <w:rPr/>
            </w:pPr>
            <w:r>
              <w:rPr/>
              <w:t>6.10</w:t>
            </w:r>
          </w:p>
        </w:tc>
        <w:tc>
          <w:tcPr>
            <w:tcW w:w="9475" w:type="dxa"/>
            <w:tcBorders/>
            <w:shd w:fill="CCEEFF" w:val="clear"/>
            <w:vAlign w:val="center"/>
          </w:tcPr>
          <w:p>
            <w:pPr>
              <w:pStyle w:val="TableContents"/>
              <w:bidi w:val="0"/>
              <w:spacing w:before="0" w:after="283"/>
              <w:jc w:val="left"/>
              <w:rPr/>
            </w:pPr>
            <w:r>
              <w:rPr/>
              <w:t>Section 16 Matters</w:t>
            </w:r>
          </w:p>
        </w:tc>
        <w:tc>
          <w:tcPr>
            <w:tcW w:w="275" w:type="dxa"/>
            <w:tcBorders/>
            <w:shd w:fill="CCEEFF" w:val="clear"/>
            <w:vAlign w:val="center"/>
          </w:tcPr>
          <w:p>
            <w:pPr>
              <w:pStyle w:val="TableContents"/>
              <w:bidi w:val="0"/>
              <w:spacing w:before="0" w:after="283"/>
              <w:jc w:val="center"/>
              <w:rPr/>
            </w:pPr>
            <w:r>
              <w:rPr/>
              <w:t>63</w:t>
            </w:r>
          </w:p>
        </w:tc>
      </w:tr>
      <w:tr>
        <w:trPr/>
        <w:tc>
          <w:tcPr>
            <w:tcW w:w="455" w:type="dxa"/>
            <w:tcBorders/>
            <w:shd w:fill="FFFFFF" w:val="clear"/>
            <w:vAlign w:val="center"/>
          </w:tcPr>
          <w:p>
            <w:pPr>
              <w:pStyle w:val="TableContents"/>
              <w:bidi w:val="0"/>
              <w:spacing w:before="0" w:after="283"/>
              <w:jc w:val="left"/>
              <w:rPr/>
            </w:pPr>
            <w:r>
              <w:rPr/>
              <w:t>6.11</w:t>
            </w:r>
          </w:p>
        </w:tc>
        <w:tc>
          <w:tcPr>
            <w:tcW w:w="9475" w:type="dxa"/>
            <w:tcBorders/>
            <w:shd w:fill="FFFFFF" w:val="clear"/>
            <w:vAlign w:val="center"/>
          </w:tcPr>
          <w:p>
            <w:pPr>
              <w:pStyle w:val="TableContents"/>
              <w:bidi w:val="0"/>
              <w:spacing w:before="0" w:after="283"/>
              <w:jc w:val="left"/>
              <w:rPr/>
            </w:pPr>
            <w:r>
              <w:rPr/>
              <w:t>Listing Matters</w:t>
            </w:r>
          </w:p>
        </w:tc>
        <w:tc>
          <w:tcPr>
            <w:tcW w:w="275" w:type="dxa"/>
            <w:tcBorders/>
            <w:shd w:fill="FFFFFF" w:val="clear"/>
            <w:vAlign w:val="center"/>
          </w:tcPr>
          <w:p>
            <w:pPr>
              <w:pStyle w:val="TableContents"/>
              <w:bidi w:val="0"/>
              <w:spacing w:before="0" w:after="283"/>
              <w:jc w:val="center"/>
              <w:rPr/>
            </w:pPr>
            <w:r>
              <w:rPr/>
              <w:t>63</w:t>
            </w:r>
          </w:p>
        </w:tc>
      </w:tr>
      <w:tr>
        <w:trPr/>
        <w:tc>
          <w:tcPr>
            <w:tcW w:w="455" w:type="dxa"/>
            <w:tcBorders/>
            <w:shd w:fill="CCEEFF" w:val="clear"/>
            <w:vAlign w:val="center"/>
          </w:tcPr>
          <w:p>
            <w:pPr>
              <w:pStyle w:val="TableContents"/>
              <w:bidi w:val="0"/>
              <w:spacing w:before="0" w:after="283"/>
              <w:jc w:val="left"/>
              <w:rPr/>
            </w:pPr>
            <w:r>
              <w:rPr/>
              <w:t>6.12</w:t>
            </w:r>
          </w:p>
        </w:tc>
        <w:tc>
          <w:tcPr>
            <w:tcW w:w="9475" w:type="dxa"/>
            <w:tcBorders/>
            <w:shd w:fill="CCEEFF" w:val="clear"/>
            <w:vAlign w:val="center"/>
          </w:tcPr>
          <w:p>
            <w:pPr>
              <w:pStyle w:val="TableContents"/>
              <w:bidi w:val="0"/>
              <w:spacing w:before="0" w:after="283"/>
              <w:jc w:val="left"/>
              <w:rPr/>
            </w:pPr>
            <w:r>
              <w:rPr/>
              <w:t>Takeover Statutes</w:t>
            </w:r>
          </w:p>
        </w:tc>
        <w:tc>
          <w:tcPr>
            <w:tcW w:w="275" w:type="dxa"/>
            <w:tcBorders/>
            <w:shd w:fill="CCEEFF" w:val="clear"/>
            <w:vAlign w:val="center"/>
          </w:tcPr>
          <w:p>
            <w:pPr>
              <w:pStyle w:val="TableContents"/>
              <w:bidi w:val="0"/>
              <w:spacing w:before="0" w:after="283"/>
              <w:jc w:val="center"/>
              <w:rPr/>
            </w:pPr>
            <w:r>
              <w:rPr/>
              <w:t>63</w:t>
            </w:r>
          </w:p>
        </w:tc>
      </w:tr>
      <w:tr>
        <w:trPr/>
        <w:tc>
          <w:tcPr>
            <w:tcW w:w="455" w:type="dxa"/>
            <w:tcBorders/>
            <w:shd w:fill="FFFFFF" w:val="clear"/>
            <w:vAlign w:val="center"/>
          </w:tcPr>
          <w:p>
            <w:pPr>
              <w:pStyle w:val="TableContents"/>
              <w:bidi w:val="0"/>
              <w:spacing w:before="0" w:after="283"/>
              <w:jc w:val="left"/>
              <w:rPr/>
            </w:pPr>
            <w:r>
              <w:rPr/>
              <w:t>6.13</w:t>
            </w:r>
          </w:p>
        </w:tc>
        <w:tc>
          <w:tcPr>
            <w:tcW w:w="9475" w:type="dxa"/>
            <w:tcBorders/>
            <w:shd w:fill="FFFFFF" w:val="clear"/>
            <w:vAlign w:val="center"/>
          </w:tcPr>
          <w:p>
            <w:pPr>
              <w:pStyle w:val="TableContents"/>
              <w:bidi w:val="0"/>
              <w:spacing w:before="0" w:after="283"/>
              <w:jc w:val="left"/>
              <w:rPr/>
            </w:pPr>
            <w:r>
              <w:rPr/>
              <w:t>Tax Benefits Preservation Plan</w:t>
            </w:r>
          </w:p>
        </w:tc>
        <w:tc>
          <w:tcPr>
            <w:tcW w:w="275" w:type="dxa"/>
            <w:tcBorders/>
            <w:shd w:fill="FFFFFF" w:val="clear"/>
            <w:vAlign w:val="center"/>
          </w:tcPr>
          <w:p>
            <w:pPr>
              <w:pStyle w:val="TableContents"/>
              <w:bidi w:val="0"/>
              <w:spacing w:before="0" w:after="283"/>
              <w:jc w:val="center"/>
              <w:rPr/>
            </w:pPr>
            <w:r>
              <w:rPr/>
              <w:t>64</w:t>
            </w:r>
          </w:p>
        </w:tc>
      </w:tr>
      <w:tr>
        <w:trPr/>
        <w:tc>
          <w:tcPr>
            <w:tcW w:w="455" w:type="dxa"/>
            <w:tcBorders/>
            <w:shd w:fill="CCEEFF" w:val="clear"/>
            <w:vAlign w:val="center"/>
          </w:tcPr>
          <w:p>
            <w:pPr>
              <w:pStyle w:val="TableContents"/>
              <w:bidi w:val="0"/>
              <w:spacing w:before="0" w:after="283"/>
              <w:jc w:val="left"/>
              <w:rPr/>
            </w:pPr>
            <w:r>
              <w:rPr/>
              <w:t>6.14</w:t>
            </w:r>
          </w:p>
        </w:tc>
        <w:tc>
          <w:tcPr>
            <w:tcW w:w="9475" w:type="dxa"/>
            <w:tcBorders/>
            <w:shd w:fill="CCEEFF" w:val="clear"/>
            <w:vAlign w:val="center"/>
          </w:tcPr>
          <w:p>
            <w:pPr>
              <w:pStyle w:val="TableContents"/>
              <w:bidi w:val="0"/>
              <w:spacing w:before="0" w:after="283"/>
              <w:jc w:val="left"/>
              <w:rPr/>
            </w:pPr>
            <w:r>
              <w:rPr/>
              <w:t>Cooperation as to Integration</w:t>
            </w:r>
          </w:p>
        </w:tc>
        <w:tc>
          <w:tcPr>
            <w:tcW w:w="275" w:type="dxa"/>
            <w:tcBorders/>
            <w:shd w:fill="CCEEFF" w:val="clear"/>
            <w:vAlign w:val="center"/>
          </w:tcPr>
          <w:p>
            <w:pPr>
              <w:pStyle w:val="TableContents"/>
              <w:bidi w:val="0"/>
              <w:spacing w:before="0" w:after="283"/>
              <w:jc w:val="center"/>
              <w:rPr/>
            </w:pPr>
            <w:r>
              <w:rPr/>
              <w:t>64</w:t>
            </w:r>
          </w:p>
        </w:tc>
      </w:tr>
      <w:tr>
        <w:trPr/>
        <w:tc>
          <w:tcPr>
            <w:tcW w:w="455" w:type="dxa"/>
            <w:tcBorders/>
            <w:shd w:fill="FFFFFF" w:val="clear"/>
            <w:vAlign w:val="center"/>
          </w:tcPr>
          <w:p>
            <w:pPr>
              <w:pStyle w:val="TableContents"/>
              <w:bidi w:val="0"/>
              <w:spacing w:before="0" w:after="283"/>
              <w:jc w:val="left"/>
              <w:rPr/>
            </w:pPr>
            <w:r>
              <w:rPr/>
              <w:t>6.15</w:t>
            </w:r>
          </w:p>
        </w:tc>
        <w:tc>
          <w:tcPr>
            <w:tcW w:w="9475" w:type="dxa"/>
            <w:tcBorders/>
            <w:shd w:fill="FFFFFF" w:val="clear"/>
            <w:vAlign w:val="center"/>
          </w:tcPr>
          <w:p>
            <w:pPr>
              <w:pStyle w:val="TableContents"/>
              <w:bidi w:val="0"/>
              <w:spacing w:before="0" w:after="283"/>
              <w:jc w:val="left"/>
              <w:rPr/>
            </w:pPr>
            <w:r>
              <w:rPr/>
              <w:t>Repayment of 2026 Notes; Note Restructuring Transactions</w:t>
            </w:r>
          </w:p>
        </w:tc>
        <w:tc>
          <w:tcPr>
            <w:tcW w:w="275" w:type="dxa"/>
            <w:tcBorders/>
            <w:shd w:fill="FFFFFF" w:val="clear"/>
            <w:vAlign w:val="center"/>
          </w:tcPr>
          <w:p>
            <w:pPr>
              <w:pStyle w:val="TableContents"/>
              <w:bidi w:val="0"/>
              <w:spacing w:before="0" w:after="283"/>
              <w:jc w:val="center"/>
              <w:rPr/>
            </w:pPr>
            <w:r>
              <w:rPr/>
              <w:t>65</w:t>
            </w:r>
          </w:p>
        </w:tc>
      </w:tr>
      <w:tr>
        <w:trPr/>
        <w:tc>
          <w:tcPr>
            <w:tcW w:w="455" w:type="dxa"/>
            <w:tcBorders/>
            <w:shd w:fill="CCEEFF" w:val="clear"/>
            <w:vAlign w:val="center"/>
          </w:tcPr>
          <w:p>
            <w:pPr>
              <w:pStyle w:val="TableContents"/>
              <w:bidi w:val="0"/>
              <w:spacing w:before="0" w:after="283"/>
              <w:jc w:val="left"/>
              <w:rPr/>
            </w:pPr>
            <w:r>
              <w:rPr/>
              <w:t>6.16</w:t>
            </w:r>
          </w:p>
        </w:tc>
        <w:tc>
          <w:tcPr>
            <w:tcW w:w="9475" w:type="dxa"/>
            <w:tcBorders/>
            <w:shd w:fill="CCEEFF" w:val="clear"/>
            <w:vAlign w:val="center"/>
          </w:tcPr>
          <w:p>
            <w:pPr>
              <w:pStyle w:val="TableContents"/>
              <w:bidi w:val="0"/>
              <w:spacing w:before="0" w:after="283"/>
              <w:jc w:val="left"/>
              <w:rPr/>
            </w:pPr>
            <w:r>
              <w:rPr/>
              <w:t>Director Resignations</w:t>
            </w:r>
          </w:p>
        </w:tc>
        <w:tc>
          <w:tcPr>
            <w:tcW w:w="275" w:type="dxa"/>
            <w:tcBorders/>
            <w:shd w:fill="CCEEFF" w:val="clear"/>
            <w:vAlign w:val="center"/>
          </w:tcPr>
          <w:p>
            <w:pPr>
              <w:pStyle w:val="TableContents"/>
              <w:bidi w:val="0"/>
              <w:spacing w:before="0" w:after="283"/>
              <w:jc w:val="center"/>
              <w:rPr/>
            </w:pPr>
            <w:r>
              <w:rPr/>
              <w:t>65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tbl>
      <w:tblPr>
        <w:tblW w:w="7689" w:type="dxa"/>
        <w:jc w:val="left"/>
        <w:tblInd w:w="0" w:type="dxa"/>
        <w:tblLayout w:type="fixed"/>
        <w:tblCellMar>
          <w:top w:w="0" w:type="dxa"/>
          <w:left w:w="0" w:type="dxa"/>
          <w:bottom w:w="0" w:type="dxa"/>
          <w:right w:w="0" w:type="dxa"/>
        </w:tblCellMar>
      </w:tblPr>
      <w:tblGrid>
        <w:gridCol w:w="488"/>
        <w:gridCol w:w="6926"/>
        <w:gridCol w:w="275"/>
      </w:tblGrid>
      <w:tr>
        <w:trPr/>
        <w:tc>
          <w:tcPr>
            <w:tcW w:w="488" w:type="dxa"/>
            <w:tcBorders/>
            <w:vAlign w:val="center"/>
          </w:tcPr>
          <w:p>
            <w:pPr>
              <w:pStyle w:val="TableContents"/>
              <w:bidi w:val="0"/>
              <w:spacing w:before="0" w:after="283"/>
              <w:jc w:val="left"/>
              <w:rPr/>
            </w:pPr>
            <w:r>
              <w:rPr/>
              <w:t> </w:t>
            </w:r>
          </w:p>
        </w:tc>
        <w:tc>
          <w:tcPr>
            <w:tcW w:w="692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 </w:t>
            </w:r>
          </w:p>
        </w:tc>
      </w:tr>
      <w:tr>
        <w:trPr/>
        <w:tc>
          <w:tcPr>
            <w:tcW w:w="7414" w:type="dxa"/>
            <w:gridSpan w:val="2"/>
            <w:tcBorders/>
            <w:shd w:fill="CCEEFF" w:val="clear"/>
            <w:vAlign w:val="center"/>
          </w:tcPr>
          <w:p>
            <w:pPr>
              <w:pStyle w:val="TableContents"/>
              <w:bidi w:val="0"/>
              <w:spacing w:before="0" w:after="283"/>
              <w:jc w:val="left"/>
              <w:rPr/>
            </w:pPr>
            <w:r>
              <w:rPr/>
              <w:t>ARTICLE 7 CONDITIONS TO CONSUMMATION OF THE MERGERS</w:t>
            </w:r>
          </w:p>
        </w:tc>
        <w:tc>
          <w:tcPr>
            <w:tcW w:w="275" w:type="dxa"/>
            <w:tcBorders/>
            <w:shd w:fill="CCEEFF" w:val="clear"/>
            <w:vAlign w:val="center"/>
          </w:tcPr>
          <w:p>
            <w:pPr>
              <w:pStyle w:val="TableContents"/>
              <w:bidi w:val="0"/>
              <w:spacing w:before="0" w:after="283"/>
              <w:jc w:val="center"/>
              <w:rPr/>
            </w:pPr>
            <w:r>
              <w:rPr/>
              <w:t>65</w:t>
            </w:r>
          </w:p>
        </w:tc>
      </w:tr>
      <w:tr>
        <w:trPr/>
        <w:tc>
          <w:tcPr>
            <w:tcW w:w="488" w:type="dxa"/>
            <w:tcBorders/>
            <w:shd w:fill="FFFFFF" w:val="clear"/>
            <w:vAlign w:val="center"/>
          </w:tcPr>
          <w:p>
            <w:pPr>
              <w:pStyle w:val="TableContents"/>
              <w:bidi w:val="0"/>
              <w:spacing w:before="0" w:after="283"/>
              <w:jc w:val="left"/>
              <w:rPr/>
            </w:pPr>
            <w:r>
              <w:rPr/>
              <w:t> </w:t>
            </w:r>
          </w:p>
        </w:tc>
        <w:tc>
          <w:tcPr>
            <w:tcW w:w="692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88" w:type="dxa"/>
            <w:tcBorders/>
            <w:shd w:fill="CCEEFF" w:val="clear"/>
            <w:vAlign w:val="center"/>
          </w:tcPr>
          <w:p>
            <w:pPr>
              <w:pStyle w:val="TableContents"/>
              <w:bidi w:val="0"/>
              <w:spacing w:before="0" w:after="283"/>
              <w:jc w:val="left"/>
              <w:rPr/>
            </w:pPr>
            <w:r>
              <w:rPr/>
              <w:t>7.1</w:t>
            </w:r>
          </w:p>
        </w:tc>
        <w:tc>
          <w:tcPr>
            <w:tcW w:w="6926" w:type="dxa"/>
            <w:tcBorders/>
            <w:shd w:fill="CCEEFF" w:val="clear"/>
            <w:vAlign w:val="center"/>
          </w:tcPr>
          <w:p>
            <w:pPr>
              <w:pStyle w:val="TableContents"/>
              <w:bidi w:val="0"/>
              <w:spacing w:before="0" w:after="283"/>
              <w:jc w:val="left"/>
              <w:rPr/>
            </w:pPr>
            <w:r>
              <w:rPr/>
              <w:t>Conditions to Obligations of Each Party Under This Agreement</w:t>
            </w:r>
          </w:p>
        </w:tc>
        <w:tc>
          <w:tcPr>
            <w:tcW w:w="275" w:type="dxa"/>
            <w:tcBorders/>
            <w:shd w:fill="CCEEFF" w:val="clear"/>
            <w:vAlign w:val="center"/>
          </w:tcPr>
          <w:p>
            <w:pPr>
              <w:pStyle w:val="TableContents"/>
              <w:bidi w:val="0"/>
              <w:spacing w:before="0" w:after="283"/>
              <w:jc w:val="center"/>
              <w:rPr/>
            </w:pPr>
            <w:r>
              <w:rPr/>
              <w:t>65</w:t>
            </w:r>
          </w:p>
        </w:tc>
      </w:tr>
      <w:tr>
        <w:trPr/>
        <w:tc>
          <w:tcPr>
            <w:tcW w:w="488" w:type="dxa"/>
            <w:tcBorders/>
            <w:shd w:fill="FFFFFF" w:val="clear"/>
            <w:vAlign w:val="center"/>
          </w:tcPr>
          <w:p>
            <w:pPr>
              <w:pStyle w:val="TableContents"/>
              <w:bidi w:val="0"/>
              <w:spacing w:before="0" w:after="283"/>
              <w:jc w:val="left"/>
              <w:rPr/>
            </w:pPr>
            <w:r>
              <w:rPr/>
              <w:t>7.2</w:t>
            </w:r>
          </w:p>
        </w:tc>
        <w:tc>
          <w:tcPr>
            <w:tcW w:w="6926" w:type="dxa"/>
            <w:tcBorders/>
            <w:shd w:fill="FFFFFF" w:val="clear"/>
            <w:vAlign w:val="center"/>
          </w:tcPr>
          <w:p>
            <w:pPr>
              <w:pStyle w:val="TableContents"/>
              <w:bidi w:val="0"/>
              <w:spacing w:before="0" w:after="283"/>
              <w:jc w:val="left"/>
              <w:rPr/>
            </w:pPr>
            <w:r>
              <w:rPr/>
              <w:t>Additional Conditions to Obligations of Parent and the Merger Subs</w:t>
            </w:r>
          </w:p>
        </w:tc>
        <w:tc>
          <w:tcPr>
            <w:tcW w:w="275" w:type="dxa"/>
            <w:tcBorders/>
            <w:shd w:fill="FFFFFF" w:val="clear"/>
            <w:vAlign w:val="center"/>
          </w:tcPr>
          <w:p>
            <w:pPr>
              <w:pStyle w:val="TableContents"/>
              <w:bidi w:val="0"/>
              <w:spacing w:before="0" w:after="283"/>
              <w:jc w:val="center"/>
              <w:rPr/>
            </w:pPr>
            <w:r>
              <w:rPr/>
              <w:t>66</w:t>
            </w:r>
          </w:p>
        </w:tc>
      </w:tr>
      <w:tr>
        <w:trPr/>
        <w:tc>
          <w:tcPr>
            <w:tcW w:w="488" w:type="dxa"/>
            <w:tcBorders/>
            <w:shd w:fill="CCEEFF" w:val="clear"/>
            <w:vAlign w:val="center"/>
          </w:tcPr>
          <w:p>
            <w:pPr>
              <w:pStyle w:val="TableContents"/>
              <w:bidi w:val="0"/>
              <w:spacing w:before="0" w:after="283"/>
              <w:jc w:val="left"/>
              <w:rPr/>
            </w:pPr>
            <w:r>
              <w:rPr/>
              <w:t>7.3</w:t>
            </w:r>
          </w:p>
        </w:tc>
        <w:tc>
          <w:tcPr>
            <w:tcW w:w="6926" w:type="dxa"/>
            <w:tcBorders/>
            <w:shd w:fill="CCEEFF" w:val="clear"/>
            <w:vAlign w:val="center"/>
          </w:tcPr>
          <w:p>
            <w:pPr>
              <w:pStyle w:val="TableContents"/>
              <w:bidi w:val="0"/>
              <w:spacing w:before="0" w:after="283"/>
              <w:jc w:val="left"/>
              <w:rPr/>
            </w:pPr>
            <w:r>
              <w:rPr/>
              <w:t>Additional Conditions to Obligations of the Company</w:t>
            </w:r>
          </w:p>
        </w:tc>
        <w:tc>
          <w:tcPr>
            <w:tcW w:w="275" w:type="dxa"/>
            <w:tcBorders/>
            <w:shd w:fill="CCEEFF" w:val="clear"/>
            <w:vAlign w:val="center"/>
          </w:tcPr>
          <w:p>
            <w:pPr>
              <w:pStyle w:val="TableContents"/>
              <w:bidi w:val="0"/>
              <w:spacing w:before="0" w:after="283"/>
              <w:jc w:val="center"/>
              <w:rPr/>
            </w:pPr>
            <w:r>
              <w:rPr/>
              <w:t>67</w:t>
            </w:r>
          </w:p>
        </w:tc>
      </w:tr>
      <w:tr>
        <w:trPr/>
        <w:tc>
          <w:tcPr>
            <w:tcW w:w="488" w:type="dxa"/>
            <w:tcBorders/>
            <w:shd w:fill="FFFFFF" w:val="clear"/>
            <w:vAlign w:val="center"/>
          </w:tcPr>
          <w:p>
            <w:pPr>
              <w:pStyle w:val="TableContents"/>
              <w:bidi w:val="0"/>
              <w:spacing w:before="0" w:after="283"/>
              <w:jc w:val="left"/>
              <w:rPr/>
            </w:pPr>
            <w:r>
              <w:rPr/>
              <w:t> </w:t>
            </w:r>
          </w:p>
        </w:tc>
        <w:tc>
          <w:tcPr>
            <w:tcW w:w="692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7414" w:type="dxa"/>
            <w:gridSpan w:val="2"/>
            <w:tcBorders/>
            <w:shd w:fill="CCEEFF" w:val="clear"/>
            <w:vAlign w:val="center"/>
          </w:tcPr>
          <w:p>
            <w:pPr>
              <w:pStyle w:val="TableContents"/>
              <w:bidi w:val="0"/>
              <w:spacing w:before="0" w:after="283"/>
              <w:jc w:val="left"/>
              <w:rPr/>
            </w:pPr>
            <w:r>
              <w:rPr/>
              <w:t>ARTICLE 8 TERMINATION, AMENDMENT AND WAIVER</w:t>
            </w:r>
          </w:p>
        </w:tc>
        <w:tc>
          <w:tcPr>
            <w:tcW w:w="275" w:type="dxa"/>
            <w:tcBorders/>
            <w:shd w:fill="CCEEFF" w:val="clear"/>
            <w:vAlign w:val="center"/>
          </w:tcPr>
          <w:p>
            <w:pPr>
              <w:pStyle w:val="TableContents"/>
              <w:bidi w:val="0"/>
              <w:spacing w:before="0" w:after="283"/>
              <w:jc w:val="center"/>
              <w:rPr/>
            </w:pPr>
            <w:r>
              <w:rPr/>
              <w:t>68</w:t>
            </w:r>
          </w:p>
        </w:tc>
      </w:tr>
      <w:tr>
        <w:trPr/>
        <w:tc>
          <w:tcPr>
            <w:tcW w:w="7414"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88" w:type="dxa"/>
            <w:tcBorders/>
            <w:shd w:fill="CCEEFF" w:val="clear"/>
            <w:vAlign w:val="center"/>
          </w:tcPr>
          <w:p>
            <w:pPr>
              <w:pStyle w:val="TableContents"/>
              <w:bidi w:val="0"/>
              <w:spacing w:before="0" w:after="283"/>
              <w:jc w:val="left"/>
              <w:rPr/>
            </w:pPr>
            <w:r>
              <w:rPr/>
              <w:t>8.1</w:t>
            </w:r>
          </w:p>
        </w:tc>
        <w:tc>
          <w:tcPr>
            <w:tcW w:w="6926" w:type="dxa"/>
            <w:tcBorders/>
            <w:shd w:fill="CCEEFF" w:val="clear"/>
            <w:vAlign w:val="center"/>
          </w:tcPr>
          <w:p>
            <w:pPr>
              <w:pStyle w:val="TableContents"/>
              <w:bidi w:val="0"/>
              <w:spacing w:before="0" w:after="283"/>
              <w:jc w:val="left"/>
              <w:rPr/>
            </w:pPr>
            <w:r>
              <w:rPr/>
              <w:t>Termination</w:t>
            </w:r>
          </w:p>
        </w:tc>
        <w:tc>
          <w:tcPr>
            <w:tcW w:w="275" w:type="dxa"/>
            <w:tcBorders/>
            <w:shd w:fill="CCEEFF" w:val="clear"/>
            <w:vAlign w:val="center"/>
          </w:tcPr>
          <w:p>
            <w:pPr>
              <w:pStyle w:val="TableContents"/>
              <w:bidi w:val="0"/>
              <w:spacing w:before="0" w:after="283"/>
              <w:jc w:val="center"/>
              <w:rPr/>
            </w:pPr>
            <w:r>
              <w:rPr/>
              <w:t>68</w:t>
            </w:r>
          </w:p>
        </w:tc>
      </w:tr>
      <w:tr>
        <w:trPr/>
        <w:tc>
          <w:tcPr>
            <w:tcW w:w="488" w:type="dxa"/>
            <w:tcBorders/>
            <w:shd w:fill="FFFFFF" w:val="clear"/>
            <w:vAlign w:val="center"/>
          </w:tcPr>
          <w:p>
            <w:pPr>
              <w:pStyle w:val="TableContents"/>
              <w:bidi w:val="0"/>
              <w:spacing w:before="0" w:after="283"/>
              <w:jc w:val="left"/>
              <w:rPr/>
            </w:pPr>
            <w:r>
              <w:rPr/>
              <w:t>8.2</w:t>
            </w:r>
          </w:p>
        </w:tc>
        <w:tc>
          <w:tcPr>
            <w:tcW w:w="6926" w:type="dxa"/>
            <w:tcBorders/>
            <w:shd w:fill="FFFFFF" w:val="clear"/>
            <w:vAlign w:val="center"/>
          </w:tcPr>
          <w:p>
            <w:pPr>
              <w:pStyle w:val="TableContents"/>
              <w:bidi w:val="0"/>
              <w:spacing w:before="0" w:after="283"/>
              <w:jc w:val="left"/>
              <w:rPr/>
            </w:pPr>
            <w:r>
              <w:rPr/>
              <w:t>Effect of Termination</w:t>
            </w:r>
          </w:p>
        </w:tc>
        <w:tc>
          <w:tcPr>
            <w:tcW w:w="275" w:type="dxa"/>
            <w:tcBorders/>
            <w:shd w:fill="FFFFFF" w:val="clear"/>
            <w:vAlign w:val="center"/>
          </w:tcPr>
          <w:p>
            <w:pPr>
              <w:pStyle w:val="TableContents"/>
              <w:bidi w:val="0"/>
              <w:spacing w:before="0" w:after="283"/>
              <w:jc w:val="center"/>
              <w:rPr/>
            </w:pPr>
            <w:r>
              <w:rPr/>
              <w:t>70</w:t>
            </w:r>
          </w:p>
        </w:tc>
      </w:tr>
      <w:tr>
        <w:trPr/>
        <w:tc>
          <w:tcPr>
            <w:tcW w:w="488" w:type="dxa"/>
            <w:tcBorders/>
            <w:shd w:fill="CCEEFF" w:val="clear"/>
            <w:vAlign w:val="center"/>
          </w:tcPr>
          <w:p>
            <w:pPr>
              <w:pStyle w:val="TableContents"/>
              <w:bidi w:val="0"/>
              <w:spacing w:before="0" w:after="283"/>
              <w:jc w:val="left"/>
              <w:rPr/>
            </w:pPr>
            <w:r>
              <w:rPr/>
              <w:t>8.3</w:t>
            </w:r>
          </w:p>
        </w:tc>
        <w:tc>
          <w:tcPr>
            <w:tcW w:w="6926" w:type="dxa"/>
            <w:tcBorders/>
            <w:shd w:fill="CCEEFF" w:val="clear"/>
            <w:vAlign w:val="center"/>
          </w:tcPr>
          <w:p>
            <w:pPr>
              <w:pStyle w:val="TableContents"/>
              <w:bidi w:val="0"/>
              <w:spacing w:before="0" w:after="283"/>
              <w:jc w:val="left"/>
              <w:rPr/>
            </w:pPr>
            <w:r>
              <w:rPr/>
              <w:t>Company Termination Fee</w:t>
            </w:r>
          </w:p>
        </w:tc>
        <w:tc>
          <w:tcPr>
            <w:tcW w:w="275" w:type="dxa"/>
            <w:tcBorders/>
            <w:shd w:fill="CCEEFF" w:val="clear"/>
            <w:vAlign w:val="center"/>
          </w:tcPr>
          <w:p>
            <w:pPr>
              <w:pStyle w:val="TableContents"/>
              <w:bidi w:val="0"/>
              <w:spacing w:before="0" w:after="283"/>
              <w:jc w:val="center"/>
              <w:rPr/>
            </w:pPr>
            <w:r>
              <w:rPr/>
              <w:t>70</w:t>
            </w:r>
          </w:p>
        </w:tc>
      </w:tr>
      <w:tr>
        <w:trPr/>
        <w:tc>
          <w:tcPr>
            <w:tcW w:w="488" w:type="dxa"/>
            <w:tcBorders/>
            <w:shd w:fill="FFFFFF" w:val="clear"/>
            <w:vAlign w:val="center"/>
          </w:tcPr>
          <w:p>
            <w:pPr>
              <w:pStyle w:val="TableContents"/>
              <w:bidi w:val="0"/>
              <w:spacing w:before="0" w:after="283"/>
              <w:jc w:val="left"/>
              <w:rPr/>
            </w:pPr>
            <w:r>
              <w:rPr/>
              <w:t> </w:t>
            </w:r>
          </w:p>
        </w:tc>
        <w:tc>
          <w:tcPr>
            <w:tcW w:w="692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7414" w:type="dxa"/>
            <w:gridSpan w:val="2"/>
            <w:tcBorders/>
            <w:shd w:fill="CCEEFF" w:val="clear"/>
            <w:vAlign w:val="center"/>
          </w:tcPr>
          <w:p>
            <w:pPr>
              <w:pStyle w:val="TableContents"/>
              <w:bidi w:val="0"/>
              <w:spacing w:before="0" w:after="283"/>
              <w:jc w:val="left"/>
              <w:rPr/>
            </w:pPr>
            <w:r>
              <w:rPr/>
              <w:t>ARTICLE 9 GENERAL PROVISIONS</w:t>
            </w:r>
          </w:p>
        </w:tc>
        <w:tc>
          <w:tcPr>
            <w:tcW w:w="275" w:type="dxa"/>
            <w:tcBorders/>
            <w:shd w:fill="CCEEFF" w:val="clear"/>
            <w:vAlign w:val="center"/>
          </w:tcPr>
          <w:p>
            <w:pPr>
              <w:pStyle w:val="TableContents"/>
              <w:bidi w:val="0"/>
              <w:spacing w:before="0" w:after="283"/>
              <w:jc w:val="center"/>
              <w:rPr/>
            </w:pPr>
            <w:r>
              <w:rPr/>
              <w:t>72</w:t>
            </w:r>
          </w:p>
        </w:tc>
      </w:tr>
      <w:tr>
        <w:trPr/>
        <w:tc>
          <w:tcPr>
            <w:tcW w:w="7414"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88" w:type="dxa"/>
            <w:tcBorders/>
            <w:shd w:fill="CCEEFF" w:val="clear"/>
            <w:vAlign w:val="center"/>
          </w:tcPr>
          <w:p>
            <w:pPr>
              <w:pStyle w:val="TableContents"/>
              <w:bidi w:val="0"/>
              <w:spacing w:before="0" w:after="283"/>
              <w:jc w:val="left"/>
              <w:rPr/>
            </w:pPr>
            <w:r>
              <w:rPr/>
              <w:t>9.1</w:t>
            </w:r>
          </w:p>
        </w:tc>
        <w:tc>
          <w:tcPr>
            <w:tcW w:w="6926" w:type="dxa"/>
            <w:tcBorders/>
            <w:shd w:fill="CCEEFF" w:val="clear"/>
            <w:vAlign w:val="center"/>
          </w:tcPr>
          <w:p>
            <w:pPr>
              <w:pStyle w:val="TableContents"/>
              <w:bidi w:val="0"/>
              <w:spacing w:before="0" w:after="283"/>
              <w:jc w:val="left"/>
              <w:rPr/>
            </w:pPr>
            <w:r>
              <w:rPr/>
              <w:t>Non-Survival of Representations and Warranties</w:t>
            </w:r>
          </w:p>
        </w:tc>
        <w:tc>
          <w:tcPr>
            <w:tcW w:w="275" w:type="dxa"/>
            <w:tcBorders/>
            <w:shd w:fill="CCEEFF" w:val="clear"/>
            <w:vAlign w:val="center"/>
          </w:tcPr>
          <w:p>
            <w:pPr>
              <w:pStyle w:val="TableContents"/>
              <w:bidi w:val="0"/>
              <w:spacing w:before="0" w:after="283"/>
              <w:jc w:val="center"/>
              <w:rPr/>
            </w:pPr>
            <w:r>
              <w:rPr/>
              <w:t>72</w:t>
            </w:r>
          </w:p>
        </w:tc>
      </w:tr>
      <w:tr>
        <w:trPr/>
        <w:tc>
          <w:tcPr>
            <w:tcW w:w="488" w:type="dxa"/>
            <w:tcBorders/>
            <w:shd w:fill="FFFFFF" w:val="clear"/>
            <w:vAlign w:val="center"/>
          </w:tcPr>
          <w:p>
            <w:pPr>
              <w:pStyle w:val="TableContents"/>
              <w:bidi w:val="0"/>
              <w:spacing w:before="0" w:after="283"/>
              <w:jc w:val="left"/>
              <w:rPr/>
            </w:pPr>
            <w:r>
              <w:rPr/>
              <w:t>9.2</w:t>
            </w:r>
          </w:p>
        </w:tc>
        <w:tc>
          <w:tcPr>
            <w:tcW w:w="6926" w:type="dxa"/>
            <w:tcBorders/>
            <w:shd w:fill="FFFFFF" w:val="clear"/>
            <w:vAlign w:val="center"/>
          </w:tcPr>
          <w:p>
            <w:pPr>
              <w:pStyle w:val="TableContents"/>
              <w:bidi w:val="0"/>
              <w:spacing w:before="0" w:after="283"/>
              <w:jc w:val="left"/>
              <w:rPr/>
            </w:pPr>
            <w:r>
              <w:rPr/>
              <w:t>Fees and Expenses</w:t>
            </w:r>
          </w:p>
        </w:tc>
        <w:tc>
          <w:tcPr>
            <w:tcW w:w="275" w:type="dxa"/>
            <w:tcBorders/>
            <w:shd w:fill="FFFFFF" w:val="clear"/>
            <w:vAlign w:val="center"/>
          </w:tcPr>
          <w:p>
            <w:pPr>
              <w:pStyle w:val="TableContents"/>
              <w:bidi w:val="0"/>
              <w:spacing w:before="0" w:after="283"/>
              <w:jc w:val="center"/>
              <w:rPr/>
            </w:pPr>
            <w:r>
              <w:rPr/>
              <w:t>72</w:t>
            </w:r>
          </w:p>
        </w:tc>
      </w:tr>
      <w:tr>
        <w:trPr/>
        <w:tc>
          <w:tcPr>
            <w:tcW w:w="488" w:type="dxa"/>
            <w:tcBorders/>
            <w:shd w:fill="CCEEFF" w:val="clear"/>
            <w:vAlign w:val="center"/>
          </w:tcPr>
          <w:p>
            <w:pPr>
              <w:pStyle w:val="TableContents"/>
              <w:bidi w:val="0"/>
              <w:spacing w:before="0" w:after="283"/>
              <w:jc w:val="left"/>
              <w:rPr/>
            </w:pPr>
            <w:r>
              <w:rPr/>
              <w:t>9.3</w:t>
            </w:r>
          </w:p>
        </w:tc>
        <w:tc>
          <w:tcPr>
            <w:tcW w:w="6926" w:type="dxa"/>
            <w:tcBorders/>
            <w:shd w:fill="CCEEFF" w:val="clear"/>
            <w:vAlign w:val="center"/>
          </w:tcPr>
          <w:p>
            <w:pPr>
              <w:pStyle w:val="TableContents"/>
              <w:bidi w:val="0"/>
              <w:spacing w:before="0" w:after="283"/>
              <w:jc w:val="left"/>
              <w:rPr/>
            </w:pPr>
            <w:r>
              <w:rPr/>
              <w:t>Notices</w:t>
            </w:r>
          </w:p>
        </w:tc>
        <w:tc>
          <w:tcPr>
            <w:tcW w:w="275" w:type="dxa"/>
            <w:tcBorders/>
            <w:shd w:fill="CCEEFF" w:val="clear"/>
            <w:vAlign w:val="center"/>
          </w:tcPr>
          <w:p>
            <w:pPr>
              <w:pStyle w:val="TableContents"/>
              <w:bidi w:val="0"/>
              <w:spacing w:before="0" w:after="283"/>
              <w:jc w:val="center"/>
              <w:rPr/>
            </w:pPr>
            <w:r>
              <w:rPr/>
              <w:t>72</w:t>
            </w:r>
          </w:p>
        </w:tc>
      </w:tr>
      <w:tr>
        <w:trPr/>
        <w:tc>
          <w:tcPr>
            <w:tcW w:w="488" w:type="dxa"/>
            <w:tcBorders/>
            <w:shd w:fill="FFFFFF" w:val="clear"/>
            <w:vAlign w:val="center"/>
          </w:tcPr>
          <w:p>
            <w:pPr>
              <w:pStyle w:val="TableContents"/>
              <w:bidi w:val="0"/>
              <w:spacing w:before="0" w:after="283"/>
              <w:jc w:val="left"/>
              <w:rPr/>
            </w:pPr>
            <w:r>
              <w:rPr/>
              <w:t>9.4</w:t>
            </w:r>
          </w:p>
        </w:tc>
        <w:tc>
          <w:tcPr>
            <w:tcW w:w="6926" w:type="dxa"/>
            <w:tcBorders/>
            <w:shd w:fill="FFFFFF" w:val="clear"/>
            <w:vAlign w:val="center"/>
          </w:tcPr>
          <w:p>
            <w:pPr>
              <w:pStyle w:val="TableContents"/>
              <w:bidi w:val="0"/>
              <w:spacing w:before="0" w:after="283"/>
              <w:jc w:val="left"/>
              <w:rPr/>
            </w:pPr>
            <w:r>
              <w:rPr/>
              <w:t>Certain Definitions</w:t>
            </w:r>
          </w:p>
        </w:tc>
        <w:tc>
          <w:tcPr>
            <w:tcW w:w="275" w:type="dxa"/>
            <w:tcBorders/>
            <w:shd w:fill="FFFFFF" w:val="clear"/>
            <w:vAlign w:val="center"/>
          </w:tcPr>
          <w:p>
            <w:pPr>
              <w:pStyle w:val="TableContents"/>
              <w:bidi w:val="0"/>
              <w:spacing w:before="0" w:after="283"/>
              <w:jc w:val="center"/>
              <w:rPr/>
            </w:pPr>
            <w:r>
              <w:rPr/>
              <w:t>73</w:t>
            </w:r>
          </w:p>
        </w:tc>
      </w:tr>
      <w:tr>
        <w:trPr/>
        <w:tc>
          <w:tcPr>
            <w:tcW w:w="488" w:type="dxa"/>
            <w:tcBorders/>
            <w:shd w:fill="CCEEFF" w:val="clear"/>
            <w:vAlign w:val="center"/>
          </w:tcPr>
          <w:p>
            <w:pPr>
              <w:pStyle w:val="TableContents"/>
              <w:bidi w:val="0"/>
              <w:spacing w:before="0" w:after="283"/>
              <w:jc w:val="left"/>
              <w:rPr/>
            </w:pPr>
            <w:r>
              <w:rPr/>
              <w:t>9.5</w:t>
            </w:r>
          </w:p>
        </w:tc>
        <w:tc>
          <w:tcPr>
            <w:tcW w:w="6926" w:type="dxa"/>
            <w:tcBorders/>
            <w:shd w:fill="CCEEFF" w:val="clear"/>
            <w:vAlign w:val="center"/>
          </w:tcPr>
          <w:p>
            <w:pPr>
              <w:pStyle w:val="TableContents"/>
              <w:bidi w:val="0"/>
              <w:spacing w:before="0" w:after="283"/>
              <w:jc w:val="left"/>
              <w:rPr/>
            </w:pPr>
            <w:r>
              <w:rPr/>
              <w:t>Terms Defined Elsewhere</w:t>
            </w:r>
          </w:p>
        </w:tc>
        <w:tc>
          <w:tcPr>
            <w:tcW w:w="275" w:type="dxa"/>
            <w:tcBorders/>
            <w:shd w:fill="CCEEFF" w:val="clear"/>
            <w:vAlign w:val="center"/>
          </w:tcPr>
          <w:p>
            <w:pPr>
              <w:pStyle w:val="TableContents"/>
              <w:bidi w:val="0"/>
              <w:spacing w:before="0" w:after="283"/>
              <w:jc w:val="center"/>
              <w:rPr/>
            </w:pPr>
            <w:r>
              <w:rPr/>
              <w:t>84</w:t>
            </w:r>
          </w:p>
        </w:tc>
      </w:tr>
      <w:tr>
        <w:trPr/>
        <w:tc>
          <w:tcPr>
            <w:tcW w:w="488" w:type="dxa"/>
            <w:tcBorders/>
            <w:shd w:fill="FFFFFF" w:val="clear"/>
            <w:vAlign w:val="center"/>
          </w:tcPr>
          <w:p>
            <w:pPr>
              <w:pStyle w:val="TableContents"/>
              <w:bidi w:val="0"/>
              <w:spacing w:before="0" w:after="283"/>
              <w:jc w:val="left"/>
              <w:rPr/>
            </w:pPr>
            <w:r>
              <w:rPr/>
              <w:t>9.6</w:t>
            </w:r>
          </w:p>
        </w:tc>
        <w:tc>
          <w:tcPr>
            <w:tcW w:w="6926" w:type="dxa"/>
            <w:tcBorders/>
            <w:shd w:fill="FFFFFF" w:val="clear"/>
            <w:vAlign w:val="center"/>
          </w:tcPr>
          <w:p>
            <w:pPr>
              <w:pStyle w:val="TableContents"/>
              <w:bidi w:val="0"/>
              <w:spacing w:before="0" w:after="283"/>
              <w:jc w:val="left"/>
              <w:rPr/>
            </w:pPr>
            <w:r>
              <w:rPr/>
              <w:t>Headings</w:t>
            </w:r>
          </w:p>
        </w:tc>
        <w:tc>
          <w:tcPr>
            <w:tcW w:w="275" w:type="dxa"/>
            <w:tcBorders/>
            <w:shd w:fill="FFFFFF" w:val="clear"/>
            <w:vAlign w:val="center"/>
          </w:tcPr>
          <w:p>
            <w:pPr>
              <w:pStyle w:val="TableContents"/>
              <w:bidi w:val="0"/>
              <w:spacing w:before="0" w:after="283"/>
              <w:jc w:val="center"/>
              <w:rPr/>
            </w:pPr>
            <w:r>
              <w:rPr/>
              <w:t>87</w:t>
            </w:r>
          </w:p>
        </w:tc>
      </w:tr>
      <w:tr>
        <w:trPr/>
        <w:tc>
          <w:tcPr>
            <w:tcW w:w="488" w:type="dxa"/>
            <w:tcBorders/>
            <w:shd w:fill="CCEEFF" w:val="clear"/>
            <w:vAlign w:val="center"/>
          </w:tcPr>
          <w:p>
            <w:pPr>
              <w:pStyle w:val="TableContents"/>
              <w:bidi w:val="0"/>
              <w:spacing w:before="0" w:after="283"/>
              <w:jc w:val="left"/>
              <w:rPr/>
            </w:pPr>
            <w:r>
              <w:rPr/>
              <w:t>9.7</w:t>
            </w:r>
          </w:p>
        </w:tc>
        <w:tc>
          <w:tcPr>
            <w:tcW w:w="6926" w:type="dxa"/>
            <w:tcBorders/>
            <w:shd w:fill="CCEEFF" w:val="clear"/>
            <w:vAlign w:val="center"/>
          </w:tcPr>
          <w:p>
            <w:pPr>
              <w:pStyle w:val="TableContents"/>
              <w:bidi w:val="0"/>
              <w:spacing w:before="0" w:after="283"/>
              <w:jc w:val="left"/>
              <w:rPr/>
            </w:pPr>
            <w:r>
              <w:rPr/>
              <w:t>Entire Agreement</w:t>
            </w:r>
          </w:p>
        </w:tc>
        <w:tc>
          <w:tcPr>
            <w:tcW w:w="275" w:type="dxa"/>
            <w:tcBorders/>
            <w:shd w:fill="CCEEFF" w:val="clear"/>
            <w:vAlign w:val="center"/>
          </w:tcPr>
          <w:p>
            <w:pPr>
              <w:pStyle w:val="TableContents"/>
              <w:bidi w:val="0"/>
              <w:spacing w:before="0" w:after="283"/>
              <w:jc w:val="center"/>
              <w:rPr/>
            </w:pPr>
            <w:r>
              <w:rPr/>
              <w:t>87</w:t>
            </w:r>
          </w:p>
        </w:tc>
      </w:tr>
      <w:tr>
        <w:trPr/>
        <w:tc>
          <w:tcPr>
            <w:tcW w:w="488" w:type="dxa"/>
            <w:tcBorders/>
            <w:shd w:fill="FFFFFF" w:val="clear"/>
            <w:vAlign w:val="center"/>
          </w:tcPr>
          <w:p>
            <w:pPr>
              <w:pStyle w:val="TableContents"/>
              <w:bidi w:val="0"/>
              <w:spacing w:before="0" w:after="283"/>
              <w:jc w:val="left"/>
              <w:rPr/>
            </w:pPr>
            <w:r>
              <w:rPr/>
              <w:t>9.8</w:t>
            </w:r>
          </w:p>
        </w:tc>
        <w:tc>
          <w:tcPr>
            <w:tcW w:w="6926" w:type="dxa"/>
            <w:tcBorders/>
            <w:shd w:fill="FFFFFF" w:val="clear"/>
            <w:vAlign w:val="center"/>
          </w:tcPr>
          <w:p>
            <w:pPr>
              <w:pStyle w:val="TableContents"/>
              <w:bidi w:val="0"/>
              <w:spacing w:before="0" w:after="283"/>
              <w:jc w:val="left"/>
              <w:rPr/>
            </w:pPr>
            <w:r>
              <w:rPr/>
              <w:t>Assignment</w:t>
            </w:r>
          </w:p>
        </w:tc>
        <w:tc>
          <w:tcPr>
            <w:tcW w:w="275" w:type="dxa"/>
            <w:tcBorders/>
            <w:shd w:fill="FFFFFF" w:val="clear"/>
            <w:vAlign w:val="center"/>
          </w:tcPr>
          <w:p>
            <w:pPr>
              <w:pStyle w:val="TableContents"/>
              <w:bidi w:val="0"/>
              <w:spacing w:before="0" w:after="283"/>
              <w:jc w:val="center"/>
              <w:rPr/>
            </w:pPr>
            <w:r>
              <w:rPr/>
              <w:t>87</w:t>
            </w:r>
          </w:p>
        </w:tc>
      </w:tr>
      <w:tr>
        <w:trPr/>
        <w:tc>
          <w:tcPr>
            <w:tcW w:w="488" w:type="dxa"/>
            <w:tcBorders/>
            <w:shd w:fill="CCEEFF" w:val="clear"/>
            <w:vAlign w:val="center"/>
          </w:tcPr>
          <w:p>
            <w:pPr>
              <w:pStyle w:val="TableContents"/>
              <w:bidi w:val="0"/>
              <w:spacing w:before="0" w:after="283"/>
              <w:jc w:val="left"/>
              <w:rPr/>
            </w:pPr>
            <w:r>
              <w:rPr/>
              <w:t>9.9</w:t>
            </w:r>
          </w:p>
        </w:tc>
        <w:tc>
          <w:tcPr>
            <w:tcW w:w="6926" w:type="dxa"/>
            <w:tcBorders/>
            <w:shd w:fill="CCEEFF" w:val="clear"/>
            <w:vAlign w:val="center"/>
          </w:tcPr>
          <w:p>
            <w:pPr>
              <w:pStyle w:val="TableContents"/>
              <w:bidi w:val="0"/>
              <w:spacing w:before="0" w:after="283"/>
              <w:jc w:val="left"/>
              <w:rPr/>
            </w:pPr>
            <w:r>
              <w:rPr/>
              <w:t>Severability</w:t>
            </w:r>
          </w:p>
        </w:tc>
        <w:tc>
          <w:tcPr>
            <w:tcW w:w="275" w:type="dxa"/>
            <w:tcBorders/>
            <w:shd w:fill="CCEEFF" w:val="clear"/>
            <w:vAlign w:val="center"/>
          </w:tcPr>
          <w:p>
            <w:pPr>
              <w:pStyle w:val="TableContents"/>
              <w:bidi w:val="0"/>
              <w:spacing w:before="0" w:after="283"/>
              <w:jc w:val="center"/>
              <w:rPr/>
            </w:pPr>
            <w:r>
              <w:rPr/>
              <w:t>87</w:t>
            </w:r>
          </w:p>
        </w:tc>
      </w:tr>
      <w:tr>
        <w:trPr/>
        <w:tc>
          <w:tcPr>
            <w:tcW w:w="488" w:type="dxa"/>
            <w:tcBorders/>
            <w:shd w:fill="FFFFFF" w:val="clear"/>
            <w:vAlign w:val="center"/>
          </w:tcPr>
          <w:p>
            <w:pPr>
              <w:pStyle w:val="TableContents"/>
              <w:bidi w:val="0"/>
              <w:spacing w:before="0" w:after="283"/>
              <w:jc w:val="left"/>
              <w:rPr/>
            </w:pPr>
            <w:r>
              <w:rPr/>
              <w:t>9.10</w:t>
            </w:r>
          </w:p>
        </w:tc>
        <w:tc>
          <w:tcPr>
            <w:tcW w:w="6926" w:type="dxa"/>
            <w:tcBorders/>
            <w:shd w:fill="FFFFFF" w:val="clear"/>
            <w:vAlign w:val="center"/>
          </w:tcPr>
          <w:p>
            <w:pPr>
              <w:pStyle w:val="TableContents"/>
              <w:bidi w:val="0"/>
              <w:spacing w:before="0" w:after="283"/>
              <w:jc w:val="left"/>
              <w:rPr/>
            </w:pPr>
            <w:r>
              <w:rPr/>
              <w:t>No Third Party Beneficiaries</w:t>
            </w:r>
          </w:p>
        </w:tc>
        <w:tc>
          <w:tcPr>
            <w:tcW w:w="275" w:type="dxa"/>
            <w:tcBorders/>
            <w:shd w:fill="FFFFFF" w:val="clear"/>
            <w:vAlign w:val="center"/>
          </w:tcPr>
          <w:p>
            <w:pPr>
              <w:pStyle w:val="TableContents"/>
              <w:bidi w:val="0"/>
              <w:spacing w:before="0" w:after="283"/>
              <w:jc w:val="center"/>
              <w:rPr/>
            </w:pPr>
            <w:r>
              <w:rPr/>
              <w:t>87</w:t>
            </w:r>
          </w:p>
        </w:tc>
      </w:tr>
      <w:tr>
        <w:trPr/>
        <w:tc>
          <w:tcPr>
            <w:tcW w:w="488" w:type="dxa"/>
            <w:tcBorders/>
            <w:shd w:fill="CCEEFF" w:val="clear"/>
            <w:vAlign w:val="center"/>
          </w:tcPr>
          <w:p>
            <w:pPr>
              <w:pStyle w:val="TableContents"/>
              <w:bidi w:val="0"/>
              <w:spacing w:before="0" w:after="283"/>
              <w:jc w:val="left"/>
              <w:rPr/>
            </w:pPr>
            <w:r>
              <w:rPr/>
              <w:t>9.11</w:t>
            </w:r>
          </w:p>
        </w:tc>
        <w:tc>
          <w:tcPr>
            <w:tcW w:w="6926" w:type="dxa"/>
            <w:tcBorders/>
            <w:shd w:fill="CCEEFF" w:val="clear"/>
            <w:vAlign w:val="center"/>
          </w:tcPr>
          <w:p>
            <w:pPr>
              <w:pStyle w:val="TableContents"/>
              <w:bidi w:val="0"/>
              <w:spacing w:before="0" w:after="283"/>
              <w:jc w:val="left"/>
              <w:rPr/>
            </w:pPr>
            <w:r>
              <w:rPr/>
              <w:t>Mutual Drafting; Interpretation</w:t>
            </w:r>
          </w:p>
        </w:tc>
        <w:tc>
          <w:tcPr>
            <w:tcW w:w="275" w:type="dxa"/>
            <w:tcBorders/>
            <w:shd w:fill="CCEEFF" w:val="clear"/>
            <w:vAlign w:val="center"/>
          </w:tcPr>
          <w:p>
            <w:pPr>
              <w:pStyle w:val="TableContents"/>
              <w:bidi w:val="0"/>
              <w:spacing w:before="0" w:after="283"/>
              <w:jc w:val="center"/>
              <w:rPr/>
            </w:pPr>
            <w:r>
              <w:rPr/>
              <w:t>87</w:t>
            </w:r>
          </w:p>
        </w:tc>
      </w:tr>
      <w:tr>
        <w:trPr/>
        <w:tc>
          <w:tcPr>
            <w:tcW w:w="488" w:type="dxa"/>
            <w:tcBorders/>
            <w:shd w:fill="FFFFFF" w:val="clear"/>
            <w:vAlign w:val="center"/>
          </w:tcPr>
          <w:p>
            <w:pPr>
              <w:pStyle w:val="TableContents"/>
              <w:bidi w:val="0"/>
              <w:spacing w:before="0" w:after="283"/>
              <w:jc w:val="left"/>
              <w:rPr/>
            </w:pPr>
            <w:r>
              <w:rPr/>
              <w:t>9.12</w:t>
            </w:r>
          </w:p>
        </w:tc>
        <w:tc>
          <w:tcPr>
            <w:tcW w:w="6926" w:type="dxa"/>
            <w:tcBorders/>
            <w:shd w:fill="FFFFFF" w:val="clear"/>
            <w:vAlign w:val="center"/>
          </w:tcPr>
          <w:p>
            <w:pPr>
              <w:pStyle w:val="TableContents"/>
              <w:bidi w:val="0"/>
              <w:spacing w:before="0" w:after="283"/>
              <w:jc w:val="left"/>
              <w:rPr/>
            </w:pPr>
            <w:r>
              <w:rPr/>
              <w:t>Governing Law; Consent to Jurisdiction; Waiver of Trial by Jury</w:t>
            </w:r>
          </w:p>
        </w:tc>
        <w:tc>
          <w:tcPr>
            <w:tcW w:w="275" w:type="dxa"/>
            <w:tcBorders/>
            <w:shd w:fill="FFFFFF" w:val="clear"/>
            <w:vAlign w:val="center"/>
          </w:tcPr>
          <w:p>
            <w:pPr>
              <w:pStyle w:val="TableContents"/>
              <w:bidi w:val="0"/>
              <w:spacing w:before="0" w:after="283"/>
              <w:jc w:val="center"/>
              <w:rPr/>
            </w:pPr>
            <w:r>
              <w:rPr/>
              <w:t>88</w:t>
            </w:r>
          </w:p>
        </w:tc>
      </w:tr>
      <w:tr>
        <w:trPr/>
        <w:tc>
          <w:tcPr>
            <w:tcW w:w="488" w:type="dxa"/>
            <w:tcBorders/>
            <w:shd w:fill="CCEEFF" w:val="clear"/>
            <w:vAlign w:val="center"/>
          </w:tcPr>
          <w:p>
            <w:pPr>
              <w:pStyle w:val="TableContents"/>
              <w:bidi w:val="0"/>
              <w:spacing w:before="0" w:after="283"/>
              <w:jc w:val="left"/>
              <w:rPr/>
            </w:pPr>
            <w:r>
              <w:rPr/>
              <w:t>9.13</w:t>
            </w:r>
          </w:p>
        </w:tc>
        <w:tc>
          <w:tcPr>
            <w:tcW w:w="6926" w:type="dxa"/>
            <w:tcBorders/>
            <w:shd w:fill="CCEEFF" w:val="clear"/>
            <w:vAlign w:val="center"/>
          </w:tcPr>
          <w:p>
            <w:pPr>
              <w:pStyle w:val="TableContents"/>
              <w:bidi w:val="0"/>
              <w:spacing w:before="0" w:after="283"/>
              <w:jc w:val="left"/>
              <w:rPr/>
            </w:pPr>
            <w:r>
              <w:rPr/>
              <w:t>Counterparts</w:t>
            </w:r>
          </w:p>
        </w:tc>
        <w:tc>
          <w:tcPr>
            <w:tcW w:w="275" w:type="dxa"/>
            <w:tcBorders/>
            <w:shd w:fill="CCEEFF" w:val="clear"/>
            <w:vAlign w:val="center"/>
          </w:tcPr>
          <w:p>
            <w:pPr>
              <w:pStyle w:val="TableContents"/>
              <w:bidi w:val="0"/>
              <w:spacing w:before="0" w:after="283"/>
              <w:jc w:val="center"/>
              <w:rPr/>
            </w:pPr>
            <w:r>
              <w:rPr/>
              <w:t>88</w:t>
            </w:r>
          </w:p>
        </w:tc>
      </w:tr>
      <w:tr>
        <w:trPr/>
        <w:tc>
          <w:tcPr>
            <w:tcW w:w="488" w:type="dxa"/>
            <w:tcBorders/>
            <w:shd w:fill="FFFFFF" w:val="clear"/>
            <w:vAlign w:val="center"/>
          </w:tcPr>
          <w:p>
            <w:pPr>
              <w:pStyle w:val="TableContents"/>
              <w:bidi w:val="0"/>
              <w:spacing w:before="0" w:after="283"/>
              <w:jc w:val="left"/>
              <w:rPr/>
            </w:pPr>
            <w:r>
              <w:rPr/>
              <w:t>9.14</w:t>
            </w:r>
          </w:p>
        </w:tc>
        <w:tc>
          <w:tcPr>
            <w:tcW w:w="6926" w:type="dxa"/>
            <w:tcBorders/>
            <w:shd w:fill="FFFFFF" w:val="clear"/>
            <w:vAlign w:val="center"/>
          </w:tcPr>
          <w:p>
            <w:pPr>
              <w:pStyle w:val="TableContents"/>
              <w:bidi w:val="0"/>
              <w:spacing w:before="0" w:after="283"/>
              <w:jc w:val="left"/>
              <w:rPr/>
            </w:pPr>
            <w:r>
              <w:rPr/>
              <w:t>Specific Performance</w:t>
            </w:r>
          </w:p>
        </w:tc>
        <w:tc>
          <w:tcPr>
            <w:tcW w:w="275" w:type="dxa"/>
            <w:tcBorders/>
            <w:shd w:fill="FFFFFF" w:val="clear"/>
            <w:vAlign w:val="center"/>
          </w:tcPr>
          <w:p>
            <w:pPr>
              <w:pStyle w:val="TableContents"/>
              <w:bidi w:val="0"/>
              <w:spacing w:before="0" w:after="283"/>
              <w:jc w:val="center"/>
              <w:rPr/>
            </w:pPr>
            <w:r>
              <w:rPr/>
              <w:t>89</w:t>
            </w:r>
          </w:p>
        </w:tc>
      </w:tr>
      <w:tr>
        <w:trPr/>
        <w:tc>
          <w:tcPr>
            <w:tcW w:w="488" w:type="dxa"/>
            <w:tcBorders/>
            <w:shd w:fill="CCEEFF" w:val="clear"/>
            <w:vAlign w:val="center"/>
          </w:tcPr>
          <w:p>
            <w:pPr>
              <w:pStyle w:val="TableContents"/>
              <w:bidi w:val="0"/>
              <w:spacing w:before="0" w:after="283"/>
              <w:jc w:val="left"/>
              <w:rPr/>
            </w:pPr>
            <w:r>
              <w:rPr/>
              <w:t>9.15</w:t>
            </w:r>
          </w:p>
        </w:tc>
        <w:tc>
          <w:tcPr>
            <w:tcW w:w="6926" w:type="dxa"/>
            <w:tcBorders/>
            <w:shd w:fill="CCEEFF" w:val="clear"/>
            <w:vAlign w:val="center"/>
          </w:tcPr>
          <w:p>
            <w:pPr>
              <w:pStyle w:val="TableContents"/>
              <w:bidi w:val="0"/>
              <w:spacing w:before="0" w:after="283"/>
              <w:jc w:val="left"/>
              <w:rPr/>
            </w:pPr>
            <w:r>
              <w:rPr/>
              <w:t>Modification or Amendment</w:t>
            </w:r>
          </w:p>
        </w:tc>
        <w:tc>
          <w:tcPr>
            <w:tcW w:w="275" w:type="dxa"/>
            <w:tcBorders/>
            <w:shd w:fill="CCEEFF" w:val="clear"/>
            <w:vAlign w:val="center"/>
          </w:tcPr>
          <w:p>
            <w:pPr>
              <w:pStyle w:val="TableContents"/>
              <w:bidi w:val="0"/>
              <w:spacing w:before="0" w:after="283"/>
              <w:jc w:val="center"/>
              <w:rPr/>
            </w:pPr>
            <w:r>
              <w:rPr/>
              <w:t>89</w:t>
            </w:r>
          </w:p>
        </w:tc>
      </w:tr>
      <w:tr>
        <w:trPr/>
        <w:tc>
          <w:tcPr>
            <w:tcW w:w="488" w:type="dxa"/>
            <w:tcBorders/>
            <w:shd w:fill="FFFFFF" w:val="clear"/>
            <w:vAlign w:val="center"/>
          </w:tcPr>
          <w:p>
            <w:pPr>
              <w:pStyle w:val="TableContents"/>
              <w:bidi w:val="0"/>
              <w:spacing w:before="0" w:after="283"/>
              <w:jc w:val="left"/>
              <w:rPr/>
            </w:pPr>
            <w:r>
              <w:rPr/>
              <w:t>9.16</w:t>
            </w:r>
          </w:p>
        </w:tc>
        <w:tc>
          <w:tcPr>
            <w:tcW w:w="6926" w:type="dxa"/>
            <w:tcBorders/>
            <w:shd w:fill="FFFFFF" w:val="clear"/>
            <w:vAlign w:val="center"/>
          </w:tcPr>
          <w:p>
            <w:pPr>
              <w:pStyle w:val="TableContents"/>
              <w:bidi w:val="0"/>
              <w:spacing w:before="0" w:after="283"/>
              <w:jc w:val="left"/>
              <w:rPr/>
            </w:pPr>
            <w:r>
              <w:rPr/>
              <w:t>Extension; Waiver</w:t>
            </w:r>
          </w:p>
        </w:tc>
        <w:tc>
          <w:tcPr>
            <w:tcW w:w="275" w:type="dxa"/>
            <w:tcBorders/>
            <w:shd w:fill="FFFFFF" w:val="clear"/>
            <w:vAlign w:val="center"/>
          </w:tcPr>
          <w:p>
            <w:pPr>
              <w:pStyle w:val="TableContents"/>
              <w:bidi w:val="0"/>
              <w:spacing w:before="0" w:after="283"/>
              <w:jc w:val="center"/>
              <w:rPr/>
            </w:pPr>
            <w:r>
              <w:rPr/>
              <w:t>89</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MERGER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sz w:val="20"/>
        </w:rPr>
        <w:t xml:space="preserve">AMendED and restated </w:t>
      </w:r>
      <w:r>
        <w:rPr>
          <w:rFonts w:ascii="Times New Roman;Times;Serif" w:hAnsi="Times New Roman;Times;Serif"/>
          <w:b w:val="false"/>
          <w:i w:val="false"/>
          <w:caps w:val="false"/>
          <w:smallCaps w:val="false"/>
          <w:sz w:val="20"/>
        </w:rPr>
        <w:t>MERGER AGREEMENT, dated as of July 2,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by and among SoundHound AI, Inc., a Delaware corporation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Lightspeed Merger Sub Inc., a Delaware corporation and an indirect wholly owned Subsidiary of Parent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Lightspeed Merger Sub II Inc., a Delaware corporation and an indirect wholly owned Subsidiary of Parent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together with Merger Sub I, the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and the Merger Subs together with Parent, the “</w:t>
      </w:r>
      <w:r>
        <w:rPr>
          <w:rFonts w:ascii="Times New Roman;Times;Serif" w:hAnsi="Times New Roman;Times;Serif"/>
          <w:b w:val="false"/>
          <w:i w:val="false"/>
          <w:caps w:val="false"/>
          <w:smallCaps w:val="false"/>
          <w:sz w:val="20"/>
          <w:u w:val="single"/>
        </w:rPr>
        <w:t>Parent Parties</w:t>
      </w:r>
      <w:r>
        <w:rPr>
          <w:rFonts w:ascii="Times New Roman;Times;Serif" w:hAnsi="Times New Roman;Times;Serif"/>
          <w:b w:val="false"/>
          <w:i w:val="false"/>
          <w:caps w:val="false"/>
          <w:smallCaps w:val="false"/>
          <w:sz w:val="20"/>
        </w:rPr>
        <w:t>”), and LivePerson,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All capitalized terms used in this Agreement shall have the meanings assigned to such terms in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or as otherwise defined elsewhere in this Agreement unless the context clearly indicates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Merger Sub I and the Company entered into that certain Merger Agreement, dated as of April 21, 2026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 pursuant to which, on the terms and subject to the conditions set forth in the Original Agreement, Merger Sub I would merge with and into the Company, and the Company would survive such merger as an indirect wholly owned subsidiary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Section 9.15 of the Original Agreement, the Original Agreement may be amended, modified or supplemented by Parent, the Company and Merger Sub I by action taken or authorized by their respective Boards of Directors at any time prior to the Effective Time (as such term is defined in the Original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Section 9.15 of the Original Agreement, Parent, Merger Sub I and the Company desire to amend and restate the Original Agreement in its entirety to reflect the terms and conditions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now intend that, on the terms and subject to the conditions set forth in this Agreement, (a) Merger Sub I be merged with and into the Company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the Company continuing as the surviving corporation in the First Merger (the Company, as the surviving entity in the First Merger, sometimes being referred to herein as the “</w:t>
      </w:r>
      <w:r>
        <w:rPr>
          <w:rFonts w:ascii="Times New Roman;Times;Serif" w:hAnsi="Times New Roman;Times;Serif"/>
          <w:b w:val="false"/>
          <w:i w:val="false"/>
          <w:caps w:val="false"/>
          <w:smallCaps w:val="false"/>
          <w:sz w:val="20"/>
          <w:u w:val="single"/>
        </w:rPr>
        <w:t>First Surviving Corporation</w:t>
      </w:r>
      <w:r>
        <w:rPr>
          <w:rFonts w:ascii="Times New Roman;Times;Serif" w:hAnsi="Times New Roman;Times;Serif"/>
          <w:b w:val="false"/>
          <w:i w:val="false"/>
          <w:caps w:val="false"/>
          <w:smallCaps w:val="false"/>
          <w:sz w:val="20"/>
        </w:rPr>
        <w:t>”) as an indirect wholly owned Subsidiary of Parent in accordance with the applicable provisions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pursuant to which each share of common stock, par value $0.001 per share, of the Company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issued and outstanding immediately prior to the First Effective Time (other than Company Cancelled Shares and the TASE Shares) shall be converted automatically into the right to receive the Per Share Merger Consideration, and (b) immediately following the First Merger, Merger Sub II be merged with and into the First Surviving Corporation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the First Surviving Corporation continuing as the surviving corporation in the Second Merger (the Company or the First Surviving Corporation, as the surviving entity in the Second Merger, sometimes being referred to herein as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as an indirect wholly owned Subsidiary of Parent in accordance with the applicable provisions of the DGCL, pursuant to which each TASE Share issued and outstanding immediately prior to the Second Effective Time (other than any Dissenting Shares) shall be converted automatically into the right to receive the Per Share Cash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unanimously, upon the terms and subject to the conditions set forth herein, (i) determined that the transactions contemplated by this Agreement, including the Mergers, are advisable, fair to and in the best interests of the Company and its stockholders, (ii) approved, adopted and declared advisable this Agreement and the transactions contemplated hereby, including the Mergers and (iii) determined to recommend that the Company’s stockholders adopt this Agreement (collectively,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Board of Directors of Parent (the “</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has, upon the terms and subject to the conditions set forth herein, (i) determined that the transactions contemplated by this Agreement, including the Mergers and the Parent Share Issuance, are advisable, fair to and in the best interests of Parent and its stockholders and (ii) approved, adopted and declared advisable this Agreement and the transactions contemplated hereby, including the Mergers and the Parent Share Issuance;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respective Boards of Directors of Merger Sub I and Merger Sub II have, upon the terms and subject to the conditions set forth herein, (i) determined that the transactions contemplated by this Agreement, including the applicable Merger, are advisable, fair to, and in the best interests of Merger Sub I and Merger Sub II, respectively, and each of their respective sole stockholders, and (ii) approved, adopted and declared advisable this Agreement and the transactions contemplated hereby, including the applicable Merger;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Concurrently with the execution of the Original Agreement, each holder of Secured Notes and Parent entered into a Notes Restructuring Agreement (the “</w:t>
      </w:r>
      <w:r>
        <w:rPr>
          <w:rFonts w:ascii="Times New Roman;Times;Serif" w:hAnsi="Times New Roman;Times;Serif"/>
          <w:b w:val="false"/>
          <w:i w:val="false"/>
          <w:caps w:val="false"/>
          <w:smallCaps w:val="false"/>
          <w:sz w:val="20"/>
          <w:u w:val="single"/>
        </w:rPr>
        <w:t>Notes Restructuring Agreement</w:t>
      </w:r>
      <w:r>
        <w:rPr>
          <w:rFonts w:ascii="Times New Roman;Times;Serif" w:hAnsi="Times New Roman;Times;Serif"/>
          <w:b w:val="false"/>
          <w:i w:val="false"/>
          <w:caps w:val="false"/>
          <w:smallCaps w:val="false"/>
          <w:sz w:val="20"/>
        </w:rPr>
        <w:t>” and the transactions contemplated by the Notes Restructuring Agreement, the “</w:t>
      </w:r>
      <w:r>
        <w:rPr>
          <w:rFonts w:ascii="Times New Roman;Times;Serif" w:hAnsi="Times New Roman;Times;Serif"/>
          <w:b w:val="false"/>
          <w:i w:val="false"/>
          <w:caps w:val="false"/>
          <w:smallCaps w:val="false"/>
          <w:sz w:val="20"/>
          <w:u w:val="single"/>
        </w:rPr>
        <w:t>Notes Restructuring Transactions</w:t>
      </w:r>
      <w:r>
        <w:rPr>
          <w:rFonts w:ascii="Times New Roman;Times;Serif" w:hAnsi="Times New Roman;Times;Serif"/>
          <w:b w:val="false"/>
          <w:i w:val="false"/>
          <w:caps w:val="false"/>
          <w:smallCaps w:val="false"/>
          <w:sz w:val="20"/>
        </w:rPr>
        <w:t>”), pursuant to which, among other actions and matters, such holders agreed to release and deem satisfied in full the Secured Notes for the consideration contemplated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to amend and restate the Original Agreement in its entirety to reflect the terms and conditions set forth herein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The MergerS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The Mergers</w:t>
      </w:r>
      <w:r>
        <w:rPr>
          <w:rFonts w:ascii="Times New Roman;Times;Serif" w:hAnsi="Times New Roman;Times;Serif"/>
          <w:b w:val="false"/>
          <w:i w:val="false"/>
          <w:caps w:val="false"/>
          <w:smallCaps w:val="false"/>
          <w:sz w:val="20"/>
        </w:rPr>
        <w:t>. Upon the terms and subject to the satisfaction or waiver of the conditions set forth in this Agreement and in accordance with the applicable provisions of the DGCL: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First Effective Time, Merger Sub I shall merge with and into the Company, the separate corporate existence of Merger Sub I shall cease and the Company shall continue as the First Surviving Corporation. Immediately following the First Effective Time, Merger Sub II shall merge with and into the First Surviving Corporation, the separate corporate existence of Merger Sub II shall cease and the First Surviving Corporation shall continue as the Surviving Corporation. Immediately following the Second Effective Time, the Surviving Corporation shall be a direct wholly owned Subsidiary of Lightspeed Merger Sub Holdco, Inc., a Delaware corporation (“</w:t>
      </w:r>
      <w:r>
        <w:rPr>
          <w:rFonts w:ascii="Times New Roman;Times;Serif" w:hAnsi="Times New Roman;Times;Serif"/>
          <w:b w:val="false"/>
          <w:i w:val="false"/>
          <w:caps w:val="false"/>
          <w:smallCaps w:val="false"/>
          <w:sz w:val="20"/>
          <w:u w:val="single"/>
        </w:rPr>
        <w:t>Intermediate Sub</w:t>
      </w:r>
      <w:r>
        <w:rPr>
          <w:rFonts w:ascii="Times New Roman;Times;Serif" w:hAnsi="Times New Roman;Times;Serif"/>
          <w:b w:val="false"/>
          <w:i w:val="false"/>
          <w:caps w:val="false"/>
          <w:smallCaps w:val="false"/>
          <w:sz w:val="20"/>
        </w:rPr>
        <w:t>”), which is a direct wholly owned Subsidiary of SoundHound, Inc., a Delaware corporation, which is a direct wholly owned Subsidiary of Parent. The Mergers shall have the effects set forth in the applicable provisions of the DGCL. Without limiting the generality of the foregoing, (i) from and after the First Effective Time, all of the property, rights, privileges, immunities, powers and franchises of the Company and Merger Sub I shall vest in the First Surviving Corporation, and all of the debts, liabilities and duties of the Company and Merger Sub I shall become the debts, liabilities and duties of the First Surviving Corporation, and (ii) from and after the Second Effective Time, all of the property, rights, privileges, immunities, powers and franchises of the First Surviving Corporation and Merger Sub II shall vest in the Surviving Corporation, and all of the debts, liabilities and duties of the First Surviving Corporation and Merger Sub II shall become the debts, liabilities and duties of the Surviving 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First Effective Time until the Second Effective Time, the certificate of incorporation and the bylaws of the Company as in effect immediately prior to the First Effective Time shall continue to be the certificate of incorporation and bylaws of the First Surviving 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Second Effective Time, by virtue of the Second Merger and without any action by the Company, Parent, Merger Sub II or any other Person, the certificate of incorporation and the bylaws of the First Surviving Corporation shall be amended to be identical to the certificate of incorporation and bylaws of Merger Sub II (except that the name of the First Surviving Corporation shall not be changed), as in effect immediately prior to the Second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directors of the Company serving in such positions immediately prior to the First Effective Time shall continue as the directors of the First Surviving Corporation, each to hold office in accordance with the certificate of incorporation and bylaws of the First Surviving Corporation until the Second Effective Time. The officers of the Company serving in such positions immediately prior to the First Effective Time shall continue as the officers of the First Surviving 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directors of Merger Sub II serving in such positions immediately prior to the Second Effective Time shall become, as of the Second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First Surviving Corporation serving in such positions immediately prior to the Second Effective Time shall become, effective as of the Second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Solely for purposes of Sections 251 and 262 of the DGCL, this Agreement shall constitute separate agreements of merger with respect to the First Merger and the Second Merger.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 and Effective Times of the 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Mergers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Closing Date, (i) Parent, Merger Sub I and the Company shall cause a certificate of merger (the “</w:t>
      </w:r>
      <w:r>
        <w:rPr>
          <w:rFonts w:ascii="Times New Roman;Times;Serif" w:hAnsi="Times New Roman;Times;Serif"/>
          <w:b w:val="false"/>
          <w:i w:val="false"/>
          <w:caps w:val="false"/>
          <w:smallCaps w:val="false"/>
          <w:sz w:val="20"/>
          <w:u w:val="single"/>
        </w:rPr>
        <w:t>First Certificate of Merger</w:t>
      </w:r>
      <w:r>
        <w:rPr>
          <w:rFonts w:ascii="Times New Roman;Times;Serif" w:hAnsi="Times New Roman;Times;Serif"/>
          <w:b w:val="false"/>
          <w:i w:val="false"/>
          <w:caps w:val="false"/>
          <w:smallCaps w:val="false"/>
          <w:sz w:val="20"/>
        </w:rPr>
        <w:t>”) to be executed and filed with the Secretary of State of the State of Delaware in accordance with the relevant provisions of the DGCL and shall make all other filings or recordings required under the DGCL and (ii) immediately after the filing of the First Certificate of Merger with the Secretary of State of the State of Delaware, Parent, Merger Sub II and the Company shall cause a certificate of merger (the “</w:t>
      </w:r>
      <w:r>
        <w:rPr>
          <w:rFonts w:ascii="Times New Roman;Times;Serif" w:hAnsi="Times New Roman;Times;Serif"/>
          <w:b w:val="false"/>
          <w:i w:val="false"/>
          <w:caps w:val="false"/>
          <w:smallCaps w:val="false"/>
          <w:sz w:val="20"/>
          <w:u w:val="single"/>
        </w:rPr>
        <w:t>Second Certificate of Merger</w:t>
      </w:r>
      <w:r>
        <w:rPr>
          <w:rFonts w:ascii="Times New Roman;Times;Serif" w:hAnsi="Times New Roman;Times;Serif"/>
          <w:b w:val="false"/>
          <w:i w:val="false"/>
          <w:caps w:val="false"/>
          <w:smallCaps w:val="false"/>
          <w:sz w:val="20"/>
        </w:rPr>
        <w:t>”) to be executed and filed with the Secretary of State of the State of Delaware in accordance with the relevant provisions of the DGCL and shall make all other filings or recordings required under the DGCL. The First Merger shall become effective at the time the First Certificate of Merger has been duly filed with the Secretary of State of the State of Delaware, or at such other date and time as is agreed upon by the parties and specified in the First Certificate of Merger in accordance with the DGCL (such time as the First Merger becomes effective, the “</w:t>
      </w:r>
      <w:r>
        <w:rPr>
          <w:rFonts w:ascii="Times New Roman;Times;Serif" w:hAnsi="Times New Roman;Times;Serif"/>
          <w:b w:val="false"/>
          <w:i w:val="false"/>
          <w:caps w:val="false"/>
          <w:smallCaps w:val="false"/>
          <w:sz w:val="20"/>
          <w:u w:val="single"/>
        </w:rPr>
        <w:t>First Effective Time</w:t>
      </w:r>
      <w:r>
        <w:rPr>
          <w:rFonts w:ascii="Times New Roman;Times;Serif" w:hAnsi="Times New Roman;Times;Serif"/>
          <w:b w:val="false"/>
          <w:i w:val="false"/>
          <w:caps w:val="false"/>
          <w:smallCaps w:val="false"/>
          <w:sz w:val="20"/>
        </w:rPr>
        <w:t>”). The Second Merger shall become effective at the time the Second Certificate of Merger has been duly filed with the Secretary of State of the State of Delaware, or at such other date and time as is agreed upon by the parties and specified in the Second Certificate of Merger in accordance with the DGCL, but in any event at least one minute after the First Effective Time (such time as the Second Merger becomes effective, the “</w:t>
      </w:r>
      <w:r>
        <w:rPr>
          <w:rFonts w:ascii="Times New Roman;Times;Serif" w:hAnsi="Times New Roman;Times;Serif"/>
          <w:b w:val="false"/>
          <w:i w:val="false"/>
          <w:caps w:val="false"/>
          <w:smallCaps w:val="false"/>
          <w:sz w:val="20"/>
          <w:u w:val="single"/>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Conversion of Securities IN THE MERGER</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Conversion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First Effective Time, by virtue of the First Merger and without any action on the part of the Company, Parent, the Merger Subs or the holders of any capital stock of the Company, Parent, or the Merger Subs: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share of Company Common Stock issued and outstanding immediately prior to the First Effective Time (other than Company Cancelled Shares and the TASE Shares) shall be automatically converted into the right to receive the Per Share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shares of Company Common Stock (other than any Company Cancelled Shares and the TASE Shares) shall cease to be outstanding and shall be automatically cancelled and shall cease to exist and, as of the First Effective Time, each holder of record of shares of Company Common Stock (other than Company Cancelled Shares and the TASE Shares) shall cease to have any rights with respect thereto, except the right to receive the Per Share Merger Consideration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(together with any dividends or other distributions (if any) or any cash payment (if any) that the holder thereof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respectively).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shares of Company Common Stock (including TASE Shares) held by (x) the Company as treasury shares, (y) any Company Subsidiary or (z) Parent or any Subsidiary of Parent (a “</w:t>
      </w:r>
      <w:r>
        <w:rPr>
          <w:rFonts w:ascii="Times New Roman;Times;Serif" w:hAnsi="Times New Roman;Times;Serif"/>
          <w:b w:val="false"/>
          <w:i w:val="false"/>
          <w:caps w:val="false"/>
          <w:smallCaps w:val="false"/>
          <w:sz w:val="20"/>
          <w:u w:val="single"/>
        </w:rPr>
        <w:t>Parent Subsidiary</w:t>
      </w:r>
      <w:r>
        <w:rPr>
          <w:rFonts w:ascii="Times New Roman;Times;Serif" w:hAnsi="Times New Roman;Times;Serif"/>
          <w:b w:val="false"/>
          <w:i w:val="false"/>
          <w:caps w:val="false"/>
          <w:smallCaps w:val="false"/>
          <w:sz w:val="20"/>
        </w:rPr>
        <w:t>”), in each case, immediately prior to the First Effective Time (collectively, the “</w:t>
      </w:r>
      <w:r>
        <w:rPr>
          <w:rFonts w:ascii="Times New Roman;Times;Serif" w:hAnsi="Times New Roman;Times;Serif"/>
          <w:b w:val="false"/>
          <w:i w:val="false"/>
          <w:caps w:val="false"/>
          <w:smallCaps w:val="false"/>
          <w:sz w:val="20"/>
          <w:u w:val="single"/>
        </w:rPr>
        <w:t>Company Cancelled Shares</w:t>
      </w:r>
      <w:r>
        <w:rPr>
          <w:rFonts w:ascii="Times New Roman;Times;Serif" w:hAnsi="Times New Roman;Times;Serif"/>
          <w:b w:val="false"/>
          <w:i w:val="false"/>
          <w:caps w:val="false"/>
          <w:smallCaps w:val="false"/>
          <w:sz w:val="20"/>
        </w:rPr>
        <w:t>”), shall be automatically cancelled and shall cease to exist, and no consideration shall be delivered in exchange therefor.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TASE Shares issued and outstanding immediately prior to the First Effective Time shall remain issued and outstanding.</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share of common stock, par value $0.01 per share, of Merger Sub I issued and outstanding immediately prior to the First Effective Time shall cease to be outstanding and shall automatically be converted into a number of shares of common stock of the First Surviving Corporation equal to the number of shares of Company Common Stock cancelled pursuant to Section 2.1(a)(ii) (the “</w:t>
      </w:r>
      <w:r>
        <w:rPr>
          <w:rFonts w:ascii="Times New Roman;Times;Serif" w:hAnsi="Times New Roman;Times;Serif"/>
          <w:b w:val="false"/>
          <w:i w:val="false"/>
          <w:caps w:val="false"/>
          <w:smallCaps w:val="false"/>
          <w:sz w:val="20"/>
          <w:u w:val="single"/>
        </w:rPr>
        <w:t>Merger Sub I Merger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Second Effective Time, by virtue of the Second Merger and without any action on the part of the Company, Parent, the Merger Subs or the holders of any capital stock of the Company, Parent, or the Merger Subs: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 TASE Share issued and outstanding immediately prior to the Second Effective Time (other than any Dissenting Shares) shall be automatically converted into the right to receive the Per Share Cash Merger Consideration, and (B) each Merger Sub I Merger Share shall be cancelled for no consideration.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TASE Shares (other than any Dissenting Shares) and all Merger Sub I Merger Shares shall cease to be outstanding and shall be automatically cancelled and shall cease to exist and, as of the Second Effective Time, each holder of record of TASE Shares (other than any Dissenting Shares) or Merger Sub I Merger Shares shall cease to have any rights with respect thereto, except, in the case of the holders of TASE Shares (other than any Dissenting Shares), the right to receive the Per Share Cash Merger Consideration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and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share of common stock, par value $0.01 per share, of Merger Sub II issued and outstanding immediately prior to the Second Effective Time shall be automatically converted into one fully paid and nonassessable share of common stock of the Surviving Corporation.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prior to the First Effective Time or the Second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shall be construed to permit Parent or the Company to take any action with respect to its securities that is prohibited by the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Payment for Securities; Surrender of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At or prior to the First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At or prior to the First Effective Time, Parent shall deposit, or cause to be deposited, with the Exchange Agent (I)(x) an amount of uncertificated, book-entry shares representing the number of shares of Parent Common Stock sufficient to effect the issuances contemplated by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(y) an amount of cash sufficient to deliver the payments contemplated by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in each case, to which holders of Company Common Stock shall be entitled at the First Effective Time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as applicable, and (II) an amount of cash sufficient to deliver the payments contemplated by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to which holders of TASE Shares shall be entitled at the Second Effective Time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The Exchange Agent shall not be entitled to vote or exercise any rights of ownership with respect to the Parent Common Stock held by it from time to time hereunder. Following the First Effective Time, Parent shall pay, or shall cause to be paid to the Exchange Agent, from time to time, as needed, cash sufficient to pay dividends and other distributions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as applicable. In the event such deposited shares or funds are insufficient to effect the issuances or make the payments contemplated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as applicable, Parent shall promptly deposit, or cause to be deposited, 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shall be the sole and exclusive property of Parent. No part of such earnings shall accrue to the benefit of holders of Company Common Stock (other than by virtue of receipt of the issuances or payments contemplated by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in each case, pursuant to the terms thereof) and no losses shall alter Parent’s obligation to cause the Exchange Agent to issue the shares or pay the cash contemplated by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as applicable, in accordance with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Procedures for Surrender; Treatment of Company Certificated Shares and Company Book-Entry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Company Certificated Shares</w:t>
      </w:r>
      <w:r>
        <w:rPr>
          <w:rFonts w:ascii="Times New Roman;Times;Serif" w:hAnsi="Times New Roman;Times;Serif"/>
          <w:b w:val="false"/>
          <w:i w:val="false"/>
          <w:caps w:val="false"/>
          <w:smallCaps w:val="false"/>
          <w:sz w:val="20"/>
        </w:rPr>
        <w:t>. As soon as practicable after the First Effective Time (and in no event later than three (3) Business Days after the First Effective Time), Parent shall cause the Exchange Agent to mail to each Person that was a holder of record of shares of Company Common Stock represented by a certificate (“</w:t>
      </w:r>
      <w:r>
        <w:rPr>
          <w:rFonts w:ascii="Times New Roman;Times;Serif" w:hAnsi="Times New Roman;Times;Serif"/>
          <w:b w:val="false"/>
          <w:i w:val="false"/>
          <w:caps w:val="false"/>
          <w:smallCaps w:val="false"/>
          <w:sz w:val="20"/>
          <w:u w:val="single"/>
        </w:rPr>
        <w:t>Company Certificated Shares</w:t>
      </w:r>
      <w:r>
        <w:rPr>
          <w:rFonts w:ascii="Times New Roman;Times;Serif" w:hAnsi="Times New Roman;Times;Serif"/>
          <w:b w:val="false"/>
          <w:i w:val="false"/>
          <w:caps w:val="false"/>
          <w:smallCaps w:val="false"/>
          <w:sz w:val="20"/>
        </w:rPr>
        <w:t xml:space="preserve">”) immediately prior to the First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 xml:space="preserve">) in exchange for the issuance of the Per Share Merger Consideration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(together with any dividends or other distributions (if any) or any cash payment (if any) that the holder thereof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Upon surrender of any Company Certificated Shares (or affidavit of loss in lieu of the Company Certificated Shares as provided in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(x) credit in the stock ledger and other appropriate books and records of Parent for the number of shares of Parent Common Stock into which the shares of Company Common Stock of such holder shall have been converted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(y) any dividends or other distributions (if any) or any cash payment (if any) that such holder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First Effective Time to represent only the right to receive the Per Share Merger Consideration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(together with any dividends or other distributions (if any) or any cash payment (if any) that the holder thereof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respectively).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Company Book-Entry Shares</w:t>
      </w:r>
      <w:r>
        <w:rPr>
          <w:rFonts w:ascii="Times New Roman;Times;Serif" w:hAnsi="Times New Roman;Times;Serif"/>
          <w:b w:val="false"/>
          <w:i w:val="false"/>
          <w:caps w:val="false"/>
          <w:smallCaps w:val="false"/>
          <w:sz w:val="20"/>
        </w:rPr>
        <w:t>. Notwithstanding anything to the contrary contained in this Agreement, no holder of shares of Company Common Stock held in book-entry form (“</w:t>
      </w:r>
      <w:r>
        <w:rPr>
          <w:rFonts w:ascii="Times New Roman;Times;Serif" w:hAnsi="Times New Roman;Times;Serif"/>
          <w:b w:val="false"/>
          <w:i w:val="false"/>
          <w:caps w:val="false"/>
          <w:smallCaps w:val="false"/>
          <w:sz w:val="20"/>
          <w:u w:val="single"/>
        </w:rPr>
        <w:t>Company Book-Entry Shares</w:t>
      </w:r>
      <w:r>
        <w:rPr>
          <w:rFonts w:ascii="Times New Roman;Times;Serif" w:hAnsi="Times New Roman;Times;Serif"/>
          <w:b w:val="false"/>
          <w:i w:val="false"/>
          <w:caps w:val="false"/>
          <w:smallCaps w:val="false"/>
          <w:sz w:val="20"/>
        </w:rPr>
        <w:t xml:space="preserve">”) shall be required to deliver a certificate evidencing such Company Book-Entry Shares or, in the case of holders of Company Book-Entry Shares held through The Depository Trust Company, an executed letter of transmittal to the Exchange Agent to receive the Per Share Merger Consideration or Per Share Cash Merger Consideration, as applicable, that such holder is entitled to receive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as applicable, or any dividends or other distributions (if any) or any cash payment (if any) that such holder is entitled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In lieu thereof, each holder of record of one or more Company Book-Entry Shares held through The Depository Trust Company whose Company Common Stock were converted into the right to receive (I) the Per Share Merger Consideration shall automatically, upon the First Effective Time, be entitled to receive, and Parent shall cause the Exchange Agent to issue and pay, if applicable, and deliver as promptly as practicable after the First Effective Time, (A) credit in the stock ledger and other appropriate books and records of Parent for the number of shares of Parent Common Stock into which such Company Book-Entry Shares have been converted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(B) any dividends or other distributions (if any) or any cash payment (if any) that such holder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and any Company Book-Entry Shares shall forthwith be cancelled, or (II) the Per Share Cash Merger Consideration shall automatically, upon the Second Effective Time, be entitled to receive, and Parent shall cause the Exchange Agent to pay and deliver to the Depository Trust Company or its nominee as promptly as practicable after the Second Effective Time, the cash payment of the Per Share Cash Merger Consideration for such Company Book-Entry Shares that have been converted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and any Company Book-Entry Shares shall forthwith be cancelled. As soon as practicable after the First Effective Time (and in no event later than three (3) Business Days after the First Effective Time), Parent shall cause the Exchange Agent to mail to each Person that was, immediately prior to the First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(1) the issuance of the Per Share Merger Consideration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(together with any dividends or other distributions (if any) or any cash payment (if any) that the holder thereof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or (2) the payment of the Per Share Cash Merger Consideration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as applicable.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(B) a cash payment for the Per Share Cash Merger Consideration for such Company Book-Entry Shares that have been converted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and (C) any dividends or other distributions (if any) or any cash payment (if any) that such holder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and any Company Book-Entry Shares shall forthwith be cancelled. Payment of the Per Share Merger Consideration or the Per Share Cash Merger Consideration, as applicable,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(I) each Company Book-Entry Share (other than TASE Shares) shall be deemed at any time after the First Effective Time to represent only the right to receive the Per Share Merger Consideration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(together with dividends or other distributions (if any) or any cash payment (if any) that the holder thereof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and (II) subject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each Company Book-Entry Share that is a TASE Share shall be deemed at any time after the Second Effective Time to represent only the right to receive the Per Share Cash Merger Consideration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 Books; No Further Ownership Rights in Shares</w:t>
      </w:r>
      <w:r>
        <w:rPr>
          <w:rFonts w:ascii="Times New Roman;Times;Serif" w:hAnsi="Times New Roman;Times;Serif"/>
          <w:b w:val="false"/>
          <w:i w:val="false"/>
          <w:caps w:val="false"/>
          <w:smallCaps w:val="false"/>
          <w:sz w:val="20"/>
        </w:rPr>
        <w:t xml:space="preserve">. The shares of Parent Common Stock issued upon conversion of shares of Company Common Stock pursuant to and in accordance with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(together with dividends or other distributions (if any) or any cash payment (if any)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or the payment of the Per Share Cash Merger Consideration in respect of shares of Company Common Stock that have been converted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as applicable, shall be deemed to have been delivered or paid in full satisfaction of all rights pertaining to the shares of Company Common Stock. From and after (i) the First Effective Time, (x) all holders of Company Common Stock (other than holders of TASE Shares) shall cease to have any rights as stockholders of the Company other than the right to receive the Per Share Merger Consideration into which the shares of Company Common Stock have been converted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(together with dividends or other distributions (if any) or any cash payment (if any) that the holder thereof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and (y) the stock transfer books of the Company shall be closed and there shall be no further registration of transfers of shares of Company Common Stock thereafter on the records of the Company, and (ii) the Second Effective Time, subject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all holders of TASE Shares shall cease to have any rights as stockholders of the Company other than the right to receive the Per Share Cash Merger Consideration into which the shares of Company Common Stock have been converted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Post-Effective Time Surrender</w:t>
      </w:r>
      <w:r>
        <w:rPr>
          <w:rFonts w:ascii="Times New Roman;Times;Serif" w:hAnsi="Times New Roman;Times;Serif"/>
          <w:b w:val="false"/>
          <w:i w:val="false"/>
          <w:caps w:val="false"/>
          <w:smallCaps w:val="false"/>
          <w:sz w:val="20"/>
        </w:rPr>
        <w:t xml:space="preserve">. If, (i) after the First Effective Time, any Company Certificated Shares (other than TASE Shares) are presented to Parent, the First Surviving Corporation or the Surviving Corporation for any reason, such Company Certificated Shares shall be cancelled and exchanged for the Per Share Merger Consideration that such holder is entitled to receive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(together with dividends or other distributions (if any) or any cash payment (if any) that the holder thereof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or (ii) after the Second Effective Time, subject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any Company Certificated Shares that are TASE Shares are presented to Parent or the Surviving Corporation for any reason, such Company Certificated Shares shall be cancelled and exchanged for the Per Share Cash Merger Consideration that such holder is entitled to receive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in each case, subject to abandoned property, escheat or other similar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of Fund; Abandoned Property; No Liability</w:t>
      </w:r>
      <w:r>
        <w:rPr>
          <w:rFonts w:ascii="Times New Roman;Times;Serif" w:hAnsi="Times New Roman;Times;Serif"/>
          <w:b w:val="false"/>
          <w:i w:val="false"/>
          <w:caps w:val="false"/>
          <w:smallCaps w:val="false"/>
          <w:sz w:val="20"/>
        </w:rPr>
        <w:t xml:space="preserve">. Any portion of the shares or funds (including any interest received with respect thereto) made available to the Exchange Agent that remains unclaimed by the holders of Company Common Stock on the first anniversary of the Second Effective Time shall be returned to Parent upon demand, and any such holder of Company Common Stock who has not complied with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prior to such time shall thereafter look only to Parent (subject to abandoned property, escheat or other similar Laws) for delivery of the Per Share Merger Consideration that such holder is entitled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any dividends or other distributions (if any) or any cash payment (if any) that such holder has the right to receive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or the Per Share Cash Merger Consideration that such holder is entitled to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respectively) or the Per Share Cash Merger Consideration, as applicable, delivered to a public official pursuant to any applicable abandoned property, escheat or similar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Lost, Stolen or Destroyed Certificates</w:t>
      </w:r>
      <w:r>
        <w:rPr>
          <w:rFonts w:ascii="Times New Roman;Times;Serif" w:hAnsi="Times New Roman;Times;Serif"/>
          <w:b w:val="false"/>
          <w:i w:val="false"/>
          <w:caps w:val="false"/>
          <w:smallCaps w:val="false"/>
          <w:sz w:val="20"/>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(together with dividends or other distributions (if any) or any cash payment (if any) that the holder thereof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respectively) or the Per Share Cash Merger Consideration payable in respect thereof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as applicable.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respectively) or the Per Share Cash Merger Consideration, as applicable, require the owner of such lost, stolen or destroyed Company Certificated Shares to deliver a bond in a reasonable sum as it may reasonably direct as indemnity against any claim that may be made against Parent, the First Surviving Corporation, the Surviving Corporation or the Exchange Agent with respect to the Company Certificated Shares alleged to have been lost, stolen or destroyed.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Distributions with Respect to Unexchanged Shares</w:t>
      </w:r>
      <w:r>
        <w:rPr>
          <w:rFonts w:ascii="Times New Roman;Times;Serif" w:hAnsi="Times New Roman;Times;Serif"/>
          <w:b w:val="false"/>
          <w:i w:val="false"/>
          <w:caps w:val="false"/>
          <w:smallCaps w:val="false"/>
          <w:sz w:val="20"/>
        </w:rPr>
        <w:t xml:space="preserve">. No dividends or other distributions declared or made with respect to shares of Parent Common Stock with a record date after the First Effective Time shall be paid to the holder of any shares of Company Common Stock converted into the right to receive the Per Share Merger Consideration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until such holder shall comply with the provisions of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Subject to escheat, Tax or other applicable Law, following the surrender of any such shares of Company Common Stock in accordance with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(after giving effect to any required Tax withholdings as provided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xml:space="preserve">. No fractional shares of Parent Common Stock shall be issued upon the conversion of shares of Company Common Stock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that would otherwise have been entitled to receive a fraction of a share of Parent Common Stock (after taking into account all shares of Company Common Stock delivered by such holder in accordance with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shall receive, in 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was not separately bargained-for consideration, but merely represents a mechanical rounding off for purposes of avoiding the expense and inconvenience to Parent that would otherwise be caused by the issuance of fractional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From and after the Second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Options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First Effective Time, by virtue of the First Merger and without any action on the part of the Company, Parent, the Merger Subs or the holders thereof, each In-the-Money Company Option that is outstanding and unexercised immediately prior to the First Effective Time and held by an individual who, as of immediately after the Second Effective Time, will constitute an “employee” of Parent within the meaning of Form S-8 (a “</w:t>
      </w:r>
      <w:r>
        <w:rPr>
          <w:rFonts w:ascii="Times New Roman;Times;Serif" w:hAnsi="Times New Roman;Times;Serif"/>
          <w:b w:val="false"/>
          <w:i w:val="false"/>
          <w:caps w:val="false"/>
          <w:smallCaps w:val="false"/>
          <w:sz w:val="20"/>
          <w:u w:val="single"/>
        </w:rPr>
        <w:t>Continuing Service Provider</w:t>
      </w:r>
      <w:r>
        <w:rPr>
          <w:rFonts w:ascii="Times New Roman;Times;Serif" w:hAnsi="Times New Roman;Times;Serif"/>
          <w:b w:val="false"/>
          <w:i w:val="false"/>
          <w:caps w:val="false"/>
          <w:smallCaps w:val="false"/>
          <w:sz w:val="20"/>
        </w:rPr>
        <w:t xml:space="preserve">”), whether or not then vested or exercisable, shall be assumed by Parent and converted into an option to acquire shares of Parent Common Stock in accordance with this </w:t>
      </w:r>
      <w:r>
        <w:rPr>
          <w:rFonts w:ascii="Times New Roman;Times;Serif" w:hAnsi="Times New Roman;Times;Serif"/>
          <w:b w:val="false"/>
          <w:i w:val="false"/>
          <w:caps w:val="false"/>
          <w:smallCaps w:val="false"/>
          <w:sz w:val="20"/>
          <w:u w:val="single"/>
        </w:rPr>
        <w:t>Section 2.6(a)(i)</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val="false"/>
          <w:i w:val="false"/>
          <w:caps w:val="false"/>
          <w:smallCaps w:val="false"/>
          <w:sz w:val="20"/>
          <w:u w:val="single"/>
        </w:rPr>
        <w:t>Assumed Option</w:t>
      </w:r>
      <w:r>
        <w:rPr>
          <w:rFonts w:ascii="Times New Roman;Times;Serif" w:hAnsi="Times New Roman;Times;Serif"/>
          <w:b w:val="false"/>
          <w:i w:val="false"/>
          <w:caps w:val="false"/>
          <w:smallCaps w:val="false"/>
          <w:sz w:val="20"/>
        </w:rPr>
        <w:t>”). Each such Assumed Option shall continue to have, and shall be subject to, the same terms and conditions as applied to the corresponding In-the-Money Company Option immediately prior to the First Effective Time (including vesting and exercisability terms) except that, as of the First Effective Time, each such Assumed Option shall constitute an option to acquire that number of whole shares of Parent Common Stock (rounded down to the nearest whole share) equal to the product of (i) the number of shares of Company Common Stock subject to the corresponding In-the-Money Company Option immediately prior to the First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First Effective Time, by virtue of the First Merger and without any action on the part of the Company, Parent, the Merger Subs or the holders thereof, each In-the-Money Company Option that is outstanding and unexercised immediately prior to the First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the First Effective Time, by virtue of the First Merger and without any action on the part of the Company, Parent, the Merger Subs or the holders thereof, each Out-of-the-Money Company Option that is outstanding and unexercised immediately prior to the First Effective Time shall be cancelled without any payment in respect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RSU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First Effective Time, by virtue of the First Merger and without any action on the part of the Company, Parent, the Merger Subs or holders thereof, (A) each Company RSU Award that is outstanding immediately prior to the First Effective Time and held by a non-employee member of the Company Board, and (B) each Company RSU Award that is outstanding immediately prior to the First Effective Time and vested but not yet settled shall, in each case, be cancelled and converted into the right to receive the Per Share Merger Consideration in respect of each share of Company Common Stock subject to such Company RSU Award as of immediately prior to the First Effective Time, less applicable Tax withholdings (provided, that such withholdings shall be satisfied by way of net settlement).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the First Effective Time, by virtue of the First Merger and without any action on the part of the Company, Parent, the Merger Subs or holders thereof, each Company RSU Award that is outstanding immediately prior to the First Effective Time (other than a Company RSU Award covered in </w:t>
      </w:r>
      <w:r>
        <w:rPr>
          <w:rFonts w:ascii="Times New Roman;Times;Serif" w:hAnsi="Times New Roman;Times;Serif"/>
          <w:b w:val="false"/>
          <w:i w:val="false"/>
          <w:caps w:val="false"/>
          <w:smallCaps w:val="false"/>
          <w:sz w:val="20"/>
          <w:u w:val="single"/>
        </w:rPr>
        <w:t>Section 2.6(b)(i)</w:t>
      </w:r>
      <w:r>
        <w:rPr>
          <w:rFonts w:ascii="Times New Roman;Times;Serif" w:hAnsi="Times New Roman;Times;Serif"/>
          <w:b w:val="false"/>
          <w:i w:val="false"/>
          <w:caps w:val="false"/>
          <w:smallCaps w:val="false"/>
          <w:sz w:val="20"/>
        </w:rPr>
        <w:t>) shall be assumed by Parent and converted into a restricted stock unit award covering shares of Parent Common Stock (each, an “</w:t>
      </w:r>
      <w:r>
        <w:rPr>
          <w:rFonts w:ascii="Times New Roman;Times;Serif" w:hAnsi="Times New Roman;Times;Serif"/>
          <w:b w:val="false"/>
          <w:i w:val="false"/>
          <w:caps w:val="false"/>
          <w:smallCaps w:val="false"/>
          <w:sz w:val="20"/>
          <w:u w:val="single"/>
        </w:rPr>
        <w:t>Assumed RSU Award</w:t>
      </w:r>
      <w:r>
        <w:rPr>
          <w:rFonts w:ascii="Times New Roman;Times;Serif" w:hAnsi="Times New Roman;Times;Serif"/>
          <w:b w:val="false"/>
          <w:i w:val="false"/>
          <w:caps w:val="false"/>
          <w:smallCaps w:val="false"/>
          <w:sz w:val="20"/>
        </w:rPr>
        <w:t xml:space="preserve">”) in accordance with this </w:t>
      </w:r>
      <w:r>
        <w:rPr>
          <w:rFonts w:ascii="Times New Roman;Times;Serif" w:hAnsi="Times New Roman;Times;Serif"/>
          <w:b w:val="false"/>
          <w:i w:val="false"/>
          <w:caps w:val="false"/>
          <w:smallCaps w:val="false"/>
          <w:sz w:val="20"/>
          <w:u w:val="single"/>
        </w:rPr>
        <w:t>Section 2.6(b)(ii)</w:t>
      </w:r>
      <w:r>
        <w:rPr>
          <w:rFonts w:ascii="Times New Roman;Times;Serif" w:hAnsi="Times New Roman;Times;Serif"/>
          <w:b w:val="false"/>
          <w:i w:val="false"/>
          <w:caps w:val="false"/>
          <w:smallCaps w:val="false"/>
          <w:sz w:val="20"/>
        </w:rPr>
        <w:t>. Each such Assumed RSU Award shall continue to have, and shall be subject to, the same terms and conditions as applied to the corresponding Company RSU Award immediately prior to the First Effective Time (including service-vesting and settlement terms, but excluding any performance-based vesting conditions) except that, as of the First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First Effective Time multiplied by (ii) the Per Share Merger Consideration.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Certain Non-US Awards</w:t>
      </w:r>
      <w:r>
        <w:rPr>
          <w:rFonts w:ascii="Times New Roman;Times;Serif" w:hAnsi="Times New Roman;Times;Serif"/>
          <w:b w:val="false"/>
          <w:i w:val="false"/>
          <w:caps w:val="false"/>
          <w:smallCaps w:val="false"/>
          <w:sz w:val="20"/>
        </w:rPr>
        <w:t xml:space="preserve">. Notwithstanding anything to the contrary contained in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if Parent determines that, for holders of Company Equity Awards employed outside of the United States, the treatment of Company Equity Awards prescribed by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As soon as practicable following the date of this Agreement, the Company shall take all actions with respect to the Company ESPP that are necessary to provide that: (i) with respect to any offering periods in effect as of the date of the Original Agreement (the “</w:t>
      </w:r>
      <w:r>
        <w:rPr>
          <w:rFonts w:ascii="Times New Roman;Times;Serif" w:hAnsi="Times New Roman;Times;Serif"/>
          <w:b w:val="false"/>
          <w:i w:val="false"/>
          <w:caps w:val="false"/>
          <w:smallCaps w:val="false"/>
          <w:sz w:val="20"/>
          <w:u w:val="single"/>
        </w:rPr>
        <w:t>Current ESPP Offering Periods</w:t>
      </w:r>
      <w:r>
        <w:rPr>
          <w:rFonts w:ascii="Times New Roman;Times;Serif" w:hAnsi="Times New Roman;Times;Serif"/>
          <w:b w:val="false"/>
          <w:i w:val="false"/>
          <w:caps w:val="false"/>
          <w:smallCaps w:val="false"/>
          <w:sz w:val="20"/>
        </w:rPr>
        <w:t>”), no employee who is not a participant in a Current ESPP Offering Period as of the date of the Original Agreement may become a participant in the Current ESPP Offering Period, and no participant may increase the percentage amount of his or her payroll deduction election from that in effect on the date of the Original Agreement for such Current ESPP Offering Periods; (ii) subject to the consummation of the First Merger, the Company ESPP shall terminate effective immediately prior to the First Effective Time; (iii) if the Current ESPP Offering Periods terminate prior to the First Effective Time, then the Company ESPP shall be suspended and no new offering period shall be commenced under the Company ESPP prior to the termination of this Agreement; and (iv) if any Current ESPP Offering Period is still in effect at the First Effective Time, then the last day of such Current ESPP Offering Period shall be accelerated to a date that is no later than three (3) Business Days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Other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Prior to the First Effective Time, the Company shall pass such resolutions and take such other actions as are necessary so as to cause the treatment of the Company Equity Awards and the Company ESPP as contemplated by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Treatment of Company Warrants</w:t>
      </w:r>
      <w:r>
        <w:rPr>
          <w:rFonts w:ascii="Times New Roman;Times;Serif" w:hAnsi="Times New Roman;Times;Serif"/>
          <w:b w:val="false"/>
          <w:i w:val="false"/>
          <w:caps w:val="false"/>
          <w:smallCaps w:val="false"/>
          <w:sz w:val="20"/>
        </w:rPr>
        <w:t>. At the First Effective Time, by virtue of the First Merger and without any action on the part of the Company, Parent or the Merger Subs, or the holders thereof, each Company Warrant outstanding and unexercised immediately prior to the First Effective Time shall be cancelled without any payment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Estimated Closing Statement</w:t>
      </w:r>
      <w:r>
        <w:rPr>
          <w:rFonts w:ascii="Times New Roman;Times;Serif" w:hAnsi="Times New Roman;Times;Serif"/>
          <w:b w:val="false"/>
          <w:i w:val="false"/>
          <w:caps w:val="false"/>
          <w:smallCaps w:val="false"/>
          <w:sz w:val="20"/>
        </w:rPr>
        <w:t>. No earlier than twenty (20) Business Days nor later than fifteen (15) Business Days prior to the Closing Date, the Company shall deliver to Parent a statement (the “</w:t>
      </w:r>
      <w:r>
        <w:rPr>
          <w:rFonts w:ascii="Times New Roman;Times;Serif" w:hAnsi="Times New Roman;Times;Serif"/>
          <w:b w:val="false"/>
          <w:i w:val="false"/>
          <w:caps w:val="false"/>
          <w:smallCaps w:val="false"/>
          <w:sz w:val="20"/>
          <w:u w:val="single"/>
        </w:rPr>
        <w:t>Estimated Closing Statement</w:t>
      </w:r>
      <w:r>
        <w:rPr>
          <w:rFonts w:ascii="Times New Roman;Times;Serif" w:hAnsi="Times New Roman;Times;Serif"/>
          <w:b w:val="false"/>
          <w:i w:val="false"/>
          <w:caps w:val="false"/>
          <w:smallCaps w:val="false"/>
          <w:sz w:val="20"/>
        </w:rPr>
        <w:t>”),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 prior to the Closing Date. Subject to such good faith consultation by the Company and any updates to the Estimated Closing Statement resulting therefrom, the Company Cash Balance set forth in the Estimated Closing Statement as of such fifth (5th) Business Day prior to the Closing Date shall be deemed the final Company Cash Balance for purposes of calculating the Aggregate Consideration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Withholding Rights</w:t>
      </w:r>
      <w:r>
        <w:rPr>
          <w:rFonts w:ascii="Times New Roman;Times;Serif" w:hAnsi="Times New Roman;Times;Serif"/>
          <w:b w:val="false"/>
          <w:i w:val="false"/>
          <w:caps w:val="false"/>
          <w:smallCaps w:val="false"/>
          <w:sz w:val="20"/>
        </w:rPr>
        <w:t>. Each of Parent, Merger Sub I, Merger Sub II, the Company, the First Surviving Corporation,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Merger Sub I, Merger Sub II, the Company, the First Surviving Corporation,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Merger Sub I, Merger Sub II, the Company, the First Surviving Corporation,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 (a) shall be remitted by Parent, Merger Sub I, Merger Sub II, the Company, the First Surviving Corporation, the Surviving Corporation, the Exchange Agent, the Section 102 Trustee or any TASE member, as the case may be, to the applicable Governmental Entity as required by applicable Law and (b) shall be treated for all purposes of this Agreement as having been paid to the Person in respect of which such deduction and withholding was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Each of Parent, SoundHound, Inc., Intermediate Sub, Merger Sub I, Merger Sub II and the Company intends that the exchange of shares of Company Common Stock for the Per Share Merger Consideration and the Per Share Cash Merger Consideration, as applicable, pursuant to the Mergers be treated as a transaction described in Section 1001 of the Code (the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None of Parent, SoundHound, Inc., Intermediate Sub, Merger Sub I, Merger Sub II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Appraisal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in this Agreement to the contrary, TASE Shares issued and outstanding immediately prior to the Second Effective Time and held by holder or beneficial owner of TASE Shares who did not vote in favor of the adoption of this Agreement (or consent thereto in writing) and are entitled to demand, and have properly demanded, appraisal of such TASE Shares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pursuant to, and who have complied in all respects with, Section 262 of the DGCL (the “</w:t>
      </w:r>
      <w:r>
        <w:rPr>
          <w:rFonts w:ascii="Times New Roman;Times;Serif" w:hAnsi="Times New Roman;Times;Serif"/>
          <w:b w:val="false"/>
          <w:i w:val="false"/>
          <w:caps w:val="false"/>
          <w:smallCaps w:val="false"/>
          <w:sz w:val="20"/>
          <w:u w:val="single"/>
        </w:rPr>
        <w:t>Appraisal Rights</w:t>
      </w:r>
      <w:r>
        <w:rPr>
          <w:rFonts w:ascii="Times New Roman;Times;Serif" w:hAnsi="Times New Roman;Times;Serif"/>
          <w:b w:val="false"/>
          <w:i w:val="false"/>
          <w:caps w:val="false"/>
          <w:smallCaps w:val="false"/>
          <w:sz w:val="20"/>
        </w:rPr>
        <w:t xml:space="preserve">”) shall not be converted into the right to receive the Per Share Cash Merger Consideration payable pursuant to </w:t>
      </w:r>
      <w:r>
        <w:rPr>
          <w:rFonts w:ascii="Times New Roman;Times;Serif" w:hAnsi="Times New Roman;Times;Serif"/>
          <w:b w:val="false"/>
          <w:i w:val="false"/>
          <w:caps w:val="false"/>
          <w:smallCaps w:val="false"/>
          <w:sz w:val="20"/>
          <w:u w:val="single"/>
        </w:rPr>
        <w:t>Section 2.1(b)(i)(A)</w:t>
      </w:r>
      <w:r>
        <w:rPr>
          <w:rFonts w:ascii="Times New Roman;Times;Serif" w:hAnsi="Times New Roman;Times;Serif"/>
          <w:b w:val="false"/>
          <w:i w:val="false"/>
          <w:caps w:val="false"/>
          <w:smallCaps w:val="false"/>
          <w:sz w:val="20"/>
        </w:rPr>
        <w:t xml:space="preserve">, but instead at the Second Effective Time shall be converted into the right to receive payment of the fair value of such Dissenting Shares in accordance with the Appraisal Rights (it being understood and acknowledged that at the Second Effective Time, such Dissenting Shares shall no longer be outstanding, shall automatically be cancelled and shall cease to exist, and such holder or beneficial owner shall cease to have any rights with respect thereto other than the right to receive the appraised value of such Dissenting Shares to the extent afforded by the Appraisal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that if any such holder or beneficial owner shall fail to perfect or otherwise shall waive, withdraw or lose the right to payment of the fair value of such Dissenting Shares under the Appraisal Rights, then the right of such holder or beneficial owner to be paid the fair value of such person’s Dissenting Shares shall cease and such Dissenting Shares shall automatically be converted into and shall represent the right to receive the Per Share Cash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give prompt notice to Parent of any demands received prior to the Second Effective Time by the Company for appraisal of any shares of Company Common Stock, of any withdrawals of such demands and of any other instruments served pursuant to the DGCL and received by the Company relating to Appraisal Rights, and Parent shall be entitled to participate in and direct all negotiations and proceedings with respect to such demands. Prior to the Second Effective Time, the Company shall not, without the prior written consent of Parent, make any payment with respect to, or settle or compromise or offer to settle or compromise, any such demand, or agree to do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any demand made by a holder of TASE Shares pursuant to and in accordance with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the Company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the TASECH any notice or instruction reasonably required by TASECH or the applicable TASE member in order to prevent such payment.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Prohibition on Transfer</w:t>
      </w:r>
      <w:r>
        <w:rPr>
          <w:rFonts w:ascii="Times New Roman;Times;Serif" w:hAnsi="Times New Roman;Times;Serif"/>
          <w:b w:val="false"/>
          <w:i w:val="false"/>
          <w:caps w:val="false"/>
          <w:smallCaps w:val="false"/>
          <w:sz w:val="20"/>
        </w:rPr>
        <w:t>. To the fullest extent permitted by applicable Law, from the date of this Agreement until the earlier of the Second Effective Time and the termination of this Agreement in accordance with its terms, no holder or beneficial owner of shares of Company Common Stock shall be permitted to transfer any shares of Company Common Stock (other than TASE Shares) owned by such person to the TASECH such that such shares of Company Common Stock that were not previously TASE Shares would, upon the completion of such transfer, constitute TASE Shares. The Company shall, and shall cause each Company Representative to, use its reasonable best efforts to take all appropriate action to effect the foregoing restriction.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 of 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 as set forth in the disclosure schedule delivered by the Company to Parent (the “</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concurrent with the execution of the Original Agreement (with specific reference to the representations and warranties in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to which the information in such schedule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of the Original Agreement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of the date of the Original Agreement, other than for purposes of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3.8(b)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3.26</w:t>
      </w:r>
      <w:r>
        <w:rPr>
          <w:rFonts w:ascii="Times New Roman;Times;Serif" w:hAnsi="Times New Roman;Times;Serif"/>
          <w:b w:val="false"/>
          <w:i w:val="false"/>
          <w:caps w:val="false"/>
          <w:smallCaps w:val="false"/>
          <w:sz w:val="20"/>
        </w:rPr>
        <w:t xml:space="preserve"> which the Company hereby represents and warrants to Parent as of the date hereof,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Organization and Qualification;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(each, a “</w:t>
      </w:r>
      <w:r>
        <w:rPr>
          <w:rFonts w:ascii="Times New Roman;Times;Serif" w:hAnsi="Times New Roman;Times;Serif"/>
          <w:b w:val="false"/>
          <w:i w:val="false"/>
          <w:caps w:val="false"/>
          <w:smallCaps w:val="false"/>
          <w:sz w:val="20"/>
          <w:u w:val="single"/>
        </w:rPr>
        <w:t>Company Subsidiary</w:t>
      </w:r>
      <w:r>
        <w:rPr>
          <w:rFonts w:ascii="Times New Roman;Times;Serif" w:hAnsi="Times New Roman;Times;Serif"/>
          <w:b w:val="false"/>
          <w:i w:val="false"/>
          <w:caps w:val="false"/>
          <w:smallCaps w:val="false"/>
          <w:sz w:val="20"/>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or caused to be made available to Parent true and complete copies of (i) any amendments to the Fourth Amended and Restated Certificate of Incorporation of the Company (the “</w:t>
      </w:r>
      <w:r>
        <w:rPr>
          <w:rFonts w:ascii="Times New Roman;Times;Serif" w:hAnsi="Times New Roman;Times;Serif"/>
          <w:b w:val="false"/>
          <w:i w:val="false"/>
          <w:caps w:val="false"/>
          <w:smallCaps w:val="false"/>
          <w:sz w:val="20"/>
          <w:u w:val="single"/>
        </w:rPr>
        <w:t>Company Charter</w:t>
      </w:r>
      <w:r>
        <w:rPr>
          <w:rFonts w:ascii="Times New Roman;Times;Serif" w:hAnsi="Times New Roman;Times;Serif"/>
          <w:b w:val="false"/>
          <w:i w:val="false"/>
          <w:caps w:val="false"/>
          <w:smallCaps w:val="false"/>
          <w:sz w:val="20"/>
        </w:rPr>
        <w:t>”) not filed prior to the date hereof with the SEC, (ii) any amendments to the Fourth Amended and Restated By-Laws of the Company (the “</w:t>
      </w:r>
      <w:r>
        <w:rPr>
          <w:rFonts w:ascii="Times New Roman;Times;Serif" w:hAnsi="Times New Roman;Times;Serif"/>
          <w:b w:val="false"/>
          <w:i w:val="false"/>
          <w:caps w:val="false"/>
          <w:smallCaps w:val="false"/>
          <w:sz w:val="20"/>
          <w:u w:val="single"/>
        </w:rPr>
        <w:t>Company Bylaws</w:t>
      </w:r>
      <w:r>
        <w:rPr>
          <w:rFonts w:ascii="Times New Roman;Times;Serif" w:hAnsi="Times New Roman;Times;Serif"/>
          <w:b w:val="false"/>
          <w:i w:val="false"/>
          <w:caps w:val="false"/>
          <w:smallCaps w:val="false"/>
          <w:sz w:val="20"/>
        </w:rPr>
        <w:t>”) not filed prior to the date hereof with the SEC and (iii) the certificates of incorporation and bylaws, or equivalent organizational or governing documents, of each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20,000,000 shares of Company Common Stock, of which, as of the close of business on April 17, 2026 (the “</w:t>
      </w:r>
      <w:r>
        <w:rPr>
          <w:rFonts w:ascii="Times New Roman;Times;Serif" w:hAnsi="Times New Roman;Times;Serif"/>
          <w:b w:val="false"/>
          <w:i w:val="false"/>
          <w:caps w:val="false"/>
          <w:smallCaps w:val="false"/>
          <w:sz w:val="20"/>
          <w:u w:val="single"/>
        </w:rPr>
        <w:t>Company Capitalization Date</w:t>
      </w:r>
      <w:r>
        <w:rPr>
          <w:rFonts w:ascii="Times New Roman;Times;Serif" w:hAnsi="Times New Roman;Times;Serif"/>
          <w:b w:val="false"/>
          <w:i w:val="false"/>
          <w:caps w:val="false"/>
          <w:smallCaps w:val="false"/>
          <w:sz w:val="20"/>
        </w:rPr>
        <w:t>”), there were 12,135,767 shares of Company Common Stock issued and outstanding and (ii) 5,000,000 shares of Preferred Stock, par value $0.001 per share, of the Company (“</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and together with the Company Common Stock, the “</w:t>
      </w:r>
      <w:r>
        <w:rPr>
          <w:rFonts w:ascii="Times New Roman;Times;Serif" w:hAnsi="Times New Roman;Times;Serif"/>
          <w:b w:val="false"/>
          <w:i w:val="false"/>
          <w:caps w:val="false"/>
          <w:smallCaps w:val="false"/>
          <w:sz w:val="20"/>
          <w:u w:val="single"/>
        </w:rPr>
        <w:t>Company Stock</w:t>
      </w:r>
      <w:r>
        <w:rPr>
          <w:rFonts w:ascii="Times New Roman;Times;Serif" w:hAnsi="Times New Roman;Times;Serif"/>
          <w:b w:val="false"/>
          <w:i w:val="false"/>
          <w:caps w:val="false"/>
          <w:smallCaps w:val="false"/>
          <w:sz w:val="20"/>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 (vi) 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First Effective Time on the terms and conditions specified in the instruments pursuant to which they are issuable, shall be duly authorized, validly issued, fully paid, non-assessable and free of preemptive rights.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 (7) with respect to a Company Option, whether such Company Option is intended to constitute an “incentive stock option” within the meaning of Section 422 of the Code or is intended to be Tax-qualified under foreign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for Equity Interests set forth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Times;Serif" w:hAnsi="Times New Roman;Times;Serif"/>
          <w:b w:val="false"/>
          <w:i w:val="false"/>
          <w:caps w:val="false"/>
          <w:smallCaps w:val="false"/>
          <w:sz w:val="20"/>
          <w:u w:val="single"/>
        </w:rPr>
        <w:t>Company Rights</w:t>
      </w:r>
      <w:r>
        <w:rPr>
          <w:rFonts w:ascii="Times New Roman;Times;Serif" w:hAnsi="Times New Roman;Times;Serif"/>
          <w:b w:val="false"/>
          <w:i w:val="false"/>
          <w:caps w:val="false"/>
          <w:smallCaps w:val="false"/>
          <w:sz w:val="20"/>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necessary power and authority to execute and deliver this Agreement, to perform its obligations hereunder and to consummate the transactions contemplated hereby, including the Mergers. The execution and delivery of this Agreement by the Company and the consummation by the Company of the transactions contemplated hereby, including the Mergers,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Times;Serif" w:hAnsi="Times New Roman;Times;Serif"/>
          <w:b w:val="false"/>
          <w:i w:val="false"/>
          <w:caps w:val="false"/>
          <w:smallCaps w:val="false"/>
          <w:sz w:val="20"/>
          <w:u w:val="single"/>
        </w:rPr>
        <w:t>Required Company Vote</w:t>
      </w:r>
      <w:r>
        <w:rPr>
          <w:rFonts w:ascii="Times New Roman;Times;Serif" w:hAnsi="Times New Roman;Times;Serif"/>
          <w:b w:val="false"/>
          <w:i w:val="false"/>
          <w:caps w:val="false"/>
          <w:smallCaps w:val="false"/>
          <w:sz w:val="20"/>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Times;Serif" w:hAnsi="Times New Roman;Times;Serif"/>
          <w:b w:val="false"/>
          <w:i w:val="false"/>
          <w:caps w:val="false"/>
          <w:smallCaps w:val="false"/>
          <w:sz w:val="20"/>
          <w:u w:val="single"/>
        </w:rPr>
        <w:t>Enforceability 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Mergers (the “</w:t>
      </w:r>
      <w:r>
        <w:rPr>
          <w:rFonts w:ascii="Times New Roman;Times;Serif" w:hAnsi="Times New Roman;Times;Serif"/>
          <w:b w:val="false"/>
          <w:i w:val="false"/>
          <w:caps w:val="false"/>
          <w:smallCaps w:val="false"/>
          <w:sz w:val="20"/>
          <w:u w:val="single"/>
        </w:rPr>
        <w:t>Tax Benefits Preservation Plan Waiver</w:t>
      </w:r>
      <w:r>
        <w:rPr>
          <w:rFonts w:ascii="Times New Roman;Times;Serif" w:hAnsi="Times New Roman;Times;Serif"/>
          <w:b w:val="false"/>
          <w:i w:val="false"/>
          <w:caps w:val="false"/>
          <w:smallCaps w:val="false"/>
          <w:sz w:val="20"/>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xml:space="preserve">(a). Subject to receipt of the Required Company Vote, none of the execution, delivery or performance of this Agreement by the Company, the consummation by the Company of the Mergers or any other transaction contemplated by this Agreement will (with or without notice or lapse of time, or both): (a) 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have been obtained and all filings and notifications described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 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Required Filings and Consents</w:t>
      </w:r>
      <w:r>
        <w:rPr>
          <w:rFonts w:ascii="Times New Roman;Times;Serif" w:hAnsi="Times New Roman;Times;Serif"/>
          <w:b w:val="false"/>
          <w:i w:val="false"/>
          <w:caps w:val="false"/>
          <w:smallCaps w:val="false"/>
          <w:sz w:val="20"/>
        </w:rPr>
        <w:t xml:space="preserve">. Assuming the accuracy of the representations and warranties of the Parent Parties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none of the execution, delivery or performance of this Agreement by the Company, the consummation by the Company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Adverse Effect. The performance of the obligations under this Agreement, and the consummation of the Mergers or any other transaction contemplated by this Agreement, in each case, will not require the publication of a prospectus or a similar offering document in Israel.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or with the ISA under the Israeli Securities Laws since January 1, 2024 (the “</w:t>
      </w:r>
      <w:r>
        <w:rPr>
          <w:rFonts w:ascii="Times New Roman;Times;Serif" w:hAnsi="Times New Roman;Times;Serif"/>
          <w:b w:val="false"/>
          <w:i w:val="false"/>
          <w:caps w:val="false"/>
          <w:smallCaps w:val="false"/>
          <w:sz w:val="20"/>
          <w:u w:val="single"/>
        </w:rPr>
        <w:t>Company ISA Documents</w:t>
      </w:r>
      <w:r>
        <w:rPr>
          <w:rFonts w:ascii="Times New Roman;Times;Serif" w:hAnsi="Times New Roman;Times;Serif"/>
          <w:b w:val="false"/>
          <w:i w:val="false"/>
          <w:caps w:val="false"/>
          <w:smallCaps w:val="false"/>
          <w:sz w:val="20"/>
        </w:rPr>
        <w:t>”). No Company Subsidiary is required to make any filings with the SEC.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respective filing date, and, if amended, as of the date of the last amendment prior to the date of the Original Agreement,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consolidated financial statements of the Company included in the Company SEC Documents (including, in each case, any notes or schedules thereto) (the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Mergers or the other transactions contemplated hereby and (iv) for liabilities and obligations that have not been and would not reasonably be expected to be, individually or in the aggregate, material to the Company and the Company Subsidiaries, taken as a whole.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2025 through the date of the Original Agreement, except for the discussion and negotiation of the Original Agreement, the Company and the Company Subsidiaries have conducted their respective businesses in all material respects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2025 through the date hereof, there has not been any Company Material Adverse Effect or any change, event or development, that had or would reasonably be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Since January 1, 2026 through the date of the Original Agreement, there has not been any action taken by the Company or any Company Subsidiary that, if taken during the period between the date hereof through the Second Effective Time, would constitute a breach of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5.1(o)</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5.1(q)</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of the Company Disclosure Schedule sets forth a complete and accurate list of each material Company Benefit Plan as of the date of the Original Agreement, excluding (i) any Company Benefit Plan that is an employment offer letter or individual independent contractor or consultant agreement that (x) does not materially differ from the applicable form set forth on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of the Company Disclosure Schedule.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Times;Serif" w:hAnsi="Times New Roman;Times;Serif"/>
          <w:b w:val="false"/>
          <w:i w:val="false"/>
          <w:caps w:val="false"/>
          <w:smallCaps w:val="false"/>
          <w:sz w:val="20"/>
          <w:u w:val="single"/>
        </w:rPr>
        <w:t>Non-U.S. Company Benefit Plan</w:t>
      </w:r>
      <w:r>
        <w:rPr>
          <w:rFonts w:ascii="Times New Roman;Times;Serif" w:hAnsi="Times New Roman;Times;Serif"/>
          <w:b w:val="false"/>
          <w:i w:val="false"/>
          <w:caps w:val="false"/>
          <w:smallCaps w:val="false"/>
          <w:sz w:val="20"/>
        </w:rPr>
        <w:t>”). With respect to each material Company Benefit Plan, to the extent applicable, the Company and the Company Subsidiaries have either delivered or made available to Parent prior to the execution of the Original Agreement true, correct and complete 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 (iii) a “multiple employer welfare arrangement” within the meaning of Section 3(40) of ERISA; or (iv) a “defined benefit plan” (as defined in Section 3(35) of ERISA whether or not subject thereto) or any other pension plan that is subject to Section 302 or Title IV of ERISA or Section 412 or 430 of the Code. None of the Company or any of the Company Subsidiaries has any current or contingent liability or obligation as a consequence of being considered a single employer with any other Person under Section 414 of the Code during the past six (6)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 or (iv) result in the payment of any “excess parachute payments” within the meaning of Section 280G of the Code.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Labor and Other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3.10(a)</w:t>
      </w:r>
      <w:r>
        <w:rPr>
          <w:rFonts w:ascii="Times New Roman;Times;Serif" w:hAnsi="Times New Roman;Times;Serif"/>
          <w:b w:val="false"/>
          <w:i w:val="false"/>
          <w:caps w:val="false"/>
          <w:smallCaps w:val="false"/>
          <w:sz w:val="20"/>
        </w:rPr>
        <w:t xml:space="preserve"> of the Company Disclosure Schedule sets forth, as of the date of the Original Agreement, a true, correct, and complete list of all employees of the Company and the Company Subsidiaries, including for each such employee their (i) name or identification number, (ii) 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 (xi) 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3.10(b)</w:t>
      </w:r>
      <w:r>
        <w:rPr>
          <w:rFonts w:ascii="Times New Roman;Times;Serif" w:hAnsi="Times New Roman;Times;Serif"/>
          <w:b w:val="false"/>
          <w:i w:val="false"/>
          <w:caps w:val="false"/>
          <w:smallCaps w:val="false"/>
          <w:sz w:val="20"/>
        </w:rPr>
        <w:t xml:space="preserve"> of the Company Disclosure Schedule sets forth, as of the date of the Original Agreement,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individually or in the aggregate, would not reasonably be expected to be material to the Company and the Company Subsidiaries, taken as a whole, as of the date of the Original Agreement,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Knowledge of the Company, no current employee with a position at the Vice President level or higher, intends to terminate his or her employment or retire prior to the one-year anniversary of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Solely with respect to employees of the Company or any Company Subsidiary who reside or work in Israel (“</w:t>
      </w:r>
      <w:r>
        <w:rPr>
          <w:rFonts w:ascii="Times New Roman;Times;Serif" w:hAnsi="Times New Roman;Times;Serif"/>
          <w:b w:val="false"/>
          <w:i w:val="false"/>
          <w:caps w:val="false"/>
          <w:smallCaps w:val="false"/>
          <w:sz w:val="20"/>
          <w:u w:val="single"/>
        </w:rPr>
        <w:t>Israeli Employees</w:t>
      </w:r>
      <w:r>
        <w:rPr>
          <w:rFonts w:ascii="Times New Roman;Times;Serif" w:hAnsi="Times New Roman;Times;Serif"/>
          <w:b w:val="false"/>
          <w:i w:val="false"/>
          <w:caps w:val="false"/>
          <w:smallCaps w:val="false"/>
          <w:sz w:val="20"/>
        </w:rPr>
        <w:t>”): (i) neither the Company nor any Company Subsidiary has or is subject to, and no Israeli Employee of the Company or any Company Subsidiary benefits from, any extension order (</w:t>
      </w:r>
      <w:r>
        <w:rPr>
          <w:rFonts w:ascii="Times New Roman;Times;Serif" w:hAnsi="Times New Roman;Times;Serif"/>
          <w:b w:val="false"/>
          <w:i/>
          <w:caps w:val="false"/>
          <w:smallCaps w:val="false"/>
          <w:sz w:val="20"/>
        </w:rPr>
        <w:t>tzavei harchava</w:t>
      </w:r>
      <w:r>
        <w:rPr>
          <w:rFonts w:ascii="Times New Roman;Times;Serif" w:hAnsi="Times New Roman;Times;Serif"/>
          <w:b w:val="false"/>
          <w:i w:val="false"/>
          <w:caps w:val="false"/>
          <w:smallCaps w:val="false"/>
          <w:sz w:val="20"/>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Times;Serif" w:hAnsi="Times New Roman;Times;Serif"/>
          <w:b w:val="false"/>
          <w:i w:val="false"/>
          <w:caps w:val="false"/>
          <w:smallCaps w:val="false"/>
          <w:sz w:val="20"/>
          <w:u w:val="single"/>
        </w:rPr>
        <w:t>Section 14 Arrangement</w:t>
      </w:r>
      <w:r>
        <w:rPr>
          <w:rFonts w:ascii="Times New Roman;Times;Serif" w:hAnsi="Times New Roman;Times;Serif"/>
          <w:b w:val="false"/>
          <w:i w:val="false"/>
          <w:caps w:val="false"/>
          <w:smallCaps w:val="false"/>
          <w:sz w:val="20"/>
        </w:rPr>
        <w:t>”)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xml:space="preserve"> of the Company Disclosure Schedule sets forth, as of the date of the Original Agreement, a true and complete list of each Contract to which the Company or any Company Subsidiary is a party or by which their respective properties or assets are bound, and which falls within any of the following categories: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that grants any right of first refusal or right of first offer or imposes any other similar restriction or obligation that, in each case, limits in any material respect the ability of the Company or any Company Subsidiary (or Parent and its affiliates after the First Effective Time) to own, operate, sell, transfer, pledge or otherwise dispose of any material businesses or material assets;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that materially limits the freedom of the Company or any Company Subsidiary (or Parent and its affiliates after the First Effective Time) to engage in any line of business, compete with any Person or purchase, sell, supply or distribute any product or service, in each case, in any geographic area;</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Contract that by its terms gives any Person the express right to acquire legal ownership of any assets owned by the Company or any Company Subsidiary (excluding ordinary course commitments to purchase Company Products) after the date of the Original Agreement with consideration of more than $250,000;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relating to indebtedness for borrowed money or any financial guaranty (including any guaranty by the Company or any Company Subsidiary of any obligations of any third party), in each case pertaining to indebtedness in excess of $250,000;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Collective Bargaining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Contract with any Person that is one of the top 20 customers of the Company and the Company Subsidiaries (as measured by total revenue for the fiscal year ending December 31, 2025);</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Contract with any Person that is one of the top 20 vendors of the Company and the Company Subsidiaries (as measured by expenditures for the fiscal year ending December 31, 2025);</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lease or sublease with respect to the Company Leased Real Property that is material to the conduct of the Company’s and the Company Subsidiaries’ business as currently conducted;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settlement agreement or similar Contract restricting in any material respect the operations or conduct of the Company or any Company Subsidiary or any of their respective affiliates (including Parent or any Parent Subsidiary after the First Effective Time);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Contract (including any side letter) governing or amending, modifying, supplementing or otherwise relating to the 2026 Notes or the Secured Notes;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Contract that contains any exclusivity rights or “most favored nations” provisions or minimum use, supply or display requirements that are binding on the Company or any Company Subsidiary (including Parent or any Parent Subsidiary after the First Effective Time);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Mergers or any other transaction contemplated by this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any Contract between the Company or any Company Subsidiary, on the one hand, and any Governmental Entity or prime contractor or subcontractor of a Governmental Entity, on the other hand;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any Contract that by its terms expressly obligates the Company or any Company Subsidiary to make any capital investment or capital expenditure outside the ordinary course of business and in excess of $250,000;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any other “material contract” (as such term is defined in Item 601(b)(10) of Regulation S-K of the SEC), other than a Company Benefit Plan.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Contract of the type described in this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xml:space="preserve"> is referred to herein as a “</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 True and complete copies of each Company Material Contract in effect as of the date of the Original Agreement have been made available to Parent (including pursuant to agreed-upon procedures to protect competitively sensitive information) or publicly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 (iii) 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As of the date of the Original Agreement,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 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 (d) 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 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xml:space="preserve"> of the Company Disclosure Schedule sets forth a complete list of all (i) issued patents and pending patent applications, (ii) trademark and service mark registrations and applications, (iii) copyright registrations, (iv) design registrations and applications, and (v) internet domain name registrations, in each case that are owned or purported to be owned by the Company or any of the Company Subsidiaries (collectively, the “</w:t>
      </w:r>
      <w:r>
        <w:rPr>
          <w:rFonts w:ascii="Times New Roman;Times;Serif" w:hAnsi="Times New Roman;Times;Serif"/>
          <w:b w:val="false"/>
          <w:i w:val="false"/>
          <w:caps w:val="false"/>
          <w:smallCaps w:val="false"/>
          <w:sz w:val="20"/>
          <w:u w:val="single"/>
        </w:rPr>
        <w:t>Company Registered Intellectual Property</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 (y) has been maintained effective by all requisite filings, renewals and payments, and (z) remains in full force and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(i) 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Mergers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have, individually or in the aggregate, a Company Material Adverse Effect, (i) all former and current officers, directors, employees, personnel, consultants, advisors, agents, and independent contractors of the Company and the Company Subsidiaries, and each of 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 (i) 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Times;Serif" w:hAnsi="Times New Roman;Times;Serif"/>
          <w:b w:val="false"/>
          <w:i w:val="false"/>
          <w:caps w:val="false"/>
          <w:smallCaps w:val="false"/>
          <w:sz w:val="20"/>
          <w:u w:val="single"/>
        </w:rPr>
        <w:t>Company IT Assets</w:t>
      </w:r>
      <w:r>
        <w:rPr>
          <w:rFonts w:ascii="Times New Roman;Times;Serif" w:hAnsi="Times New Roman;Times;Serif"/>
          <w:b w:val="false"/>
          <w:i w:val="false"/>
          <w:caps w:val="false"/>
          <w:smallCaps w:val="false"/>
          <w:sz w:val="20"/>
        </w:rPr>
        <w:t>”) operate and perform as required by the Company and the Company Subsidiaries for the conduct of their businesses as currently conducted, and have not malfunctioned or failed since January 1, 2023.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 ‎improve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 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Data Privacy and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Times;Serif" w:hAnsi="Times New Roman;Times;Serif"/>
          <w:b w:val="false"/>
          <w:i w:val="false"/>
          <w:caps w:val="false"/>
          <w:smallCaps w:val="false"/>
          <w:sz w:val="20"/>
          <w:u w:val="single"/>
        </w:rPr>
        <w:t>Data Partners</w:t>
      </w:r>
      <w:r>
        <w:rPr>
          <w:rFonts w:ascii="Times New Roman;Times;Serif" w:hAnsi="Times New Roman;Times;Serif"/>
          <w:b w:val="false"/>
          <w:i w:val="false"/>
          <w:caps w:val="false"/>
          <w:smallCaps w:val="false"/>
          <w:sz w:val="20"/>
        </w:rPr>
        <w:t>”), has for the past three (3) years complied with (i) policies and/or notices relating to privacy, security, or the Processing of Personal Information, (ii) contractual commitments related to privacy, security, or the Processing of Personal Information, and (iii) Privacy and Security Laws (collectively, “</w:t>
      </w:r>
      <w:r>
        <w:rPr>
          <w:rFonts w:ascii="Times New Roman;Times;Serif" w:hAnsi="Times New Roman;Times;Serif"/>
          <w:b w:val="false"/>
          <w:i w:val="false"/>
          <w:caps w:val="false"/>
          <w:smallCaps w:val="false"/>
          <w:sz w:val="20"/>
          <w:u w:val="single"/>
        </w:rPr>
        <w:t>Privacy Requirements</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be material to the Company and its Subsidiaries, taken as a whole, in relation to any Security Incident and/or actual, alleged, or potential violation of a Privacy Requirement, neither the Company nor any Company Subsidiary has (i) notified or been required to notify any Person, or (ii) received any notice, claim, or complaint from any Person, or been the subject of any investigation or enforcement action by any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execution, delivery, and performance of this Agreement and the Mergers does not and will not materially conflict with or result in a material violation or breach of any Privacy Requirements or require the consent of or provision of notice to any Person concerning such Person’s Personal Information.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Taxes payable by the Company and the Company Subsidiaries (whether or not shown to be due and payable on any Tax Return) have been fully and timely paid to the appropriate Governmental Entity;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there are no disputes, audits, examinations, investigations or other Proceedings in progress, or to the Knowledge of the Company, pending or threatened, by any Governmental Entity with respect to any Taxes or Tax Returns of the Company or any Company Subsidiary;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neither the Company nor any Company Subsidiary (A) is a party to any Tax-allocation, Tax-sharing, Tax-indemnity or similar agreement (not including, for the avoidance of doubt (I) an agreement or arrangement solely between or among the Company and/or any of the Company Subsidiaries or (II) any customary commercial Contract not primarily related to Taxes and entered into in the ordinary course of business) or (B) 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state, local or non-U.S. Tax Law), as a transferee or successor, by Contract (other than any customary commercial Contract not primarily related to Taxes and entered into the ordinary course of business), or otherwise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there are no Liens for Taxes upon any property or assets of the Company or the Company Subsidiaries, other than Permitted Liens;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neither the Company nor any Company Subsidiary has participated in any “listed transaction” within the meaning of Treasury Regulations Section 1.6011-4(b)(2) (or under a similar provision of state, local, or non-U.S. Tax Law);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Company has treated the 2026 Notes, the First Lien Notes and the Second Lien Notes as debt for U.S. federal income tax and financial accounting purposes and, except to the extent otherwise required by a change in applicable Law or GAAP after the date of the Original Agreement, will continue to treat the 2026 Notes, the First Lien Notes and the Second Lien Notes as debt for U.S. federal income tax and financial accounting purposes at all times through and immediately after the Second Effective Time;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of the Original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Real Property; Title to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the Company Subsidiaries owns, or has ever (or, in the case of each Company Subsidiary, for so long as such Person has been a Subsidiary of the Company) owned, any real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3.18(b)</w:t>
      </w:r>
      <w:r>
        <w:rPr>
          <w:rFonts w:ascii="Times New Roman;Times;Serif" w:hAnsi="Times New Roman;Times;Serif"/>
          <w:b w:val="false"/>
          <w:i w:val="false"/>
          <w:caps w:val="false"/>
          <w:smallCaps w:val="false"/>
          <w:sz w:val="20"/>
        </w:rPr>
        <w:t xml:space="preserve"> of the Company Disclosure Schedule sets forth (i) a true and complete list of all material real property leased, subleased or otherwise occupied by the Company or any of the Company Subsidiaries (collectively, the “</w:t>
      </w:r>
      <w:r>
        <w:rPr>
          <w:rFonts w:ascii="Times New Roman;Times;Serif" w:hAnsi="Times New Roman;Times;Serif"/>
          <w:b w:val="false"/>
          <w:i w:val="false"/>
          <w:caps w:val="false"/>
          <w:smallCaps w:val="false"/>
          <w:sz w:val="20"/>
          <w:u w:val="single"/>
        </w:rPr>
        <w:t>Company Leased Real Property</w:t>
      </w:r>
      <w:r>
        <w:rPr>
          <w:rFonts w:ascii="Times New Roman;Times;Serif" w:hAnsi="Times New Roman;Times;Serif"/>
          <w:b w:val="false"/>
          <w:i w:val="false"/>
          <w:caps w:val="false"/>
          <w:smallCaps w:val="false"/>
          <w:sz w:val="20"/>
        </w:rPr>
        <w:t>”), (ii) the address for such Company Leased Real Property, and (iii) a description of the applicable lease, sublease or other agreement therefore and any and all amendments and modifications relating thereto (collectively, the “</w:t>
      </w:r>
      <w:r>
        <w:rPr>
          <w:rFonts w:ascii="Times New Roman;Times;Serif" w:hAnsi="Times New Roman;Times;Serif"/>
          <w:b w:val="false"/>
          <w:i w:val="false"/>
          <w:caps w:val="false"/>
          <w:smallCaps w:val="false"/>
          <w:sz w:val="20"/>
          <w:u w:val="single"/>
        </w:rPr>
        <w:t>Company Real Property Leases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Anti-Corruption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each Company Subsidiary, and each Company Representative is and, since January 1, 2021, has been in compliance with the Anti-Corruption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Company Subsidiary nor any Company Representative acting for or on behalf of the Company or any Company Subsidiary has made any voluntary or involuntary disclosure to any Governmental Entity under the Anti- 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the Company Subsidiaries have established and maintain and enforce policies and procedures reasonably designed to promote and achieve compliance with the Anti-Corruption Laws applicable to the Company and the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International Trade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the Original Agreement, has been in compliance, (i) has been in compliance, in all material respects, with all Trade Compliance Laws, and (ii) has not been subject to debarment or list-based designations under any Trade Compliance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the Company Subsidiaries have, since April 24, 2019, implemented and maintain policies and procedures to promote compliance with Sanctions and Trade Compliance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The Company Board has received the opinion (the “</w:t>
      </w:r>
      <w:r>
        <w:rPr>
          <w:rFonts w:ascii="Times New Roman;Times;Serif" w:hAnsi="Times New Roman;Times;Serif"/>
          <w:b w:val="false"/>
          <w:i w:val="false"/>
          <w:caps w:val="false"/>
          <w:smallCaps w:val="false"/>
          <w:sz w:val="20"/>
          <w:u w:val="single"/>
        </w:rPr>
        <w:t>Company Fairness Opinion</w:t>
      </w:r>
      <w:r>
        <w:rPr>
          <w:rFonts w:ascii="Times New Roman;Times;Serif" w:hAnsi="Times New Roman;Times;Serif"/>
          <w:b w:val="false"/>
          <w:i w:val="false"/>
          <w:caps w:val="false"/>
          <w:smallCaps w:val="false"/>
          <w:sz w:val="20"/>
        </w:rPr>
        <w:t>”) of Houlihan Lokey Capital, Inc. (“</w:t>
      </w:r>
      <w:r>
        <w:rPr>
          <w:rFonts w:ascii="Times New Roman;Times;Serif" w:hAnsi="Times New Roman;Times;Serif"/>
          <w:b w:val="false"/>
          <w:i w:val="false"/>
          <w:caps w:val="false"/>
          <w:smallCaps w:val="false"/>
          <w:sz w:val="20"/>
          <w:u w:val="single"/>
        </w:rPr>
        <w:t>Houlihan Lokey</w:t>
      </w:r>
      <w:r>
        <w:rPr>
          <w:rFonts w:ascii="Times New Roman;Times;Serif" w:hAnsi="Times New Roman;Times;Serif"/>
          <w:b w:val="false"/>
          <w:i w:val="false"/>
          <w:caps w:val="false"/>
          <w:smallCaps w:val="false"/>
          <w:sz w:val="20"/>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Mergers pursuant to this Agreement was fair, from a financial point of view, to such holders (solely in their capacity as holders of Company Common Stock). The Company made available to Parent a copy of such opinion following the execution of the Original Agreement for informational purposes only.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Times;Serif" w:hAnsi="Times New Roman;Times;Serif"/>
          <w:b w:val="false"/>
          <w:i w:val="false"/>
          <w:caps w:val="false"/>
          <w:smallCaps w:val="false"/>
          <w:sz w:val="20"/>
          <w:u w:val="single"/>
        </w:rPr>
        <w:t>Company Related Party</w:t>
      </w:r>
      <w:r>
        <w:rPr>
          <w:rFonts w:ascii="Times New Roman;Times;Serif" w:hAnsi="Times New Roman;Times;Serif"/>
          <w:b w:val="false"/>
          <w:i w:val="false"/>
          <w:caps w:val="false"/>
          <w:smallCaps w:val="false"/>
          <w:sz w:val="20"/>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 (a) 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Except for the representations and warranties expressly set forth in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Representations and Warranties of Parent and MERGER SUBS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disclosed or identified in the Parent SEC Documents filed or furnished by Parent with the SEC on or after January 1, 2024 and at least two Business Days prior to the date of the Original Agreement (other than forward-looking disclosures contained in the “Forward Looking Statements” and “Risk Factors” sections of the Parent SEC Documents and any other disclosures included therein to the extent they are primarily predictive, cautionary or forward-looking in nature, but including any historical or factual matters disclosed in such sections), each Parent Party hereby jointly and severally represent and warrant to the Company as of the date of the Original Agreement, other than for purposes of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4.10</w:t>
      </w:r>
      <w:r>
        <w:rPr>
          <w:rFonts w:ascii="Times New Roman;Times;Serif" w:hAnsi="Times New Roman;Times;Serif"/>
          <w:b w:val="false"/>
          <w:i w:val="false"/>
          <w:caps w:val="false"/>
          <w:smallCaps w:val="false"/>
          <w:sz w:val="20"/>
        </w:rPr>
        <w:t xml:space="preserve"> which each Parent Party hereby jointly and severally represents and warrants to the Company as of the date hereof,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Each Parent Party has all necessary power and authority to execute and deliver this Agreement, to perform its obligations hereunder and to consummate the transactions contemplated hereby, including (a) in the case of Parent, the Parent Share Issuance, (b) in the case of Merger Sub I, subject to the adoption of this Agreement by Intermediate Sub as the sole stockholder of Merger Sub I, the First Merger, and (c) in the case of Merger Sub II, subject to the adoption of this Agreement by Intermediate Sub as the sole stockholder of Merger Sub II, the Second Merger. The execution and delivery of this Agreement by the Parent Parties and the consummation by the Parent Parties of the transactions contemplated hereby, including the Parent Share Issuance (in the case of Parent), the First Merger (in the case of Merger Sub I), and the Second Merger (in the case of Merger Sub II), have been duly and validly authorized by all necessary corporate action, and no other corporate proceedings on the part of any Parent Party and, except for the affirmative vote of Intermediate Sub as the sole stockholder of Merger Sub I and Merger Sub II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xml:space="preserve">(a). The execution, delivery and performance by the Parent Parties of this Agreement and the consummation by the Parent Parties of the transactions contemplated hereby, including the Parent Share Issuance (in the case of Parent), the First Merger (in the case of Merger Sub I), and the Second Merger (in the case of Merger Sub II) do not and will not (a) contravene, conflict with, or result in any violation or breach of any provision of the Restated Certificate of Incorporation or the Amended and Restated Bylaws of Parent, the certificate of incorporation and bylaws (or equivalent organizational documents) of Merger Sub I, or the certificate of incorporation and bylaws (or equivalent organizational documents) of Merger Sub II or (b) assuming compliance with the matters referred to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contravene, conflict with or result in a violation or breach of any provision of any material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Required Filings and Consents</w:t>
      </w:r>
      <w:r>
        <w:rPr>
          <w:rFonts w:ascii="Times New Roman;Times;Serif" w:hAnsi="Times New Roman;Times;Serif"/>
          <w:b w:val="false"/>
          <w:i w:val="false"/>
          <w:caps w:val="false"/>
          <w:smallCaps w:val="false"/>
          <w:sz w:val="20"/>
        </w:rPr>
        <w:t xml:space="preserve">. Assuming the accuracy of the representations and warranties of the Company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none of the execution, delivery or performance of this Agreement by the Parent Parties, including the Parent Share Issuance (in the case of Parent) and the Mergers (in the case of Merger Sub I and Merger Sub II),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No Parent Subsidiary is required to make any filings with the SEC.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respective filing date, and, if amended, as of the date of the last amendment prior to the date of the Original Agreement,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consolidated financial statements of Parent included in the Parent SEC Documents (including, in each case, any notes or schedules thereto) (the “</w:t>
      </w:r>
      <w:r>
        <w:rPr>
          <w:rFonts w:ascii="Times New Roman;Times;Serif" w:hAnsi="Times New Roman;Times;Serif"/>
          <w:b w:val="false"/>
          <w:i w:val="false"/>
          <w:caps w:val="false"/>
          <w:smallCaps w:val="false"/>
          <w:sz w:val="20"/>
          <w:u w:val="single"/>
        </w:rPr>
        <w:t>Parent Financial Statements</w:t>
      </w:r>
      <w:r>
        <w:rPr>
          <w:rFonts w:ascii="Times New Roman;Times;Serif" w:hAnsi="Times New Roman;Times;Serif"/>
          <w:b w:val="false"/>
          <w:i w:val="false"/>
          <w:caps w:val="false"/>
          <w:smallCaps w:val="false"/>
          <w:sz w:val="20"/>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Mergers or the other transactions contemplated hereby and (iv) for liabilities and obligations that have not had and would not reasonably be expected to have, individually or in the aggregate, a Parent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 shall be included in the Registration Statement, shall not, on the date(s) the Proxy Statement/Prospectus is first mailed to the stockholders of Parent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Ownership of Merger Subs</w:t>
      </w:r>
      <w:r>
        <w:rPr>
          <w:rFonts w:ascii="Times New Roman;Times;Serif" w:hAnsi="Times New Roman;Times;Serif"/>
          <w:b w:val="false"/>
          <w:i w:val="false"/>
          <w:caps w:val="false"/>
          <w:smallCaps w:val="false"/>
          <w:sz w:val="20"/>
        </w:rPr>
        <w:t>. Merger Sub I and Merger Sub II are each an indirect, wholly owned Parent Subsidiary and a direct wholly owned Subsidiary of Intermediate Sub, were each formed solely for the purpose of engaging in the transactions contemplated hereby and have each engaged in no business activity other than as contemplated by this Agreement. Except for the liabilities incurred in connection with the transactions contemplated hereby, each of Merger Sub I and Merger Sub II has not and will not have incurred, directly or indirectly, through any Subsidiary or affiliate, any obligations or liabilities or engaged in any business activities of any type or kind whatsoever or entered into any agreements or arrangements with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for Parent’s obligations to Barclays Capital Inc., no broker, investment banker, financial advisor or other Person is entitled to any brokerage, finders’, advisory or similar fee in connection with the transactions contemplated by this Agreement, including 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Except for the representations and warranties expressly set forth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I, Merger Sub II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Conduct of 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Conduct of Business by the Company Pending the Closing</w:t>
      </w:r>
      <w:r>
        <w:rPr>
          <w:rFonts w:ascii="Times New Roman;Times;Serif" w:hAnsi="Times New Roman;Times;Serif"/>
          <w:b w:val="false"/>
          <w:i w:val="false"/>
          <w:caps w:val="false"/>
          <w:smallCaps w:val="false"/>
          <w:sz w:val="20"/>
        </w:rPr>
        <w:t xml:space="preserve">. The Company agrees that, between the date of the Original Agreement and the earlier of the Second Effective Time and the valid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except (w) as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Times;Serif" w:hAnsi="Times New Roman;Times;Serif"/>
          <w:b w:val="false"/>
          <w:i w:val="false"/>
          <w:caps w:val="false"/>
          <w:smallCaps w:val="false"/>
          <w:sz w:val="20"/>
          <w:u w:val="single"/>
        </w:rPr>
        <w:t>Section 6.15(a)</w:t>
      </w:r>
      <w:r>
        <w:rPr>
          <w:rFonts w:ascii="Times New Roman;Times;Serif" w:hAnsi="Times New Roman;Times;Serif"/>
          <w:b w:val="false"/>
          <w:i w:val="false"/>
          <w:caps w:val="false"/>
          <w:smallCaps w:val="false"/>
          <w:sz w:val="20"/>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the Company Disclosure Schedule, (2) as required by applicable Law, (3) as expressly required or contemplated by this Agreement, or (4) otherwise with the prior written consent of Parent (not to be unreasonably withheld, conditioned or delayed), the Company shall not, and shall not permit any Company Subsidiary to, between the date of the Original Agreement and the earlier of the Second Effective Time and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directly or indirectly, take any of the following 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of the Original Agreement in accordance with their terms (or, if a Triggering Event (as defined in the Tax Benefits Preservation Plan) shall occur, the Company Rights) or upon the exercise of purchase rights under the Company ESPP (subject to </w:t>
      </w:r>
      <w:r>
        <w:rPr>
          <w:rFonts w:ascii="Times New Roman;Times;Serif" w:hAnsi="Times New Roman;Times;Serif"/>
          <w:b w:val="false"/>
          <w:i w:val="false"/>
          <w:caps w:val="false"/>
          <w:smallCaps w:val="false"/>
          <w:sz w:val="20"/>
          <w:u w:val="single"/>
        </w:rPr>
        <w:t>Section 2.6(d)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of the Original Agreement (as such Contracts may be modified, extended or amended in the ordinary course of business) or (ii) Permitted Liens;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of the Original Agreement or (ii) upon the forfeiture of outstanding Company Equity Awards pursuant to their terms upon the termination of the employment of the holder thereof or otherwise;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or (B) payment of interest due and payable pursuant to the terms of the First Lien Notes;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 enter into any Contract that would, if entered into prior to the date of the Original Agreement, be a Company Material Contract, other than, solely with respect to Company Material Contracts under </w:t>
      </w:r>
      <w:r>
        <w:rPr>
          <w:rFonts w:ascii="Times New Roman;Times;Serif" w:hAnsi="Times New Roman;Times;Serif"/>
          <w:b w:val="false"/>
          <w:i w:val="false"/>
          <w:caps w:val="false"/>
          <w:smallCaps w:val="false"/>
          <w:sz w:val="20"/>
          <w:u w:val="single"/>
        </w:rPr>
        <w:t>Sections 3.11(a)(ii)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3.11(a)(xiii)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3.11(a)(xvii)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3.11(a)(xx)</w:t>
      </w:r>
      <w:r>
        <w:rPr>
          <w:rFonts w:ascii="Times New Roman;Times;Serif" w:hAnsi="Times New Roman;Times;Serif"/>
          <w:b w:val="false"/>
          <w:i w:val="false"/>
          <w:caps w:val="false"/>
          <w:smallCaps w:val="false"/>
          <w:sz w:val="20"/>
        </w:rPr>
        <w:t xml:space="preserve"> (in each case, so long as any such Contract would not also constitute a contract of the type described in </w:t>
      </w:r>
      <w:r>
        <w:rPr>
          <w:rFonts w:ascii="Times New Roman;Times;Serif" w:hAnsi="Times New Roman;Times;Serif"/>
          <w:b w:val="false"/>
          <w:i w:val="false"/>
          <w:caps w:val="false"/>
          <w:smallCaps w:val="false"/>
          <w:sz w:val="20"/>
          <w:u w:val="single"/>
        </w:rPr>
        <w:t>Section 3.11(a)(iv)</w:t>
      </w:r>
      <w:r>
        <w:rPr>
          <w:rFonts w:ascii="Times New Roman;Times;Serif" w:hAnsi="Times New Roman;Times;Serif"/>
          <w:b w:val="false"/>
          <w:i w:val="false"/>
          <w:caps w:val="false"/>
          <w:smallCaps w:val="false"/>
          <w:sz w:val="20"/>
        </w:rPr>
        <w:t xml:space="preserve">), in the ordinary course of business consistent with past practice or (ii) (A)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other than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would be a Company Benefit Plan if in effect on the date of the Original Agreement) or (vii) accelerate the vesting, funding or time of payment of any compensation or other benefit (including a Company Equity Award) with respect to any current or former individual service provider;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implement or announce any “mass layoff” or “plant closing,” in each case as defined in an applicable WARN Act, or take any other action that would reasonably be expected to trigger an applicable WARN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make any change in accounting policies, practices, principles, methods or procedures or any of its methods of reporting income, deductions or other material items for financial accounting purposes, other than as required by GAAP or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enter into, materially amend or terminate any transaction with any Company Related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fail to use commercially reasonable efforts to maintain the Company’s insurance policies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other than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convene any special meeting (or any adjournment or postponement thereof) of the Company’s stockholders;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terminate or modify or waive in any material respect any right under any material Company Permit;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make any capital expenditure or expenditures, or enter into any agreement arrangement providing for, or otherwise commit to providing, any capital expenditure or expenditures, except (i) in accordance with the Company’s capital budget provided to Parent prior to the date of the Original Agreement or (ii) with respect to capital expenditures or expenditures, in each case, in respect of capitalized software equal to or less than $250,000 in the aggregate;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agree, authorize or enter into any Contract to do any of the foregoing or otherwise make any commitment to do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Additional Covenants of the Parties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Preparation of Proxy Statement/Prospectus and Registration Statement; Company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reasonably practicable after the date hereof, to the extent not already completed, the Company and Parent shall cooperate in preparing the proxy statement/prospectus (and any reasonably required amendments thereto) relating to the matters to be submitted to the holders of Company Common Stock at the Company stockholders meeting to adopt this Agreement (such stockholders meeting, the “</w:t>
      </w:r>
      <w:r>
        <w:rPr>
          <w:rFonts w:ascii="Times New Roman;Times;Serif" w:hAnsi="Times New Roman;Times;Serif"/>
          <w:b w:val="false"/>
          <w:i w:val="false"/>
          <w:caps w:val="false"/>
          <w:smallCaps w:val="false"/>
          <w:sz w:val="20"/>
          <w:u w:val="single"/>
        </w:rPr>
        <w:t>Company Stockholders Meeting</w:t>
      </w:r>
      <w:r>
        <w:rPr>
          <w:rFonts w:ascii="Times New Roman;Times;Serif" w:hAnsi="Times New Roman;Times;Serif"/>
          <w:b w:val="false"/>
          <w:i w:val="false"/>
          <w:caps w:val="false"/>
          <w:smallCaps w:val="false"/>
          <w:sz w:val="20"/>
        </w:rPr>
        <w:t>”, and such proxy statement/prospectus, and any amendments or supplements thereto, the “</w:t>
      </w:r>
      <w:r>
        <w:rPr>
          <w:rFonts w:ascii="Times New Roman;Times;Serif" w:hAnsi="Times New Roman;Times;Serif"/>
          <w:b w:val="false"/>
          <w:i w:val="false"/>
          <w:caps w:val="false"/>
          <w:smallCaps w:val="false"/>
          <w:sz w:val="20"/>
          <w:u w:val="single"/>
        </w:rPr>
        <w:t>Proxy Statement/Prospectus</w:t>
      </w:r>
      <w:r>
        <w:rPr>
          <w:rFonts w:ascii="Times New Roman;Times;Serif" w:hAnsi="Times New Roman;Times;Serif"/>
          <w:b w:val="false"/>
          <w:i w:val="false"/>
          <w:caps w:val="false"/>
          <w:smallCaps w:val="false"/>
          <w:sz w:val="20"/>
        </w:rPr>
        <w:t>”) and the registration statement on Form S-4 (and any amendment or supplement thereto) pursuant to which shares of Parent Common Stock issuable in the First Merger shall be registered with the SEC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xml:space="preserve">,” with the Proxy Statement/Prospectus constituting a part thereof), and shall file the Proxy Statement/Prospectus 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Mergers, the Parent Share Issuance and the other transactions contemplated hereby. The Proxy Statement/Prospectus shall include (i) the Company Board Recommendation and (ii) the recommendation of the Company Board to the holders of Company 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First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shall make all necessary filings with respect to the Mergers,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right of approval shall not apply with respect to documents filed by a party which are incorporated by reference in the Proxy Statement/Prospectus or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the DGCL, the Company Charter, and the Company Bylaws to establish a record date for, duly call, give notice of, convene and hold the Company Stockholders Meeting on or as promptly as reasonably practicable after the date that is thirty-five (35) calendar days following the date that the Registration Statement has become effective (and in any event within forty-five (45) calendar days after such declaration) for the purpose of obtaining the Required Company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and, to the extent required by the terms and conditions of this Agreement, the Company has paid or caused to be paid to Parent the Company Termination Fee in accordance with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its obligation to hold the Company Stockholders Meeting pursuant to this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 (ii) 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 (B)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provided that(x) the Company shall only be permitted to effect two (2) such adjournments or postponements pursuant to clause (B) and (y) notwithstanding the foregoing, in the event any such adjournment or postpone described in the foregoing clauses (A) or (B) will exceed ten (10) days individually or twenty (20) days in the aggregate (taken together with any prior postponements or adjournments), the Company shall be required to obtain Parent’s prior written consent (not to be unreasonably withheld, conditioned or delayed) before effecting any such adjournment or postponement; provided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promptly as reasonably practicable following the date hereof, the Company and Parent shall reasonably cooperate to take such actions as are reasonably required to comply with the applicable requirements of Israeli Securities Laws to effect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Two (2) Business Days prior to the date of the Company Stockholders Meeting, the Company shall notify Company stockholders (in form and substance reasonably acceptable to Parent) of the aggregate number of TASE Shares outstanding as of the most recent practicable determination date (which date shall be specified in such notice). Upon request by Parent, the Company shall use reasonable best efforts to obtain from the TASE or TASECH, and, to the extent obtained from any such person, shall inform Parent of the aggregate number of TASE Shares outstanding as of the most recent practicable determination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coordinate with TASE, TASECH or the Depository Trust Company to obtain, as close as practicable to the Second Effective Time (and in any event no earlier than five (5) Business Days prior to and no later than two (2) Business Days prior to the Second Effective Time), a final position report or other evidence reasonably satisfactory to Parent confirming the number of TASE Shares for purposes of calculating and funding the Closing TASE Cash Merger Consideration and the Per Share Cash Merger Consideration. The Company shall promptly deliver to Parent all such position reports, evidence and related information received from TASE or TASECH.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Access to Information;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hereof to the earlier of the Second Effective Time and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Times;Serif" w:hAnsi="Times New Roman;Times;Serif"/>
          <w:b w:val="false"/>
          <w:i w:val="false"/>
          <w:caps w:val="false"/>
          <w:smallCaps w:val="false"/>
          <w:sz w:val="20"/>
          <w:u w:val="single"/>
        </w:rPr>
        <w:t>Sections 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(or to cause any Company Subsidiary 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Confidentiality Agreement, dated December 18, 2025, by and between Parent and the Company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and the Clean Team Agreement, dated March 19, 2026, by and between Parent and the Company (the “</w:t>
      </w:r>
      <w:r>
        <w:rPr>
          <w:rFonts w:ascii="Times New Roman;Times;Serif" w:hAnsi="Times New Roman;Times;Serif"/>
          <w:b w:val="false"/>
          <w:i w:val="false"/>
          <w:caps w:val="false"/>
          <w:smallCaps w:val="false"/>
          <w:sz w:val="20"/>
          <w:u w:val="single"/>
        </w:rPr>
        <w:t>Clean Team Agreement</w:t>
      </w:r>
      <w:r>
        <w:rPr>
          <w:rFonts w:ascii="Times New Roman;Times;Serif" w:hAnsi="Times New Roman;Times;Serif"/>
          <w:b w:val="false"/>
          <w:i w:val="false"/>
          <w:caps w:val="false"/>
          <w:smallCaps w:val="false"/>
          <w:sz w:val="20"/>
        </w:rPr>
        <w:t xml:space="preserve">”) shall each apply with respect to information furnished under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shall each survive any termination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Company Non-Solicitation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expressly provided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from and after the date of the Original Agreement until the Second Effective Time or, if earlier,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 (ii) 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(viii) grant a waiver of or terminate any “standstill”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Mergers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Times;Serif" w:hAnsi="Times New Roman;Times;Serif"/>
          <w:b w:val="false"/>
          <w:i w:val="false"/>
          <w:caps w:val="false"/>
          <w:smallCaps w:val="false"/>
          <w:sz w:val="20"/>
          <w:u w:val="single"/>
        </w:rPr>
        <w:t>Change of Company Board Recommendation</w:t>
      </w:r>
      <w:r>
        <w:rPr>
          <w:rFonts w:ascii="Times New Roman;Times;Serif" w:hAnsi="Times New Roman;Times;Serif"/>
          <w:b w:val="false"/>
          <w:i w:val="false"/>
          <w:caps w:val="false"/>
          <w:smallCaps w:val="false"/>
          <w:sz w:val="20"/>
        </w:rPr>
        <w:t>”). The Company shall, and shall cause the Company Subsidiaries and Company Representatives to, immediately cease and cause to be terminated any activities, discussions or negotiations existing as of the date of the Original Agreement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if at any time following the date of the Original Agreement and prior to obtaining the Required Company Vote (i) the Company has received a bona fide unsolicited written Company Acquisition Proposal from a third party, (ii) the Company has not breached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at any time following the date of the Original Agreement,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Such notice provided by the Company to Parent pursuant to this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the Original Agreement until the earlier to occur of the termination of this Agreement pursuant to and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the Second Effective Time, the Company shall (i) keep Parent and the Merger Subs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if following the date of the Original Agreement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shall not be entitled to effect a Change of Company Board Recommendation pursuant to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unless, in each case: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provided to Parent at least five (5) Business Days’ prior written notice (the “</w:t>
      </w:r>
      <w:r>
        <w:rPr>
          <w:rFonts w:ascii="Times New Roman;Times;Serif" w:hAnsi="Times New Roman;Times;Serif"/>
          <w:b w:val="false"/>
          <w:i w:val="false"/>
          <w:caps w:val="false"/>
          <w:smallCaps w:val="false"/>
          <w:sz w:val="20"/>
          <w:u w:val="single"/>
        </w:rPr>
        <w:t>Company Notice Period</w:t>
      </w:r>
      <w:r>
        <w:rPr>
          <w:rFonts w:ascii="Times New Roman;Times;Serif" w:hAnsi="Times New Roman;Times;Serif"/>
          <w:b w:val="false"/>
          <w:i w:val="false"/>
          <w:caps w:val="false"/>
          <w:smallCaps w:val="false"/>
          <w:sz w:val="20"/>
        </w:rPr>
        <w:t>”) of the Company’s intention to take such action, which notice shall include, (A) with respect to a Company Acquisition Proposal, the material terms and conditions of such 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would be inconsistent with its fiduciary duties under applicable Law.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with respect to such new written notice, except that the Company Notice Period shall be three (3) Business Days with respect to any such revised Company Superior Proposal, but no such new written notice shall shorten the original Company Notice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 Change of Company Board Recommendation or any other provision of this Agreement to the contrary, unless this Agreement has been validly terminated pursuant to and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the Company shall cause the transactions contemplated by this Agreement, including the Mergers, to be submitted to a vote of the stockholders of the Company at the Company Stockholders Meeting in order to obtain the Required Company Vote.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contained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prohibit the Company Board (or any duly authorized committee thereof) from (i) disclosing to the stockholders of the Company a position contemplated by Rule 14e-2(a) or Rule 14d-9 promulgated under the Exchange Act; or (ii) 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violation of the restrictions provided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by any Company Subsidiary or Company Representative, as applicable, shall be deemed to be a breach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agrees that it shall promptly inform the Company Representatives of the obligations undertaken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Appropriate Action; Consents; Filings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Mergers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Mergers, (iv) cause the satisfaction of all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Mergers required under any Regulatory Laws), with respect to this Agreement and the Mergers required under any Regulatory Laws and any other applicable Law. Promptly following the date hereof, the parties shall cooperate to revise, amend or refile, or cause to be revised, amended or refiled, any filings previously made with any Governmental Entity with respect to the transactions contemplated by this Agreement to the extent required by Regulatory Laws to reflect the terms and conditions of this Agreement. The Company and Parent shall cooperate with each other in connection with (x) preparing and filing the Proxy Statement/Prospectus and Registration Statement and any Other Filings, (y) determining whether any action by or in respect of, or filing with, any Governmental Entity is required, in connection with the consummation of the Mergers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The Company shall not consent to any voluntary extension of the Outside Date or otherwise delay the Closing at the behest of any Governmental Entity without the consent of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Mergers,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the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shall consider in good faith the views and comments of the Company and its outside counsel with respect to such communications and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of the Company Disclosure Schedule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Second Effective Time from the failure to obtain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generality of anything contained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each party shall: (i) give the other parties prompt notice of the making or commencement of any request, inquiry, investigation or Proceeding by or before any Governmental Entity with respect to the Mergers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Mergers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Mergers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Mergers or any of the other transactions contemplated by this Agreement or (ii) otherwise prevent or materially delay the consummation of the Mergers or any of the other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Nothing contained in this Agreement shall give any party, directly or indirectly, the right to control or direct the operations of any other party prior to the consummation of the Mergers. Prior to the Second Effective Time, the Company and Parent shall exercise, consistent with the terms and conditions of this Agreement, complete unilateral control and supervision over their respective business operations.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Certain Notices</w:t>
      </w:r>
      <w:r>
        <w:rPr>
          <w:rFonts w:ascii="Times New Roman;Times;Serif" w:hAnsi="Times New Roman;Times;Serif"/>
          <w:b w:val="false"/>
          <w:i w:val="false"/>
          <w:caps w:val="false"/>
          <w:smallCaps w:val="false"/>
          <w:sz w:val="20"/>
        </w:rPr>
        <w:t xml:space="preserve">. From and after the date of the Original Agreement until the earlier of the Second Effective Time or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unless prohibited by applicable Law, each party shall promptly notify the other party of any material Effect that would reasonably be expected to cause any condition to the obligations of any party to effect the Mergers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Mergers not to be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delivery of any notice pursuant to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satisfied or give rise to any right of termination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Times;Serif" w:hAnsi="Times New Roman;Times;Serif"/>
          <w:b w:val="false"/>
          <w:i w:val="false"/>
          <w:caps w:val="false"/>
          <w:smallCaps w:val="false"/>
          <w:sz w:val="20"/>
          <w:u w:val="single"/>
        </w:rPr>
        <w:t>Company Transaction Litigation</w:t>
      </w:r>
      <w:r>
        <w:rPr>
          <w:rFonts w:ascii="Times New Roman;Times;Serif" w:hAnsi="Times New Roman;Times;Serif"/>
          <w:b w:val="false"/>
          <w:i w:val="false"/>
          <w:caps w:val="false"/>
          <w:smallCaps w:val="false"/>
          <w:sz w:val="20"/>
        </w:rPr>
        <w:t xml:space="preserve">”), including the Mergers,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“participate” means that Parent will be kept apprised of proposed strategy and other significant decisions with respect to any such Company Transaction 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 (b) 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Employee Benefit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 (B) 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of the Company Disclosure Schedule (taking into account such employee’s years of service as required pursuant to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all purposes (including purposes of vesting, eligibility to participate and level of benefits) under the employee benefit plans of Parent and its Subsidiaries providing benefits to any Continuing Employees after the Second Effective Time (the “</w:t>
      </w:r>
      <w:r>
        <w:rPr>
          <w:rFonts w:ascii="Times New Roman;Times;Serif" w:hAnsi="Times New Roman;Times;Serif"/>
          <w:b w:val="false"/>
          <w:i w:val="false"/>
          <w:caps w:val="false"/>
          <w:smallCaps w:val="false"/>
          <w:sz w:val="20"/>
          <w:u w:val="single"/>
        </w:rPr>
        <w:t>New Plans</w:t>
      </w:r>
      <w:r>
        <w:rPr>
          <w:rFonts w:ascii="Times New Roman;Times;Serif" w:hAnsi="Times New Roman;Times;Serif"/>
          <w:b w:val="false"/>
          <w:i w:val="false"/>
          <w:caps w:val="false"/>
          <w:smallCaps w:val="false"/>
          <w:sz w:val="20"/>
        </w:rPr>
        <w:t xml:space="preserve">”), each Continuing Employee shall, subject to applicable law and applicable tax qualification requirements, be credited with his or her years of service with the Company and its Subsidiaries and their respective predecessors before the First Effective Time, to the same extent as such Continuing Employee was entitled, before the First Effective Time, to credit for such service under any similar Company Benefit Plan in which such Continuing Employee participated or was eligible to participate immediately prior to the First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(i) 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 (i)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First Effective Time (such plans, collectively, the “</w:t>
      </w:r>
      <w:r>
        <w:rPr>
          <w:rFonts w:ascii="Times New Roman;Times;Serif" w:hAnsi="Times New Roman;Times;Serif"/>
          <w:b w:val="false"/>
          <w:i w:val="false"/>
          <w:caps w:val="false"/>
          <w:smallCaps w:val="false"/>
          <w:sz w:val="20"/>
          <w:u w:val="single"/>
        </w:rPr>
        <w:t>Old Plans</w:t>
      </w:r>
      <w:r>
        <w:rPr>
          <w:rFonts w:ascii="Times New Roman;Times;Serif" w:hAnsi="Times New Roman;Times;Serif"/>
          <w:b w:val="false"/>
          <w:i w:val="false"/>
          <w:caps w:val="false"/>
          <w:smallCaps w:val="false"/>
          <w:sz w:val="20"/>
        </w:rPr>
        <w:t>”),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First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Times;Serif" w:hAnsi="Times New Roman;Times;Serif"/>
          <w:b w:val="false"/>
          <w:i w:val="false"/>
          <w:caps w:val="false"/>
          <w:smallCaps w:val="false"/>
          <w:sz w:val="20"/>
          <w:u w:val="single"/>
        </w:rPr>
        <w:t>Company 401(k) Plans</w:t>
      </w:r>
      <w:r>
        <w:rPr>
          <w:rFonts w:ascii="Times New Roman;Times;Serif" w:hAnsi="Times New Roman;Times;Serif"/>
          <w:b w:val="false"/>
          <w:i w:val="false"/>
          <w:caps w:val="false"/>
          <w:smallCaps w:val="false"/>
          <w:sz w:val="20"/>
        </w:rPr>
        <w:t xml:space="preserve">”), in each case, effective as of the day immediately prior to the Closing Date, and (ii) each Company Benefit Plan that is a “nonqualified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 xml:space="preserve"> (each such terminated Company 401(k) Plan, a “</w:t>
      </w:r>
      <w:r>
        <w:rPr>
          <w:rFonts w:ascii="Times New Roman;Times;Serif" w:hAnsi="Times New Roman;Times;Serif"/>
          <w:b w:val="false"/>
          <w:i w:val="false"/>
          <w:caps w:val="false"/>
          <w:smallCaps w:val="false"/>
          <w:sz w:val="20"/>
          <w:u w:val="single"/>
        </w:rPr>
        <w:t>Terminated Company 401(k) Plan</w:t>
      </w:r>
      <w:r>
        <w:rPr>
          <w:rFonts w:ascii="Times New Roman;Times;Serif" w:hAnsi="Times New Roman;Times;Serif"/>
          <w:b w:val="false"/>
          <w:i w:val="false"/>
          <w:caps w:val="false"/>
          <w:smallCaps w:val="false"/>
          <w:sz w:val="20"/>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 under such Terminated Company 401(k) Plan, if elected by any such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are solely for the benefit of the parties, and no Continuing Employee (including any beneficiary or dependent thereof) shall be regarded for any purpose as a third party beneficiary of this Agreement, and no provision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shall create such rights in any such persons.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Indemnification of 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beginning at the Second Effective Time and ending six years after the Second Effective Time, the Surviving Corporation shall, and Parent shall cause the Surviving Corporation to, indemnify and hold harmless all past and present directors and officers of the Company or any Company Subsidiary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xml:space="preserve">”), subject to applicable Law, to the same extent such Covered Persons are indemnified as of the date of the Original Agreement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of the Original Agreement), if any, in existence on the date of the Original Agreement with any directors or officers of the Company or any Company Subsidiary for any Proceedings arising out of acts or omissions in their capacity as directors or officers of the Company or any Company Subsidiary, as applicable, occurring at or prior to the First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of the Original Agreement), if any, in existence on the date of the Original Agreement with any directors and officers of the Company or any Company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Notwithstanding anything herein to the contrary, if any Proceeding (whether arising before, at or after the First Effective Time) is made against such persons with respect to matters subject to indemnification hereunder on or prior to the sixth anniversary of the Second Effective Time, the provisions of this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shall continue in effect until the final disposition of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not less than six years from and after the Second Effective Time, the organizational documents of the Surviving Corporation shall contain provisions no less favorable with respect to exculpation, indemnification of and advancement of expenses to Covered Persons for periods at or prior to the First Effective Time than are currently set forth with respect to any Covered Person, in the Company Charter, the Company Bylaws, the certificate of incorporation and bylaws, or equivalent organizational documents, of any Company Subsidiary in existence on the date of the Original Agreement. For not less than six years from the Second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First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Times;Serif" w:hAnsi="Times New Roman;Times;Serif"/>
          <w:b w:val="false"/>
          <w:i w:val="false"/>
          <w:caps w:val="false"/>
          <w:smallCaps w:val="false"/>
          <w:sz w:val="20"/>
          <w:u w:val="single"/>
        </w:rPr>
        <w:t>Section 6.9(b)</w:t>
      </w:r>
      <w:r>
        <w:rPr>
          <w:rFonts w:ascii="Times New Roman;Times;Serif" w:hAnsi="Times New Roman;Times;Serif"/>
          <w:b w:val="false"/>
          <w:i w:val="false"/>
          <w:caps w:val="false"/>
          <w:smallCaps w:val="false"/>
          <w:sz w:val="20"/>
        </w:rPr>
        <w:t>, unless such assumption occurs by operation of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not less than six years from and after the Second Effective Time, Parent shall cause the Surviving Corporation to, and the Surviving Corporation shall, maintain in effect, the Company’s current directors’ and officers’ liability insurance policies covering acts or omissions occurring (or alleged to occur) prior to or at the First Effective Time with respect to Covered Persons;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Surviving Corporation be required to expend pursuant to this </w:t>
      </w:r>
      <w:r>
        <w:rPr>
          <w:rFonts w:ascii="Times New Roman;Times;Serif" w:hAnsi="Times New Roman;Times;Serif"/>
          <w:b w:val="false"/>
          <w:i w:val="false"/>
          <w:caps w:val="false"/>
          <w:smallCaps w:val="false"/>
          <w:sz w:val="20"/>
          <w:u w:val="single"/>
        </w:rPr>
        <w:t>Section 6.9(c)</w:t>
      </w:r>
      <w:r>
        <w:rPr>
          <w:rFonts w:ascii="Times New Roman;Times;Serif" w:hAnsi="Times New Roman;Times;Serif"/>
          <w:b w:val="false"/>
          <w:i w:val="false"/>
          <w:caps w:val="false"/>
          <w:smallCaps w:val="false"/>
          <w:sz w:val="20"/>
        </w:rPr>
        <w:t xml:space="preserve"> 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First Effective Time, and/or the Surviving Corporation may purchase following the Second Effective Time, a six-year “tail” prepaid officers’ and directors’ liability insurance policy in respect of acts or omissions occurring prior to the First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Following the Second Effective Time, the obligations under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First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Listing Matters</w:t>
      </w:r>
      <w:r>
        <w:rPr>
          <w:rFonts w:ascii="Times New Roman;Times;Serif" w:hAnsi="Times New Roman;Times;Serif"/>
          <w:b w:val="false"/>
          <w:i w:val="false"/>
          <w:caps w:val="false"/>
          <w:smallCaps w:val="false"/>
          <w:sz w:val="20"/>
        </w:rPr>
        <w:t xml:space="preserve">. The Company and Parent shall cause the Company’s securities to be de-listed from the Nasdaq and de-registered under the Exchange Act as promptly as practicable following the Second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such delisting and termination shall not be effective until immediately after the Second Effective Time. The Company shall use reasonable best efforts to take all actions required under TASE bylaws and applicable Israeli Securities Laws to facilitate the delisting of Company Common Stock from the TASE, including the filing of all required notices and the provision of all required shareholder communications, in each case to permit such delisting to be effective as soon as possible after the date hereof. Parent shall, and the Company shall cooperate with Parent to, use its reasonable best efforts to cause the shares of Parent Common Stock to be issued in connection with the Mergers (including shares of Parent Common Stock to be reserved for issuance upon exercise of Assumed Options) to be approved for listing on the Nasdaq, subject to official notice of issuance, prior to the First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If any Takeover Statute becomes or is deemed to be applicable to the Company, the Mergers or any other transaction contemplated by this Agreement, then the Company and the Company Board shall take all action reasonably available to it to render such Law inapplicable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Tax Benefits Preservation Plan</w:t>
      </w:r>
      <w:r>
        <w:rPr>
          <w:rFonts w:ascii="Times New Roman;Times;Serif" w:hAnsi="Times New Roman;Times;Serif"/>
          <w:b w:val="false"/>
          <w:i w:val="false"/>
          <w:caps w:val="false"/>
          <w:smallCaps w:val="false"/>
          <w:sz w:val="20"/>
        </w:rPr>
        <w:t>.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 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First Effective Time. Prior to the Closing, the Company shall provide Parent with evidence, reasonably satisfactory to Parent, demonstrating the Company’s compliance with the covenant set forth in the preceding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Cooperation as to Integration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and after the date hereof until the earlier of the Second Effective Time and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(subject to the limitations contained therein), in connection with planning for the integration of the business operations, systems, processes and personnel of Parent and the Company (collectively, “</w:t>
      </w:r>
      <w:r>
        <w:rPr>
          <w:rFonts w:ascii="Times New Roman;Times;Serif" w:hAnsi="Times New Roman;Times;Serif"/>
          <w:b w:val="false"/>
          <w:i w:val="false"/>
          <w:caps w:val="false"/>
          <w:smallCaps w:val="false"/>
          <w:sz w:val="20"/>
          <w:u w:val="single"/>
        </w:rPr>
        <w:t>Integration Planning Activities</w:t>
      </w:r>
      <w:r>
        <w:rPr>
          <w:rFonts w:ascii="Times New Roman;Times;Serif" w:hAnsi="Times New Roman;Times;Serif"/>
          <w:b w:val="false"/>
          <w:i w:val="false"/>
          <w:caps w:val="false"/>
          <w:smallCaps w:val="false"/>
          <w:sz w:val="20"/>
        </w:rPr>
        <w:t xml:space="preserve">”), in each case, subject to the proviso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and applicable Law (including Regulatory Laws and Privacy and Security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furtherance of the Integration Planning Activities contemplated by </w:t>
      </w:r>
      <w:r>
        <w:rPr>
          <w:rFonts w:ascii="Times New Roman;Times;Serif" w:hAnsi="Times New Roman;Times;Serif"/>
          <w:b w:val="false"/>
          <w:i w:val="false"/>
          <w:caps w:val="false"/>
          <w:smallCaps w:val="false"/>
          <w:sz w:val="20"/>
          <w:u w:val="single"/>
        </w:rPr>
        <w:t>Section 6.14(a)</w:t>
      </w:r>
      <w:r>
        <w:rPr>
          <w:rFonts w:ascii="Times New Roman;Times;Serif" w:hAnsi="Times New Roman;Times;Serif"/>
          <w:b w:val="false"/>
          <w:i w:val="false"/>
          <w:caps w:val="false"/>
          <w:smallCaps w:val="false"/>
          <w:sz w:val="20"/>
        </w:rPr>
        <w:t xml:space="preserve">, and subject to the proviso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w:t>
      </w:r>
      <w:r>
        <w:rPr>
          <w:rFonts w:ascii="Times New Roman;Times;Serif" w:hAnsi="Times New Roman;Times;Serif"/>
          <w:b w:val="false"/>
          <w:i w:val="false"/>
          <w:caps w:val="false"/>
          <w:smallCaps w:val="false"/>
          <w:sz w:val="20"/>
          <w:u w:val="single"/>
        </w:rPr>
        <w:t>Section 6.14(c)</w:t>
      </w:r>
      <w:r>
        <w:rPr>
          <w:rFonts w:ascii="Times New Roman;Times;Serif" w:hAnsi="Times New Roman;Times;Serif"/>
          <w:b w:val="false"/>
          <w:i w:val="false"/>
          <w:caps w:val="false"/>
          <w:smallCaps w:val="false"/>
          <w:sz w:val="20"/>
        </w:rPr>
        <w:t xml:space="preserve"> unless the Company or such Company Subsidiary shall have received Parent’s prior written consent to engage such third party service provider prior to the commencement of any such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First Effective Time (other than planning activities in anticipation thereof). Nothing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shall be construed to permit Parent to, directly or indirectly, control or direct the operations of the Company or any Company Subsidiary prior to the First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val="false"/>
          <w:caps w:val="false"/>
          <w:smallCaps w:val="false"/>
          <w:sz w:val="20"/>
          <w:u w:val="single"/>
        </w:rPr>
        <w:t>Repayment of 2026 Notes; Note Restructuring Transactions</w:t>
      </w:r>
      <w:r>
        <w:rPr>
          <w:rFonts w:ascii="Times New Roman;Times;Serif" w:hAnsi="Times New Roman;Times;Serif"/>
          <w:b w:val="false"/>
          <w:i w:val="false"/>
          <w:caps w:val="false"/>
          <w:smallCaps w:val="false"/>
          <w:sz w:val="20"/>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val="false"/>
          <w:i w:val="false"/>
          <w:caps w:val="false"/>
          <w:smallCaps w:val="false"/>
          <w:sz w:val="20"/>
          <w:u w:val="single"/>
        </w:rPr>
        <w:t>Director Resignations</w:t>
      </w:r>
      <w:r>
        <w:rPr>
          <w:rFonts w:ascii="Times New Roman;Times;Serif" w:hAnsi="Times New Roman;Times;Serif"/>
          <w:b w:val="false"/>
          <w:i w:val="false"/>
          <w:caps w:val="false"/>
          <w:smallCaps w:val="false"/>
          <w:sz w:val="20"/>
        </w:rPr>
        <w:t>. The Company shall use its reasonable best efforts to cause to be delivered to Parent resignations, in form and substance reasonably acceptable to Parent, executed by each director of the Company in office as of immediately prior to the Second Effective Time and effective upon the Second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Conditions to Consummation of the MergerS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Conditions to Obligations of Each Party Under This Agreement</w:t>
      </w:r>
      <w:r>
        <w:rPr>
          <w:rFonts w:ascii="Times New Roman;Times;Serif" w:hAnsi="Times New Roman;Times;Serif"/>
          <w:b w:val="false"/>
          <w:i w:val="false"/>
          <w:caps w:val="false"/>
          <w:smallCaps w:val="false"/>
          <w:sz w:val="20"/>
        </w:rPr>
        <w:t>. The respective obligations of each party to consummate the Mergers shall be subject to the satisfaction (or waiver, if permissible under Law) at or prior to the First Effective Time of each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The Company shall have obtained the Required Company Vote at the Company Stockholders Meeting (as such meeting may have been adjourned or postponed in accordance with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Injunctions or Restraints</w:t>
      </w:r>
      <w:r>
        <w:rPr>
          <w:rFonts w:ascii="Times New Roman;Times;Serif" w:hAnsi="Times New Roman;Times;Serif"/>
          <w:b w:val="false"/>
          <w:i w:val="false"/>
          <w:caps w:val="false"/>
          <w:smallCaps w:val="false"/>
          <w:sz w:val="20"/>
        </w:rPr>
        <w:t>: No (i) Law or Order shall have been issued, entered, promulgated or enacted that restrains, enjoins, or otherwise prohibits or makes illegal the consummation of the Mergers or (ii) injunction, Order or award restraining or enjoining, or otherwise prohibiting, the consummation of the Mergers shall have been issued by any Governmental Entity having jurisdiction over any party and remain in force (each, a “</w:t>
      </w:r>
      <w:r>
        <w:rPr>
          <w:rFonts w:ascii="Times New Roman;Times;Serif" w:hAnsi="Times New Roman;Times;Serif"/>
          <w:b w:val="false"/>
          <w:i w:val="false"/>
          <w:caps w:val="false"/>
          <w:smallCaps w:val="false"/>
          <w:sz w:val="20"/>
          <w:u w:val="single"/>
        </w:rPr>
        <w:t>Legal Impediment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Regulatory Law</w:t>
      </w:r>
      <w:r>
        <w:rPr>
          <w:rFonts w:ascii="Times New Roman;Times;Serif" w:hAnsi="Times New Roman;Times;Serif"/>
          <w:b w:val="false"/>
          <w:i w:val="false"/>
          <w:caps w:val="false"/>
          <w:smallCaps w:val="false"/>
          <w:sz w:val="20"/>
        </w:rPr>
        <w:t xml:space="preserve">: Any required consents, authorizations, approvals, orders, filings and declarations required to be obtained prior to the consummation of the Mergers pursuant to a Regulatory Law in any jurisdiction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of the Company Disclosure Schedule shall have been filed, occurred or been obtained (or any applicable waiting period thereunder shall have expired or been terminated), as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The shares of Parent Common Stock to be issued in the Mergers shall have been authorized and approved for listing on the Nasdaq, subject to official notice of issuance;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Registration Statement shall have been declared effective by the SEC under the Securities Act and shall not be the subject of any stop order.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Additional Conditions to Obligations of Parent and the Merger Subs</w:t>
      </w:r>
      <w:r>
        <w:rPr>
          <w:rFonts w:ascii="Times New Roman;Times;Serif" w:hAnsi="Times New Roman;Times;Serif"/>
          <w:b w:val="false"/>
          <w:i w:val="false"/>
          <w:caps w:val="false"/>
          <w:smallCaps w:val="false"/>
          <w:sz w:val="20"/>
        </w:rPr>
        <w:t>. The respective obligations of each Parent Party to consummate the Mergers shall be subject to the satisfaction (or waiver, if permissible under Law) at or prior to the First Effective Time of each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(i) The representations and warranties of the Company contained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be true and correct in all respects as of the date this Agreement and as of the Closing Date with the same force and effect as if made on and as of such date (or, in the case of such representations and warranties that address matters only as of a particular date or time, as of such date or time), except for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(ii) the representations and warranties of the Company contained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shall be true and correct in all material respects (without giving effect to any qualifications as to materiality or Company Material Adverse Effect or other similar qualifications contained therein) (A) as of the date of the Original Agreement (with respect to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or as of the date of this Agreement (with respect to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3.26</w:t>
      </w:r>
      <w:r>
        <w:rPr>
          <w:rFonts w:ascii="Times New Roman;Times;Serif" w:hAnsi="Times New Roman;Times;Serif"/>
          <w:b w:val="false"/>
          <w:i w:val="false"/>
          <w:caps w:val="false"/>
          <w:smallCaps w:val="false"/>
          <w:sz w:val="20"/>
        </w:rPr>
        <w:t xml:space="preserve">) and (B)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Times;Serif" w:hAnsi="Times New Roman;Times;Serif"/>
          <w:b w:val="false"/>
          <w:i w:val="false"/>
          <w:caps w:val="false"/>
          <w:smallCaps w:val="false"/>
          <w:sz w:val="20"/>
          <w:u w:val="single"/>
        </w:rPr>
        <w:t>Section 3.8(b)</w:t>
      </w:r>
      <w:r>
        <w:rPr>
          <w:rFonts w:ascii="Times New Roman;Times;Serif" w:hAnsi="Times New Roman;Times;Serif"/>
          <w:b w:val="false"/>
          <w:i w:val="false"/>
          <w:caps w:val="false"/>
          <w:smallCaps w:val="false"/>
          <w:sz w:val="20"/>
        </w:rPr>
        <w:t xml:space="preserve"> 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the Original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 of the Company</w:t>
      </w:r>
      <w:r>
        <w:rPr>
          <w:rFonts w:ascii="Times New Roman;Times;Serif" w:hAnsi="Times New Roman;Times;Serif"/>
          <w:b w:val="false"/>
          <w:i w:val="false"/>
          <w:caps w:val="false"/>
          <w:smallCaps w:val="false"/>
          <w:sz w:val="20"/>
        </w:rPr>
        <w:t>: The Company shall have performed or complied in all material respects with all covenants and agreements to be performed or complied with by it under this Agreement at or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the Original Agreement, no Company Material Adverse Effect shall have occurred;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The Company shall have delivered to Parent a certificate, dated as of the Closing Date and signed by an executive officer of the Company, certifying that the conditions provided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FIRPTA Certificate</w:t>
      </w:r>
      <w:r>
        <w:rPr>
          <w:rFonts w:ascii="Times New Roman;Times;Serif" w:hAnsi="Times New Roman;Times;Serif"/>
          <w:b w:val="false"/>
          <w:i w:val="false"/>
          <w:caps w:val="false"/>
          <w:smallCaps w:val="false"/>
          <w:sz w:val="20"/>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Notes Restructuring Transactions</w:t>
      </w:r>
      <w:r>
        <w:rPr>
          <w:rFonts w:ascii="Times New Roman;Times;Serif" w:hAnsi="Times New Roman;Times;Serif"/>
          <w:b w:val="false"/>
          <w:i w:val="false"/>
          <w:caps w:val="false"/>
          <w:smallCaps w:val="false"/>
          <w:sz w:val="20"/>
        </w:rPr>
        <w:t>: The Notes Restructuring Transactions shall have been consummated in accordance with the Notes Restructuring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Additional Conditions to Obligations of the Company</w:t>
      </w:r>
      <w:r>
        <w:rPr>
          <w:rFonts w:ascii="Times New Roman;Times;Serif" w:hAnsi="Times New Roman;Times;Serif"/>
          <w:b w:val="false"/>
          <w:i w:val="false"/>
          <w:caps w:val="false"/>
          <w:smallCaps w:val="false"/>
          <w:sz w:val="20"/>
        </w:rPr>
        <w:t>. The obligations of the Company to consummate the Mergers shall be subject to the satisfaction (or waiver, if permissible under Law) at or prior to the First Effective Time of each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of the Parent Parties</w:t>
      </w:r>
      <w:r>
        <w:rPr>
          <w:rFonts w:ascii="Times New Roman;Times;Serif" w:hAnsi="Times New Roman;Times;Serif"/>
          <w:b w:val="false"/>
          <w:i w:val="false"/>
          <w:caps w:val="false"/>
          <w:smallCaps w:val="false"/>
          <w:sz w:val="20"/>
        </w:rPr>
        <w:t xml:space="preserve">: (i) Any representation or warranty of the Parent Parties contained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(except for those representations and warranties set forth in the foregoing clause (i)) shall be true and correct in all respects (without giving effect to any qualifications as to materiality or Parent Material Adverse Effect or other similar qualifications contained therein) (A) as of the date of the Original Agreement (with respect to all such representations and warranties other than those contained in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4.8</w:t>
      </w:r>
      <w:r>
        <w:rPr>
          <w:rFonts w:ascii="Times New Roman;Times;Serif" w:hAnsi="Times New Roman;Times;Serif"/>
          <w:b w:val="false"/>
          <w:i w:val="false"/>
          <w:caps w:val="false"/>
          <w:smallCaps w:val="false"/>
          <w:sz w:val="20"/>
        </w:rPr>
        <w:t xml:space="preserve">) or as of the date of this Agreement (with respect to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4.8</w:t>
      </w:r>
      <w:r>
        <w:rPr>
          <w:rFonts w:ascii="Times New Roman;Times;Serif" w:hAnsi="Times New Roman;Times;Serif"/>
          <w:b w:val="false"/>
          <w:i w:val="false"/>
          <w:caps w:val="false"/>
          <w:smallCaps w:val="false"/>
          <w:sz w:val="20"/>
        </w:rPr>
        <w:t>) and (B)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 of the Parent Parties</w:t>
      </w:r>
      <w:r>
        <w:rPr>
          <w:rFonts w:ascii="Times New Roman;Times;Serif" w:hAnsi="Times New Roman;Times;Serif"/>
          <w:b w:val="false"/>
          <w:i w:val="false"/>
          <w:caps w:val="false"/>
          <w:smallCaps w:val="false"/>
          <w:sz w:val="20"/>
        </w:rPr>
        <w:t>: The Parent Parties shall have performed or complied in all material respects with all covenants and agreements to be performed or complied with by them under this Agreement at or prior to the Closing;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The Parent shall have delivered to the Company a certificate, dated as of the Closing Date and signed by an executive officer of Parent, certifying that the conditions provided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Termination, Amendment and Waiver</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the First Effective Time, and the Mergers and the other transactions contemplated hereby may be abandoned: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Mutual Consent</w:t>
      </w:r>
      <w:r>
        <w:rPr>
          <w:rFonts w:ascii="Times New Roman;Times;Serif" w:hAnsi="Times New Roman;Times;Serif"/>
          <w:b w:val="false"/>
          <w:i w:val="false"/>
          <w:caps w:val="false"/>
          <w:smallCaps w:val="false"/>
          <w:sz w:val="20"/>
        </w:rPr>
        <w:t>: By mutual written consent of Parent and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By either the Company or Parent if the First Effective Time shall not have occurred on or before October 21, 2026 (the “</w:t>
      </w:r>
      <w:r>
        <w:rPr>
          <w:rFonts w:ascii="Times New Roman;Times;Serif" w:hAnsi="Times New Roman;Times;Serif"/>
          <w:b w:val="false"/>
          <w:i w:val="false"/>
          <w:caps w:val="false"/>
          <w:smallCaps w:val="false"/>
          <w:sz w:val="20"/>
          <w:u w:val="single"/>
        </w:rPr>
        <w:t>Initial 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on the Initial Outside Date the conditions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(to the extent related to the Regulatory Laws set forth in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shall not be satisfied, but all other conditions to the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either have been satisfied (other than conditions that by their nature can only be satisfied on the Closing Date) or waived by Parent, Merger Sub I, Merger Sub II or the Company, as applicable, then the Outside Date shall automatically be extended to December 5, 2026 (the “</w:t>
      </w:r>
      <w:r>
        <w:rPr>
          <w:rFonts w:ascii="Times New Roman;Times;Serif" w:hAnsi="Times New Roman;Times;Serif"/>
          <w:b w:val="false"/>
          <w:i w:val="false"/>
          <w:caps w:val="false"/>
          <w:smallCaps w:val="false"/>
          <w:sz w:val="20"/>
          <w:u w:val="single"/>
        </w:rPr>
        <w:t>Extended Outside Date</w:t>
      </w:r>
      <w:r>
        <w:rPr>
          <w:rFonts w:ascii="Times New Roman;Times;Serif" w:hAnsi="Times New Roman;Times;Serif"/>
          <w:b w:val="false"/>
          <w:i w:val="false"/>
          <w:caps w:val="false"/>
          <w:smallCaps w:val="false"/>
          <w:sz w:val="20"/>
        </w:rPr>
        <w:t>” and together with the Initial Outside Date,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unless Parent and the Company mutually agree in writing to an earlier Extended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available to any party whose material breach of any of its obligation under this Agreement is the primary cause of, or resulted in, the failure of the First Effective Time to occur on or before the Initial Outside Date or the Extended Outside Date, as the case may be. For purposes of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the failure of the First Effective Time to occur shall be deemed to include any failure of the Second Effective Time to occur within one (1) hour following the First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Legal Impediment</w:t>
      </w:r>
      <w:r>
        <w:rPr>
          <w:rFonts w:ascii="Times New Roman;Times;Serif" w:hAnsi="Times New Roman;Times;Serif"/>
          <w:b w:val="false"/>
          <w:i w:val="false"/>
          <w:caps w:val="false"/>
          <w:smallCaps w:val="false"/>
          <w:sz w:val="20"/>
        </w:rPr>
        <w:t xml:space="preserve">: By either the Company or Parent, if any Legal Impediment permanently restraining, enjoining or otherwise prohibiting or making illegal the Mergers (or otherwise prohibiting the consummation of the Mergers) shall have become final and non-appealable such that the condition specified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would not be satisfied at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any party whose material breach of any of its obligations under this Agreement is the primary cause of, or resulted in, the issuance of such Legal Impediment;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Required Company Vote</w:t>
      </w:r>
      <w:r>
        <w:rPr>
          <w:rFonts w:ascii="Times New Roman;Times;Serif" w:hAnsi="Times New Roman;Times;Serif"/>
          <w:b w:val="false"/>
          <w:i w:val="false"/>
          <w:caps w:val="false"/>
          <w:smallCaps w:val="false"/>
          <w:sz w:val="20"/>
        </w:rPr>
        <w:t>: By either the Company or Parent, if the Required Company Vote shall not have been obtained upon a vote taken thereon at the Company Stockholders Meeting (as such meeting may have been adjourned or postponed in accordance with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Change of Company Board Recommendation</w:t>
      </w:r>
      <w:r>
        <w:rPr>
          <w:rFonts w:ascii="Times New Roman;Times;Serif" w:hAnsi="Times New Roman;Times;Serif"/>
          <w:b w:val="false"/>
          <w:i w:val="false"/>
          <w:caps w:val="false"/>
          <w:smallCaps w:val="false"/>
          <w:sz w:val="20"/>
        </w:rPr>
        <w:t xml:space="preserve">: By Parent, if (i) the Company Board shall have effected a Change of Company Board Recommendation or (ii) the Company shall have materially breached its obligations under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Company Superior Proposal</w:t>
      </w:r>
      <w:r>
        <w:rPr>
          <w:rFonts w:ascii="Times New Roman;Times;Serif" w:hAnsi="Times New Roman;Times;Serif"/>
          <w:b w:val="false"/>
          <w:i w:val="false"/>
          <w:caps w:val="false"/>
          <w:smallCaps w:val="false"/>
          <w:sz w:val="20"/>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(ii) substantially concurrently with or prior to (and as a condition to) the termination of this Agreement, the Company pays to Parent the Company Termination Fee;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Company Breach</w:t>
      </w:r>
      <w:r>
        <w:rPr>
          <w:rFonts w:ascii="Times New Roman;Times;Serif" w:hAnsi="Times New Roman;Times;Serif"/>
          <w:b w:val="false"/>
          <w:i w:val="false"/>
          <w:caps w:val="false"/>
          <w:smallCaps w:val="false"/>
          <w:sz w:val="20"/>
        </w:rPr>
        <w:t xml:space="preserve">: By Parent, if: (i) there has been a breach by the Company of its representations, warranties or covenants contained in this Agreement such that any condition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prior to the Outside Date or otherwise is not cured in a manner sufficient to allow satisfaction of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by the earlier of (x) the Business Day prior to the applicable Outside Date or (y) thirty (30) days following the date of delivery of such written notice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may not terminate this Agreement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if Parent is then in material breach of any representation, warranty, covenant or agreement set forth in this Agreement that would result in the failure of any condition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Parent Breach</w:t>
      </w:r>
      <w:r>
        <w:rPr>
          <w:rFonts w:ascii="Times New Roman;Times;Serif" w:hAnsi="Times New Roman;Times;Serif"/>
          <w:b w:val="false"/>
          <w:i w:val="false"/>
          <w:caps w:val="false"/>
          <w:smallCaps w:val="false"/>
          <w:sz w:val="20"/>
        </w:rPr>
        <w:t xml:space="preserve">: By the Company, if: (i) there has been a breach by any Parent Party of any of their representations, warranties or covenants contained in this Agreement such that any condition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prior to the Outside Date or otherwise is not cured in a manner sufficient to allow satisfaction of the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by the earlier of (x) the Business Day prior to the applicable Outside Date or (y) at least thirty (30) days following the date of delivery of such written notice to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not terminate this Agreement pursuant to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if the Company is then in material breach of any representation, warranty, covenant or agreement set forth in this Agreement that would result in the failure of any condition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Notes Restructuring Agreement</w:t>
      </w:r>
      <w:r>
        <w:rPr>
          <w:rFonts w:ascii="Times New Roman;Times;Serif" w:hAnsi="Times New Roman;Times;Serif"/>
          <w:b w:val="false"/>
          <w:i w:val="false"/>
          <w:caps w:val="false"/>
          <w:smallCaps w:val="false"/>
          <w:sz w:val="20"/>
        </w:rPr>
        <w:t xml:space="preserve">: By Parent, if the Notes Restructuring Agreement is terminated for any reason;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may not terminate this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if such termination of the Notes Restructuring Agreement primarily results from Parent’s material breach of the provisions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valid termination of this Agreement by either the Company or Parent as provided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 No termination of this Agreement shall affect the obligations of the parties contained in the Confidentiality Agreement or the Clean Team Agreement, all of which obligations shall survive the termination of this Agreement in accordance with their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Parent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or by either the Company or Parent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at a time when Parent would have been entitled to terminate this Agreement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then the Company shall pay, or cause to be paid, to Parent on the second (2nd) Business Day following such termination a termination fee equal to (i) $5,000,000,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an amount equal to Parent’s documented Expenses incurred prior to (and including) the date of the termination of this Agreement (the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by the Company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then the Company shall pay, or cause to be paid, to Parent the Company Termination Fee substantially concurrently with or prior to (and as a condition to) such termination.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this Agreement is terminated (x) by the Company or Parent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and, at the time of such termination, all of the conditions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satisfied (other than conditions that by their nature can only be satisfied on the Closing Date) or waived by Parent, Merger Sub I, Merger Sub II or the Company, as applicable, other than the condition set forth in </w:t>
      </w:r>
      <w:r>
        <w:rPr>
          <w:rFonts w:ascii="Times New Roman;Times;Serif" w:hAnsi="Times New Roman;Times;Serif"/>
          <w:b w:val="false"/>
          <w:i w:val="false"/>
          <w:caps w:val="false"/>
          <w:smallCaps w:val="false"/>
          <w:sz w:val="20"/>
          <w:u w:val="single"/>
        </w:rPr>
        <w:t>Section 7.2(f)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such condition to be satisfied did not primarily result from Parent’s material breach of the provisions of the Notes Restructuring Agreement, or (y) by Parent pursuant to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then the Company shall pay, or cause to be paid, to Parent the Company Termination Fee, no later than the second (2nd) Business Day following such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in this Agreement to the contrary, solely for purposes of the Company’s obligation to pay or cause to be paid to Parent the Company Termination Fee pursuant to this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Parent’s documented Expenses shall be deemed to equal the lesser of (A) Parent’s documented Expenses actually incurred and (B) the Parent Expense Cap.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this Agreement is terminated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or the date of such termination (in the case of a termination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Times;Serif" w:hAnsi="Times New Roman;Times;Serif"/>
          <w:b w:val="false"/>
          <w:i w:val="false"/>
          <w:caps w:val="false"/>
          <w:smallCaps w:val="false"/>
          <w:sz w:val="20"/>
          <w:u w:val="single"/>
        </w:rPr>
        <w:t>Section 8.3(d)(i)</w:t>
      </w:r>
      <w:r>
        <w:rPr>
          <w:rFonts w:ascii="Times New Roman;Times;Serif" w:hAnsi="Times New Roman;Times;Serif"/>
          <w:b w:val="false"/>
          <w:i w:val="false"/>
          <w:caps w:val="false"/>
          <w:smallCaps w:val="false"/>
          <w:sz w:val="20"/>
        </w:rPr>
        <w:t xml:space="preserve"> 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the term “Company Acquisition Proposal” shall have the meaning assigned to such term in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except that the references to “15%” and “85%” therein shall be deemed to be references to “50%”.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payments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shall be made by wire transfer of immediately available funds to an account designated in writing by Parent, or in the absence of such designation, an account established for the sole benefit of Parent.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of the parties acknowledges and agrees (i) that the agreements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the Merger Subs in the circumstances in which such Company Termination Fee is payable;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the Company fails to pay (or cause to be paid) the Company Termination Fee or, in the case of the penultimate sentence of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Parent’s Expenses up to the Parent Expense Cap, in each case when due, the Company shall pay to Parent, together with the Company Termination Fee (or, in the case of the penultimate sentence of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Parent’s Expenses up to the Parent Expense Cap), (A) interest on the Company Termination Fee (or, in the case of the penultimate sentence of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Parent’s Expenses up to the Parent 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shall be subject to the Company’s receipt of written notice from Parent setting forth, in reasonable detail, the amount of Parent’s Expenses to be so paid.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General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Non-Survival of Representations and Warranties</w:t>
      </w:r>
      <w:r>
        <w:rPr>
          <w:rFonts w:ascii="Times New Roman;Times;Serif" w:hAnsi="Times New Roman;Times;Serif"/>
          <w:b w:val="false"/>
          <w:i w:val="false"/>
          <w:caps w:val="false"/>
          <w:smallCaps w:val="false"/>
          <w:sz w:val="20"/>
        </w:rPr>
        <w:t xml:space="preserve">. None of the representations, warranties or covenants in this Agreement or in any instrument delivered pursuant to this Agreement shall survive the Second Effective Time except that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shall not limit any covenant or agreement of the parties which by its terms contemplates performance after the Second Effective Time, which shall survive to the extent expressly provided for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Except for (a) the expenses in connection with printing and mailing the Proxy Statement/Prospectus and Registration Statement and any Other Filings required in connection with the actions specified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(b) all SEC filing fees relating to the Mergers and the transactions contemplated by this Agreement and (c) the fees in connection with the approvals required under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related to the Mergers and the transactions contemplated by this Agreement (of which fees and expenses (A) set forth in clauses (a) and (b) of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Mergers are consummated.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(a).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any Parent Party, addressed to it 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Betsy Ross Drive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 95054</w:t>
      </w:r>
    </w:p>
    <w:tbl>
      <w:tblPr>
        <w:tblW w:w="2680" w:type="dxa"/>
        <w:jc w:val="left"/>
        <w:tblInd w:w="0" w:type="dxa"/>
        <w:tblLayout w:type="fixed"/>
        <w:tblCellMar>
          <w:top w:w="0" w:type="dxa"/>
          <w:left w:w="0" w:type="dxa"/>
          <w:bottom w:w="0" w:type="dxa"/>
          <w:right w:w="0" w:type="dxa"/>
        </w:tblCellMar>
      </w:tblPr>
      <w:tblGrid>
        <w:gridCol w:w="75"/>
        <w:gridCol w:w="965"/>
        <w:gridCol w:w="1640"/>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Attention:</w:t>
            </w:r>
          </w:p>
        </w:tc>
        <w:tc>
          <w:tcPr>
            <w:tcW w:w="1640" w:type="dxa"/>
            <w:tcBorders/>
            <w:vAlign w:val="center"/>
          </w:tcPr>
          <w:p>
            <w:pPr>
              <w:pStyle w:val="TableContents"/>
              <w:bidi w:val="0"/>
              <w:spacing w:before="0" w:after="283"/>
              <w:jc w:val="left"/>
              <w:rPr/>
            </w:pPr>
            <w:r>
              <w:rPr/>
              <w:t>Keyvan Mohajer</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Warren Heit</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Email:</w:t>
            </w:r>
          </w:p>
        </w:tc>
        <w:tc>
          <w:tcPr>
            <w:tcW w:w="1640"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(for information purposes only):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br/>
        <w:t>505 Montgomery Street, Suite 2000</w:t>
        <w:br/>
        <w:t>San Francisco, CA 94111</w:t>
      </w:r>
    </w:p>
    <w:tbl>
      <w:tblPr>
        <w:tblW w:w="3565" w:type="dxa"/>
        <w:jc w:val="left"/>
        <w:tblInd w:w="0" w:type="dxa"/>
        <w:tblLayout w:type="fixed"/>
        <w:tblCellMar>
          <w:top w:w="0" w:type="dxa"/>
          <w:left w:w="0" w:type="dxa"/>
          <w:bottom w:w="0" w:type="dxa"/>
          <w:right w:w="0" w:type="dxa"/>
        </w:tblCellMar>
      </w:tblPr>
      <w:tblGrid>
        <w:gridCol w:w="75"/>
        <w:gridCol w:w="965"/>
        <w:gridCol w:w="252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Attention:</w:t>
            </w:r>
          </w:p>
        </w:tc>
        <w:tc>
          <w:tcPr>
            <w:tcW w:w="2525" w:type="dxa"/>
            <w:tcBorders/>
            <w:vAlign w:val="center"/>
          </w:tcPr>
          <w:p>
            <w:pPr>
              <w:pStyle w:val="TableContents"/>
              <w:bidi w:val="0"/>
              <w:spacing w:before="0" w:after="283"/>
              <w:jc w:val="left"/>
              <w:rPr/>
            </w:pPr>
            <w:r>
              <w:rPr/>
              <w:t>Luke Bergstrom</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Max Schleusener</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Lauren Lefcoe</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Email:</w:t>
            </w:r>
          </w:p>
        </w:tc>
        <w:tc>
          <w:tcPr>
            <w:tcW w:w="2525" w:type="dxa"/>
            <w:tcBorders/>
            <w:vAlign w:val="center"/>
          </w:tcPr>
          <w:p>
            <w:pPr>
              <w:pStyle w:val="TableContents"/>
              <w:bidi w:val="0"/>
              <w:spacing w:before="0" w:after="283"/>
              <w:jc w:val="left"/>
              <w:rPr/>
            </w:pPr>
            <w:r>
              <w:rPr/>
              <w:t>luke.bergstrom@lw.com</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max.schleusener@lw.com</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lauren.lefcoe@lw.com</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addressed to it 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LivePerson, Inc.</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530 7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Avenue, Floor M1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10018</w:t>
      </w:r>
    </w:p>
    <w:tbl>
      <w:tblPr>
        <w:tblW w:w="2860" w:type="dxa"/>
        <w:jc w:val="left"/>
        <w:tblInd w:w="0" w:type="dxa"/>
        <w:tblLayout w:type="fixed"/>
        <w:tblCellMar>
          <w:top w:w="0" w:type="dxa"/>
          <w:left w:w="0" w:type="dxa"/>
          <w:bottom w:w="0" w:type="dxa"/>
          <w:right w:w="0" w:type="dxa"/>
        </w:tblCellMar>
      </w:tblPr>
      <w:tblGrid>
        <w:gridCol w:w="75"/>
        <w:gridCol w:w="965"/>
        <w:gridCol w:w="1820"/>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Attention:</w:t>
            </w:r>
          </w:p>
        </w:tc>
        <w:tc>
          <w:tcPr>
            <w:tcW w:w="1820" w:type="dxa"/>
            <w:tcBorders/>
            <w:vAlign w:val="center"/>
          </w:tcPr>
          <w:p>
            <w:pPr>
              <w:pStyle w:val="TableContents"/>
              <w:bidi w:val="0"/>
              <w:spacing w:before="0" w:after="283"/>
              <w:jc w:val="left"/>
              <w:rPr/>
            </w:pPr>
            <w:r>
              <w:rPr/>
              <w:t>John Collins</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Monica Greenberg</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Email:</w:t>
            </w:r>
          </w:p>
        </w:tc>
        <w:tc>
          <w:tcPr>
            <w:tcW w:w="1820"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(for information purposes only):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Fried, Frank, Harris, Shriver &amp; Jacobson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New York Plaza</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tbl>
      <w:tblPr>
        <w:tblW w:w="4000" w:type="dxa"/>
        <w:jc w:val="left"/>
        <w:tblInd w:w="0" w:type="dxa"/>
        <w:tblLayout w:type="fixed"/>
        <w:tblCellMar>
          <w:top w:w="0" w:type="dxa"/>
          <w:left w:w="0" w:type="dxa"/>
          <w:bottom w:w="0" w:type="dxa"/>
          <w:right w:w="0" w:type="dxa"/>
        </w:tblCellMar>
      </w:tblPr>
      <w:tblGrid>
        <w:gridCol w:w="75"/>
        <w:gridCol w:w="965"/>
        <w:gridCol w:w="2960"/>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Attention:</w:t>
            </w:r>
          </w:p>
        </w:tc>
        <w:tc>
          <w:tcPr>
            <w:tcW w:w="2960" w:type="dxa"/>
            <w:tcBorders/>
            <w:vAlign w:val="center"/>
          </w:tcPr>
          <w:p>
            <w:pPr>
              <w:pStyle w:val="TableContents"/>
              <w:bidi w:val="0"/>
              <w:spacing w:before="0" w:after="283"/>
              <w:jc w:val="left"/>
              <w:rPr/>
            </w:pPr>
            <w:r>
              <w:rPr/>
              <w:t>Philip Richter</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Mark Hayek</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Adam Cohen</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Email:</w:t>
            </w:r>
          </w:p>
        </w:tc>
        <w:tc>
          <w:tcPr>
            <w:tcW w:w="2960" w:type="dxa"/>
            <w:tcBorders/>
            <w:vAlign w:val="center"/>
          </w:tcPr>
          <w:p>
            <w:pPr>
              <w:pStyle w:val="TableContents"/>
              <w:bidi w:val="0"/>
              <w:spacing w:before="0" w:after="283"/>
              <w:jc w:val="left"/>
              <w:rPr/>
            </w:pPr>
            <w:r>
              <w:rPr/>
              <w:t>Philip.Richter@friedfrank.com</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Mark.Hayek@friedfrank.com</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Adam.Cohen@friedfrank.com</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the term: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2026 Notes</w:t>
      </w:r>
      <w:r>
        <w:rPr>
          <w:rFonts w:ascii="Times New Roman;Times;Serif" w:hAnsi="Times New Roman;Times;Serif"/>
          <w:b w:val="false"/>
          <w:i w:val="false"/>
          <w:caps w:val="false"/>
          <w:smallCaps w:val="false"/>
          <w:sz w:val="20"/>
        </w:rPr>
        <w:t>” means the Company’s 0% Convertible Senior Notes due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to any Person, a Person that directly or indirectly, through one or more intermediaries, controls, is controlled by, or is under common control with, the first-mentioned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Consideration Amount</w:t>
      </w:r>
      <w:r>
        <w:rPr>
          <w:rFonts w:ascii="Times New Roman;Times;Serif" w:hAnsi="Times New Roman;Times;Serif"/>
          <w:b w:val="false"/>
          <w:i w:val="false"/>
          <w:caps w:val="false"/>
          <w:smallCaps w:val="false"/>
          <w:sz w:val="20"/>
        </w:rPr>
        <w:t xml:space="preserve">” means the sum of (a) the difference of (i) $42,784,532.64,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(ii) the Company Shortfall Cash,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(b) the Aggregate Exercise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Exercise Price</w:t>
      </w:r>
      <w:r>
        <w:rPr>
          <w:rFonts w:ascii="Times New Roman;Times;Serif" w:hAnsi="Times New Roman;Times;Serif"/>
          <w:b w:val="false"/>
          <w:i w:val="false"/>
          <w:caps w:val="false"/>
          <w:smallCaps w:val="false"/>
          <w:sz w:val="20"/>
        </w:rPr>
        <w:t>” means the aggregate dollar amount of the exercise prices of all In-the-Money Company Options (other than Assumed Options).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 Inputs</w:t>
      </w:r>
      <w:r>
        <w:rPr>
          <w:rFonts w:ascii="Times New Roman;Times;Serif" w:hAnsi="Times New Roman;Times;Serif"/>
          <w:b w:val="false"/>
          <w:i w:val="false"/>
          <w:caps w:val="false"/>
          <w:smallCaps w:val="false"/>
          <w:sz w:val="20"/>
        </w:rPr>
        <w:t>” shall mean data, work of authorship, text or other content used or relied upon by any aspect of AI Technologies to generate any AI Output.‎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 Output</w:t>
      </w:r>
      <w:r>
        <w:rPr>
          <w:rFonts w:ascii="Times New Roman;Times;Serif" w:hAnsi="Times New Roman;Times;Serif"/>
          <w:b w:val="false"/>
          <w:i w:val="false"/>
          <w:caps w:val="false"/>
          <w:smallCaps w:val="false"/>
          <w:sz w:val="20"/>
        </w:rPr>
        <w:t>” shall mean any data, work of authorship, text or other content that is generated by any AI Technologies.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 Technologies</w:t>
      </w:r>
      <w:r>
        <w:rPr>
          <w:rFonts w:ascii="Times New Roman;Times;Serif" w:hAnsi="Times New Roman;Times;Serif"/>
          <w:b w:val="false"/>
          <w:i w:val="false"/>
          <w:caps w:val="false"/>
          <w:smallCaps w:val="false"/>
          <w:sz w:val="20"/>
        </w:rPr>
        <w:t>” shall mean any Software or other technology related to deep learning, machine learning, self-improving, generative 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U.S. and non-U.S. Laws relating to the prevention of corruption and bribery, including, without limitation, the U.S. Foreign Corrupt Practices Act of 1977, as amended, and the UK Bribery Act 2010,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(and related terms such as “beneficially owned” or “beneficial owner”) has the meaning set forth in Rule 13d-3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has the meaning set forth in Rule 14d-1(g)(3)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Merger Consideration</w:t>
      </w:r>
      <w:r>
        <w:rPr>
          <w:rFonts w:ascii="Times New Roman;Times;Serif" w:hAnsi="Times New Roman;Times;Serif"/>
          <w:b w:val="false"/>
          <w:i w:val="false"/>
          <w:caps w:val="false"/>
          <w:smallCaps w:val="false"/>
          <w:sz w:val="20"/>
        </w:rPr>
        <w:t xml:space="preserve">” means the number of shares of Parent Common Stock derived from dividing (a) the Aggregate Consideration Amount, </w:t>
      </w:r>
      <w:r>
        <w:rPr>
          <w:rFonts w:ascii="Times New Roman;Times;Serif" w:hAnsi="Times New Roman;Times;Serif"/>
          <w:b w:val="false"/>
          <w:i/>
          <w:caps w:val="false"/>
          <w:smallCaps w:val="false"/>
          <w:sz w:val="20"/>
          <w:u w:val="single"/>
        </w:rPr>
        <w:t>by</w:t>
      </w:r>
      <w:r>
        <w:rPr>
          <w:rFonts w:ascii="Times New Roman;Times;Serif" w:hAnsi="Times New Roman;Times;Serif"/>
          <w:b w:val="false"/>
          <w:i w:val="false"/>
          <w:caps w:val="false"/>
          <w:smallCaps w:val="false"/>
          <w:sz w:val="20"/>
        </w:rPr>
        <w:t xml:space="preserve"> (b) the Parent Closing Stock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Merger Consideration Value</w:t>
      </w:r>
      <w:r>
        <w:rPr>
          <w:rFonts w:ascii="Times New Roman;Times;Serif" w:hAnsi="Times New Roman;Times;Serif"/>
          <w:b w:val="false"/>
          <w:i w:val="false"/>
          <w:caps w:val="false"/>
          <w:smallCaps w:val="false"/>
          <w:sz w:val="20"/>
        </w:rPr>
        <w:t xml:space="preserve">” means an amount equal to the (a) the Closing Merger Consideration, </w:t>
      </w:r>
      <w:r>
        <w:rPr>
          <w:rFonts w:ascii="Times New Roman;Times;Serif" w:hAnsi="Times New Roman;Times;Serif"/>
          <w:b w:val="false"/>
          <w:i/>
          <w:caps w:val="false"/>
          <w:smallCaps w:val="false"/>
          <w:sz w:val="20"/>
          <w:u w:val="single"/>
        </w:rPr>
        <w:t>multiplied by</w:t>
      </w:r>
      <w:r>
        <w:rPr>
          <w:rFonts w:ascii="Times New Roman;Times;Serif" w:hAnsi="Times New Roman;Times;Serif"/>
          <w:b w:val="false"/>
          <w:i w:val="false"/>
          <w:caps w:val="false"/>
          <w:smallCaps w:val="false"/>
          <w:sz w:val="20"/>
        </w:rPr>
        <w:t xml:space="preserve"> (b) the Parent Closing VWAP Stock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TASE Cash Merger Consideration</w:t>
      </w:r>
      <w:r>
        <w:rPr>
          <w:rFonts w:ascii="Times New Roman;Times;Serif" w:hAnsi="Times New Roman;Times;Serif"/>
          <w:b w:val="false"/>
          <w:i w:val="false"/>
          <w:caps w:val="false"/>
          <w:smallCaps w:val="false"/>
          <w:sz w:val="20"/>
        </w:rPr>
        <w:t xml:space="preserve">” means an amount equal to (a) the Closing Merger Consideration Value, </w:t>
      </w:r>
      <w:r>
        <w:rPr>
          <w:rFonts w:ascii="Times New Roman;Times;Serif" w:hAnsi="Times New Roman;Times;Serif"/>
          <w:b w:val="false"/>
          <w:i/>
          <w:caps w:val="false"/>
          <w:smallCaps w:val="false"/>
          <w:sz w:val="20"/>
          <w:u w:val="single"/>
        </w:rPr>
        <w:t>multiplied by</w:t>
      </w:r>
      <w:r>
        <w:rPr>
          <w:rFonts w:ascii="Times New Roman;Times;Serif" w:hAnsi="Times New Roman;Times;Serif"/>
          <w:b w:val="false"/>
          <w:i w:val="false"/>
          <w:caps w:val="false"/>
          <w:smallCaps w:val="false"/>
          <w:sz w:val="20"/>
        </w:rPr>
        <w:t xml:space="preserve"> (b) the Closing TASE Merger Consideration Percentage;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Closing TASE Cash Merger Consideration is greater than $7,500,000, then the Closing TASE Cash Merger Consideration will equal $7,500,000.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TASE Merger Consideration Percentage</w:t>
      </w:r>
      <w:r>
        <w:rPr>
          <w:rFonts w:ascii="Times New Roman;Times;Serif" w:hAnsi="Times New Roman;Times;Serif"/>
          <w:b w:val="false"/>
          <w:i w:val="false"/>
          <w:caps w:val="false"/>
          <w:smallCaps w:val="false"/>
          <w:sz w:val="20"/>
        </w:rPr>
        <w:t xml:space="preserve">” means an amount equal to the quotient of (a) the Fully Diluted TASE Common Number, </w:t>
      </w:r>
      <w:r>
        <w:rPr>
          <w:rFonts w:ascii="Times New Roman;Times;Serif" w:hAnsi="Times New Roman;Times;Serif"/>
          <w:b w:val="false"/>
          <w:i/>
          <w:caps w:val="false"/>
          <w:smallCaps w:val="false"/>
          <w:sz w:val="20"/>
          <w:u w:val="single"/>
        </w:rPr>
        <w:t>divided by</w:t>
      </w:r>
      <w:r>
        <w:rPr>
          <w:rFonts w:ascii="Times New Roman;Times;Serif" w:hAnsi="Times New Roman;Times;Serif"/>
          <w:b w:val="false"/>
          <w:i w:val="false"/>
          <w:caps w:val="false"/>
          <w:smallCaps w:val="false"/>
          <w:sz w:val="20"/>
        </w:rPr>
        <w:t xml:space="preserve"> (b) the Fully Diluted Common Number.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Collective Bargaining Agreement</w:t>
      </w:r>
      <w:r>
        <w:rPr>
          <w:rFonts w:ascii="Times New Roman;Times;Serif" w:hAnsi="Times New Roman;Times;Serif"/>
          <w:b w:val="false"/>
          <w:i w:val="false"/>
          <w:caps w:val="false"/>
          <w:smallCaps w:val="false"/>
          <w:sz w:val="20"/>
        </w:rPr>
        <w:t>” means any collective bargaining agreement, works council agreement, or other agreement, understanding or Contract (including any addenda, side letter, memorandum of understanding, letter of assent, neutrality agreement or ancillary agreement thereto) with any Union.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Acceptable Confidentiality Agreement</w:t>
      </w:r>
      <w:r>
        <w:rPr>
          <w:rFonts w:ascii="Times New Roman;Times;Serif" w:hAnsi="Times New Roman;Times;Serif"/>
          <w:b w:val="false"/>
          <w:i w:val="false"/>
          <w:caps w:val="false"/>
          <w:smallCaps w:val="false"/>
          <w:sz w:val="20"/>
        </w:rPr>
        <w:t xml:space="preserve">” means a confidentiality agreement entered into by the Company after the date of the Original Agreement,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confidentiality agreement need not contain any standstill provision and shall not include any provision conflicting with or otherwise impairing the Company’s ability to comply with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means any offer, proposal or indication of interest from any Person or group of Persons as defined in Section 13(d)(3) of the Exchange Act (other than Parent and the Parent Subsidiaries) at any time relating to any transaction or series of related transactions (other than the Mergers)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means each Employee Benefit Plan that is sponsored, maintained, contributed to, or required to be contributed to, by the Company or any of the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Cash Balance</w:t>
      </w:r>
      <w:r>
        <w:rPr>
          <w:rFonts w:ascii="Times New Roman;Times;Serif" w:hAnsi="Times New Roman;Times;Serif"/>
          <w:b w:val="false"/>
          <w:i w:val="false"/>
          <w:caps w:val="false"/>
          <w:smallCaps w:val="false"/>
          <w:sz w:val="20"/>
        </w:rPr>
        <w:t xml:space="preserve">” means the amount of cash and cash equivalents in the final Estimated Closing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the fees and expenses payable by the Company pursuant to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xml:space="preserve"> shall be excluded from “Company Cash Balance”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w:t>
      </w:r>
      <w:r>
        <w:rPr>
          <w:rFonts w:ascii="Times New Roman;Times;Serif" w:hAnsi="Times New Roman;Times;Serif"/>
          <w:b w:val="false"/>
          <w:i w:val="false"/>
          <w:caps w:val="false"/>
          <w:smallCaps w:val="false"/>
          <w:sz w:val="20"/>
        </w:rPr>
        <w:t>” means each Company Option and Company RSU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Plans</w:t>
      </w:r>
      <w:r>
        <w:rPr>
          <w:rFonts w:ascii="Times New Roman;Times;Serif" w:hAnsi="Times New Roman;Times;Serif"/>
          <w:b w:val="false"/>
          <w:i w:val="false"/>
          <w:caps w:val="false"/>
          <w:smallCaps w:val="false"/>
          <w:sz w:val="20"/>
        </w:rPr>
        <w:t>” means (a) the Company’s Amended and Restated 2019 Stock Incentive Plan and (b) the Company’s Amended and Restated 2018 Inducement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means the Company’s 2019 Employee Stock Purchase Plan,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xml:space="preserve">” means any Effect occurring or arising after the date of the Original Agreement that is material to the Company and the Company Subsidiaries (taken as a whole) that (a) was not known or reasonably foreseeable to the Company or the Company Board as of or prior to the date of the Original Agreement and becomes known to the Company Board following the date of the Original Agreement and (b) does not involve or relate to a Company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 taken into account in determining whether there has been a Company Intervening Event) or changes in the credit rating of the Company or Parent, (ii) 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means any change, event, occurrence, condition or development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the Original Agreement, this Agreement and the transactions contemplated hereby, including any litigation arising out of or relating to the Original Agreement, this Agreement or the Mergers, the identity of Parent, departures of officers or employees, changes in relationships with suppliers or customers or other business relations, in each case solely to the extent resulting from the execution, announcement, pendency or consummation of the Original Agreement, this Agreement and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this Agreement and the transactions contemplated hereby or to address the consequences of litigation of, compliance with or performance under, the Original Agreement or this Agreement, (f) changes in the trading price or trading volume of Company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underlying cause of such failure may be taken into account in determining whether a Company Material Adverse Effect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Minimum Cash</w:t>
      </w:r>
      <w:r>
        <w:rPr>
          <w:rFonts w:ascii="Times New Roman;Times;Serif" w:hAnsi="Times New Roman;Times;Serif"/>
          <w:b w:val="false"/>
          <w:i w:val="false"/>
          <w:caps w:val="false"/>
          <w:smallCaps w:val="false"/>
          <w:sz w:val="20"/>
        </w:rPr>
        <w:t xml:space="preserve">” means an amount in cash equal to (a) $74,000,000,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 Closing Date occurs in the calendar month of July, the amount for purposes of this clause (a) shall be $71,000,000,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amount of cash, if any, paid by the Company to repurchase and retire the 2026 Notes between April 1, 2026, and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an option to acquire shares of Company Common Stock granted under a Company Equity Plan or granted to a Company employee or other service provider outside of the Company Equity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Owned Intellectual Property</w:t>
      </w:r>
      <w:r>
        <w:rPr>
          <w:rFonts w:ascii="Times New Roman;Times;Serif" w:hAnsi="Times New Roman;Times;Serif"/>
          <w:b w:val="false"/>
          <w:i w:val="false"/>
          <w:caps w:val="false"/>
          <w:smallCaps w:val="false"/>
          <w:sz w:val="20"/>
        </w:rPr>
        <w:t>” means all Intellectual Property that is owned or purported to be owned by the Company or any of the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Times;Serif" w:hAnsi="Times New Roman;Times;Serif"/>
          <w:b w:val="false"/>
          <w:i w:val="false"/>
          <w:caps w:val="false"/>
          <w:smallCaps w:val="false"/>
          <w:sz w:val="20"/>
          <w:u w:val="single"/>
        </w:rPr>
        <w:t>Company AI Products</w:t>
      </w:r>
      <w:r>
        <w:rPr>
          <w:rFonts w:ascii="Times New Roman;Times;Serif" w:hAnsi="Times New Roman;Times;Serif"/>
          <w:b w:val="false"/>
          <w:i w:val="false"/>
          <w:caps w:val="false"/>
          <w:smallCaps w:val="false"/>
          <w:sz w:val="20"/>
        </w:rPr>
        <w:t>”), made commercially available, marketed, distributed, developed, supported, sold, imported for resale, licensed out, or otherwise provided by or on behalf of the Company or any Company Subsidiary, including products and services under development.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Representatives</w:t>
      </w:r>
      <w:r>
        <w:rPr>
          <w:rFonts w:ascii="Times New Roman;Times;Serif" w:hAnsi="Times New Roman;Times;Serif"/>
          <w:b w:val="false"/>
          <w:i w:val="false"/>
          <w:caps w:val="false"/>
          <w:smallCaps w:val="false"/>
          <w:sz w:val="20"/>
        </w:rPr>
        <w:t>” means the Company’s and the Company Subsidiaries’ respective directors, officers, employees, accountants, consultants, legal counsel, investment bankers, advisors, agents, brokers and other representatives acting for or on behalf of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 Award</w:t>
      </w:r>
      <w:r>
        <w:rPr>
          <w:rFonts w:ascii="Times New Roman;Times;Serif" w:hAnsi="Times New Roman;Times;Serif"/>
          <w:b w:val="false"/>
          <w:i w:val="false"/>
          <w:caps w:val="false"/>
          <w:smallCaps w:val="false"/>
          <w:sz w:val="20"/>
        </w:rPr>
        <w:t>” means an award of restricted stock units with respect to shares of Company Common Stock granted under a Company Equity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Shortfall Cash</w:t>
      </w:r>
      <w:r>
        <w:rPr>
          <w:rFonts w:ascii="Times New Roman;Times;Serif" w:hAnsi="Times New Roman;Times;Serif"/>
          <w:b w:val="false"/>
          <w:i w:val="false"/>
          <w:caps w:val="false"/>
          <w:smallCaps w:val="false"/>
          <w:sz w:val="20"/>
        </w:rPr>
        <w:t xml:space="preserve">” means an amount in cash equal to (a) the Company Minimum Cash,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Company Cash Balance;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negative number results from such calculation, “Company Shortfall Cash” shall be zero (0).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Proposal</w:t>
      </w:r>
      <w:r>
        <w:rPr>
          <w:rFonts w:ascii="Times New Roman;Times;Serif" w:hAnsi="Times New Roman;Times;Serif"/>
          <w:b w:val="false"/>
          <w:i w:val="false"/>
          <w:caps w:val="false"/>
          <w:smallCaps w:val="false"/>
          <w:sz w:val="20"/>
        </w:rPr>
        <w:t xml:space="preserve">” 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Transaction Expenses</w:t>
      </w:r>
      <w:r>
        <w:rPr>
          <w:rFonts w:ascii="Times New Roman;Times;Serif" w:hAnsi="Times New Roman;Times;Serif"/>
          <w:b w:val="false"/>
          <w:i w:val="false"/>
          <w:caps w:val="false"/>
          <w:smallCaps w:val="false"/>
          <w:sz w:val="20"/>
        </w:rPr>
        <w:t>” means all fees and expenses incurred by or on behalf of the Company or by any other Person for which the Company is responsible in connection with or related to the negotiation, preparation, execution and performance of the Original Agreement and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Warrant</w:t>
      </w:r>
      <w:r>
        <w:rPr>
          <w:rFonts w:ascii="Times New Roman;Times;Serif" w:hAnsi="Times New Roman;Times;Serif"/>
          <w:b w:val="false"/>
          <w:i w:val="false"/>
          <w:caps w:val="false"/>
          <w:smallCaps w:val="false"/>
          <w:sz w:val="20"/>
        </w:rPr>
        <w:t>” 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means each employee of the Company or any of the Company Subsidiaries who is employed by the Company or any of the Company Subsidiaries as of immediately prior to the First Effective Time and who continues to be actively employed by the Surviving Corporation (or any of its affiliates) on or following the Second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shall mean any information, inputs, figures, facts, numbers, statistics, geographic and location information, AI Inputs, validation data, and test data, data collections, and databases, in any form, whether structured or unstructured.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Benefit Plan</w:t>
      </w:r>
      <w:r>
        <w:rPr>
          <w:rFonts w:ascii="Times New Roman;Times;Serif" w:hAnsi="Times New Roman;Times;Serif"/>
          <w:b w:val="false"/>
          <w:i w:val="false"/>
          <w:caps w:val="false"/>
          <w:smallCaps w:val="false"/>
          <w:sz w:val="20"/>
        </w:rPr>
        <w:t>” means any (a) “employee benefit plan” as defined in Section 3(3) of ERISA (whether or not subject to ERISA), (b) 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means any permit, certificate, registration, notice, approval, identification number, waiver, variance, exemption, license, clearance, or other authorization required under any applicable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w:t>
      </w:r>
      <w:r>
        <w:rPr>
          <w:rFonts w:ascii="Times New Roman;Times;Serif" w:hAnsi="Times New Roman;Times;Serif"/>
          <w:b w:val="false"/>
          <w:i w:val="false"/>
          <w:caps w:val="false"/>
          <w:smallCaps w:val="false"/>
          <w:sz w:val="20"/>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the Original Agreement and this Agreement and the transactions contemplated hereby, including the preparation, printing, filing and mailing of the Proxy Statement/Prospectus or Registration Statement and all other matters related to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Lien Notes</w:t>
      </w:r>
      <w:r>
        <w:rPr>
          <w:rFonts w:ascii="Times New Roman;Times;Serif" w:hAnsi="Times New Roman;Times;Serif"/>
          <w:b w:val="false"/>
          <w:i w:val="false"/>
          <w:caps w:val="false"/>
          <w:smallCaps w:val="false"/>
          <w:sz w:val="20"/>
        </w:rPr>
        <w:t>” means the Company’s First Lien Convertible Senior Notes due 2029.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means actual fraud under Delaware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Fully Diluted Common Number</w:t>
      </w:r>
      <w:r>
        <w:rPr>
          <w:rFonts w:ascii="Times New Roman;Times;Serif" w:hAnsi="Times New Roman;Times;Serif"/>
          <w:b w:val="false"/>
          <w:i w:val="false"/>
          <w:caps w:val="false"/>
          <w:smallCaps w:val="false"/>
          <w:sz w:val="20"/>
        </w:rPr>
        <w:t xml:space="preserve">” means, without duplication, the sum of (a) the total number of shares of Company Common Stock that are issued and outstanding immediately prior to the First Effective Time (excluding Company Cancelled Shares),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First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First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Fully Diluted TASE Common Number</w:t>
      </w:r>
      <w:r>
        <w:rPr>
          <w:rFonts w:ascii="Times New Roman;Times;Serif" w:hAnsi="Times New Roman;Times;Serif"/>
          <w:b w:val="false"/>
          <w:i w:val="false"/>
          <w:caps w:val="false"/>
          <w:smallCaps w:val="false"/>
          <w:sz w:val="20"/>
        </w:rPr>
        <w:t>” means, without duplication, the total number of TASE Shares that are issued and outstanding immediately prior to the Second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as applied in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Official</w:t>
      </w:r>
      <w:r>
        <w:rPr>
          <w:rFonts w:ascii="Times New Roman;Times;Serif" w:hAnsi="Times New Roman;Times;Serif"/>
          <w:b w:val="false"/>
          <w:i w:val="false"/>
          <w:caps w:val="false"/>
          <w:smallCaps w:val="false"/>
          <w:sz w:val="20"/>
        </w:rPr>
        <w:t>” 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In-the-Money Company Option</w:t>
      </w:r>
      <w:r>
        <w:rPr>
          <w:rFonts w:ascii="Times New Roman;Times;Serif" w:hAnsi="Times New Roman;Times;Serif"/>
          <w:b w:val="false"/>
          <w:i w:val="false"/>
          <w:caps w:val="false"/>
          <w:smallCaps w:val="false"/>
          <w:sz w:val="20"/>
        </w:rPr>
        <w:t>” means each Company Option that is not an Out-of-the-Money Company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(f) other proprietary rights arising from or related to AI Technologies, and (g) all applications and registrations for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ISA</w:t>
      </w:r>
      <w:r>
        <w:rPr>
          <w:rFonts w:ascii="Times New Roman;Times;Serif" w:hAnsi="Times New Roman;Times;Serif"/>
          <w:b w:val="false"/>
          <w:i w:val="false"/>
          <w:caps w:val="false"/>
          <w:smallCaps w:val="false"/>
          <w:sz w:val="20"/>
        </w:rPr>
        <w:t>” means the Israel Securities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Israeli Securities Laws</w:t>
      </w:r>
      <w:r>
        <w:rPr>
          <w:rFonts w:ascii="Times New Roman;Times;Serif" w:hAnsi="Times New Roman;Times;Serif"/>
          <w:b w:val="false"/>
          <w:i w:val="false"/>
          <w:caps w:val="false"/>
          <w:smallCaps w:val="false"/>
          <w:sz w:val="20"/>
        </w:rPr>
        <w:t>” means (a) the Israeli Securities Law of 1968 and the rules, regulations and guidance provided thereunder and (b) the bylaws of the TASE and the regulations promulgated thereunder, including the relevant provisions of the bylaws of the TASECH, each as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ITA</w:t>
      </w:r>
      <w:r>
        <w:rPr>
          <w:rFonts w:ascii="Times New Roman;Times;Serif" w:hAnsi="Times New Roman;Times;Serif"/>
          <w:b w:val="false"/>
          <w:i w:val="false"/>
          <w:caps w:val="false"/>
          <w:smallCaps w:val="false"/>
          <w:sz w:val="20"/>
        </w:rPr>
        <w:t>” means the Israel Tax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means the actual knowledge (after inquiry of direct reports) of the individuals listed in </w:t>
      </w:r>
      <w:r>
        <w:rPr>
          <w:rFonts w:ascii="Times New Roman;Times;Serif" w:hAnsi="Times New Roman;Times;Serif"/>
          <w:b w:val="false"/>
          <w:i w:val="false"/>
          <w:caps w:val="false"/>
          <w:smallCaps w:val="false"/>
          <w:sz w:val="20"/>
          <w:u w:val="single"/>
        </w:rPr>
        <w:t>Section 9.4(a)</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or within the meaning of Section 3(37) of ERISA) or any plan that has two or more contributing sponsors at least two of whom are not under common control within the meaning of Section 4063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Share</w:t>
      </w:r>
      <w:r>
        <w:rPr>
          <w:rFonts w:ascii="Times New Roman;Times;Serif" w:hAnsi="Times New Roman;Times;Serif"/>
          <w:b w:val="false"/>
          <w:i w:val="false"/>
          <w:caps w:val="false"/>
          <w:smallCaps w:val="false"/>
          <w:sz w:val="20"/>
        </w:rPr>
        <w:t xml:space="preserve">” means, with respect to a Company Option, the quotient obtained by dividing (a) the product of (i) the excess of the Per Share Cash Equivalent Consideration over the per share exercise price of such Company Option,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number of shares of Company Common Stock subject to such Company Option immediately prior to the First Effective Time,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(b) the Per Share Cash Equivalent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Material</w:t>
      </w:r>
      <w:r>
        <w:rPr>
          <w:rFonts w:ascii="Times New Roman;Times;Serif" w:hAnsi="Times New Roman;Times;Serif"/>
          <w:b w:val="false"/>
          <w:i w:val="false"/>
          <w:caps w:val="false"/>
          <w:smallCaps w:val="false"/>
          <w:sz w:val="20"/>
        </w:rPr>
        <w:t>” 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judgment, order, executive order, stay, consent decree, determination, ruling, assessment, stipulation, decision, writ, injunction, decree or arbitration award in each case, enacted, adopted, promulgated, imposed, applied, or entered by or with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Ordinance</w:t>
      </w:r>
      <w:r>
        <w:rPr>
          <w:rFonts w:ascii="Times New Roman;Times;Serif" w:hAnsi="Times New Roman;Times;Serif"/>
          <w:b w:val="false"/>
          <w:i w:val="false"/>
          <w:caps w:val="false"/>
          <w:smallCaps w:val="false"/>
          <w:sz w:val="20"/>
        </w:rPr>
        <w:t>” means the Israeli Income Tax Ordinance (New Version), 1961, as amended, and all rules and regulations promulgated thereunder, as may be amended from time to time, including, any publications and clarifications issued by the ITA.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Filings</w:t>
      </w:r>
      <w:r>
        <w:rPr>
          <w:rFonts w:ascii="Times New Roman;Times;Serif" w:hAnsi="Times New Roman;Times;Serif"/>
          <w:b w:val="false"/>
          <w:i w:val="false"/>
          <w:caps w:val="false"/>
          <w:smallCaps w:val="false"/>
          <w:sz w:val="20"/>
        </w:rPr>
        <w:t>” means all filings made by, or required to be made by, the Company or Parent with the SEC in connection with the transactions contemplated by this Agreement, other than the Proxy Statement/Prospectus and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Out-of-the-Money Company Option</w:t>
      </w:r>
      <w:r>
        <w:rPr>
          <w:rFonts w:ascii="Times New Roman;Times;Serif" w:hAnsi="Times New Roman;Times;Serif"/>
          <w:b w:val="false"/>
          <w:i w:val="false"/>
          <w:caps w:val="false"/>
          <w:smallCaps w:val="false"/>
          <w:sz w:val="20"/>
        </w:rPr>
        <w:t>” means any Company Option having a per-share exercise price equal to or in excess of the Per Share Cash Equivalent Consideration (calculated for this purpose as if all Company Options were included in the definition of Fully Diluted Common Number).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Benefit Plan</w:t>
      </w:r>
      <w:r>
        <w:rPr>
          <w:rFonts w:ascii="Times New Roman;Times;Serif" w:hAnsi="Times New Roman;Times;Serif"/>
          <w:b w:val="false"/>
          <w:i w:val="false"/>
          <w:caps w:val="false"/>
          <w:smallCaps w:val="false"/>
          <w:sz w:val="20"/>
        </w:rPr>
        <w:t>” means each Employee Benefit Plan that is sponsored, maintained, contributed to, or required to be contributed to, by Parent or any of the Parent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Closing Stock Price</w:t>
      </w:r>
      <w:r>
        <w:rPr>
          <w:rFonts w:ascii="Times New Roman;Times;Serif" w:hAnsi="Times New Roman;Times;Serif"/>
          <w:b w:val="false"/>
          <w:i w:val="false"/>
          <w:caps w:val="false"/>
          <w:smallCaps w:val="false"/>
          <w:sz w:val="20"/>
        </w:rPr>
        <w:t xml:space="preserve">” means the Parent Closing VWAP Stock Price;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such price per share (a) exceeds $12 per share, “Parent Closing Stock Price” means $12 per share or (b) falls below $7 per share, “Parent Closing Stock Price” means $7 per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Closing VWAP Stock Price</w:t>
      </w:r>
      <w:r>
        <w:rPr>
          <w:rFonts w:ascii="Times New Roman;Times;Serif" w:hAnsi="Times New Roman;Times;Serif"/>
          <w:b w:val="false"/>
          <w:i w:val="false"/>
          <w:caps w:val="false"/>
          <w:smallCaps w:val="false"/>
          <w:sz w:val="20"/>
        </w:rPr>
        <w:t>” 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means the Class A Common Stock of Parent, par value $0.0001 per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Expense Cap</w:t>
      </w:r>
      <w:r>
        <w:rPr>
          <w:rFonts w:ascii="Times New Roman;Times;Serif" w:hAnsi="Times New Roman;Times;Serif"/>
          <w:b w:val="false"/>
          <w:i w:val="false"/>
          <w:caps w:val="false"/>
          <w:smallCaps w:val="false"/>
          <w:sz w:val="20"/>
        </w:rPr>
        <w:t>” means an amount equal to $3,750,000.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xml:space="preserve">” 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Effects arising out of, or resulting from the following shall not constitute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 financial markets, including interest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the Original Agreement or this Agreement and the transactions contemplated hereby, including any litigation arising out of or relating to the Original Agreement, this Agreement or the Mergers, the identity of the Company, departures of officers or employees, changes in relationships with suppliers or customers or other business relations, in each case solely to the extent resulting from the execution, announcement, pendency or consummation of the Original Agreement or this Agreement and the transactions contemplated thereby and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or this Agreement and the transactions contemplated hereby or to address the consequences of litigation of, compliance with or performance under, the Original Agreement or this Agreement, (f) changes in the trading price or trading volume of Parent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underlying cause of such failure may be taken into account in determining whether a Parent Material Adverse Effect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Representatives</w:t>
      </w:r>
      <w:r>
        <w:rPr>
          <w:rFonts w:ascii="Times New Roman;Times;Serif" w:hAnsi="Times New Roman;Times;Serif"/>
          <w:b w:val="false"/>
          <w:i w:val="false"/>
          <w:caps w:val="false"/>
          <w:smallCaps w:val="false"/>
          <w:sz w:val="20"/>
        </w:rPr>
        <w:t>” means Parent’s and the Parent Subsidiaries’ respective directors, officers, employees, accountants, consultants, legal counsel, investment bankers, advisors, agents and other representatives acting for or on behalf of Parent or any Parent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Share Issuance</w:t>
      </w:r>
      <w:r>
        <w:rPr>
          <w:rFonts w:ascii="Times New Roman;Times;Serif" w:hAnsi="Times New Roman;Times;Serif"/>
          <w:b w:val="false"/>
          <w:i w:val="false"/>
          <w:caps w:val="false"/>
          <w:smallCaps w:val="false"/>
          <w:sz w:val="20"/>
        </w:rPr>
        <w:t>” means the issuance of shares of Parent Common Stock to the stockholders of the Company pursuant to and in accordance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Cash Equivalent Consideration</w:t>
      </w:r>
      <w:r>
        <w:rPr>
          <w:rFonts w:ascii="Times New Roman;Times;Serif" w:hAnsi="Times New Roman;Times;Serif"/>
          <w:b w:val="false"/>
          <w:i w:val="false"/>
          <w:caps w:val="false"/>
          <w:smallCaps w:val="false"/>
          <w:sz w:val="20"/>
        </w:rPr>
        <w:t>” means the product (rounded to the nearest cent) obtained by multiplying (a) the Per Share Merger Consideration by (b) the Parent Closing Stock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Cash Merger Consideration</w:t>
      </w:r>
      <w:r>
        <w:rPr>
          <w:rFonts w:ascii="Times New Roman;Times;Serif" w:hAnsi="Times New Roman;Times;Serif"/>
          <w:b w:val="false"/>
          <w:i w:val="false"/>
          <w:caps w:val="false"/>
          <w:smallCaps w:val="false"/>
          <w:sz w:val="20"/>
        </w:rPr>
        <w:t xml:space="preserve">” means an amount in cash equal to (a) the Closing TASE Cash Merger Consideration, </w:t>
      </w:r>
      <w:r>
        <w:rPr>
          <w:rFonts w:ascii="Times New Roman;Times;Serif" w:hAnsi="Times New Roman;Times;Serif"/>
          <w:b w:val="false"/>
          <w:i/>
          <w:caps w:val="false"/>
          <w:smallCaps w:val="false"/>
          <w:sz w:val="20"/>
          <w:u w:val="single"/>
        </w:rPr>
        <w:t>divided by</w:t>
      </w:r>
      <w:r>
        <w:rPr>
          <w:rFonts w:ascii="Times New Roman;Times;Serif" w:hAnsi="Times New Roman;Times;Serif"/>
          <w:b w:val="false"/>
          <w:i w:val="false"/>
          <w:caps w:val="false"/>
          <w:smallCaps w:val="false"/>
          <w:sz w:val="20"/>
        </w:rPr>
        <w:t xml:space="preserve"> (b) the Fully Diluted TASE Common Number.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Merger Consideration</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the number of fully paid and nonassessable shares of Parent Common Stock equal to (a) the Closing Merger Consideration, </w:t>
      </w:r>
      <w:r>
        <w:rPr>
          <w:rFonts w:ascii="Times New Roman;Times;Serif" w:hAnsi="Times New Roman;Times;Serif"/>
          <w:b w:val="false"/>
          <w:i/>
          <w:caps w:val="false"/>
          <w:smallCaps w:val="false"/>
          <w:sz w:val="20"/>
          <w:u w:val="single"/>
        </w:rPr>
        <w:t>divided by</w:t>
      </w:r>
      <w:r>
        <w:rPr>
          <w:rFonts w:ascii="Times New Roman;Times;Serif" w:hAnsi="Times New Roman;Times;Serif"/>
          <w:b w:val="false"/>
          <w:i w:val="false"/>
          <w:caps w:val="false"/>
          <w:smallCaps w:val="false"/>
          <w:sz w:val="20"/>
        </w:rPr>
        <w:t xml:space="preserve"> (b) the Fully Diluted Common Number.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 (d) nonexclusive licenses of Intellectual Property, and (e) (i) matters of record, (ii) 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limited liability company, partnership, association, trust, unincorporated organization, other entity or group (as defined in Section 13(d)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xml:space="preserve">” means the rate per annum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from time to time as the prime lending rate prevailing during any relevant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Security Laws</w:t>
      </w:r>
      <w:r>
        <w:rPr>
          <w:rFonts w:ascii="Times New Roman;Times;Serif" w:hAnsi="Times New Roman;Times;Serif"/>
          <w:b w:val="false"/>
          <w:i w:val="false"/>
          <w:caps w:val="false"/>
          <w:smallCaps w:val="false"/>
          <w:sz w:val="20"/>
        </w:rPr>
        <w:t>” 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Laws</w:t>
      </w:r>
      <w:r>
        <w:rPr>
          <w:rFonts w:ascii="Times New Roman;Times;Serif" w:hAnsi="Times New Roman;Times;Serif"/>
          <w:b w:val="false"/>
          <w:i w:val="false"/>
          <w:caps w:val="false"/>
          <w:smallCaps w:val="false"/>
          <w:sz w:val="20"/>
        </w:rPr>
        <w:t>” 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spill, emission, leaking, pumping, pouring, injection, escaping, deposit, disposal, discharge, dispersal, dumping, or leaching of any Hazardous Substance into the environment.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 any Person listed on any sanctions-related list of designated Persons, maintained by the Office of Foreign Assets Control of the U.S. Department of the Treasury’s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or the U.S. Department of State, the United Nations, the United Kingdom, the European Union, or any European Union member state; (b) any Person operating, organized or resident in a Sanctioned Country; or (c) 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Scraped Dataset</w:t>
      </w:r>
      <w:r>
        <w:rPr>
          <w:rFonts w:ascii="Times New Roman;Times;Serif" w:hAnsi="Times New Roman;Times;Serif"/>
          <w:b w:val="false"/>
          <w:i w:val="false"/>
          <w:caps w:val="false"/>
          <w:smallCaps w:val="false"/>
          <w:sz w:val="20"/>
        </w:rPr>
        <w:t>” 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Lien Notes</w:t>
      </w:r>
      <w:r>
        <w:rPr>
          <w:rFonts w:ascii="Times New Roman;Times;Serif" w:hAnsi="Times New Roman;Times;Serif"/>
          <w:b w:val="false"/>
          <w:i w:val="false"/>
          <w:caps w:val="false"/>
          <w:smallCaps w:val="false"/>
          <w:sz w:val="20"/>
        </w:rPr>
        <w:t>” means the Company’s Second Lien Senior Subordinated Secured Notes due 2029.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means Section 102 of the Ordinance and the regulations and rules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102 Trustee</w:t>
      </w:r>
      <w:r>
        <w:rPr>
          <w:rFonts w:ascii="Times New Roman;Times;Serif" w:hAnsi="Times New Roman;Times;Serif"/>
          <w:b w:val="false"/>
          <w:i w:val="false"/>
          <w:caps w:val="false"/>
          <w:smallCaps w:val="false"/>
          <w:sz w:val="20"/>
        </w:rPr>
        <w:t>” means, ESOP Management and Trust Services Ltd., the trustee appointed by the Company in accordance with the provisions of Section 102(b) of the Ordinance and the rules and regulations promulgated in connection therewith,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Notes</w:t>
      </w:r>
      <w:r>
        <w:rPr>
          <w:rFonts w:ascii="Times New Roman;Times;Serif" w:hAnsi="Times New Roman;Times;Serif"/>
          <w:b w:val="false"/>
          <w:i w:val="false"/>
          <w:caps w:val="false"/>
          <w:smallCaps w:val="false"/>
          <w:sz w:val="20"/>
        </w:rPr>
        <w:t>” means, collectively, the First Lien Notes and the Second Lien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Incident</w:t>
      </w:r>
      <w:r>
        <w:rPr>
          <w:rFonts w:ascii="Times New Roman;Times;Serif" w:hAnsi="Times New Roman;Times;Serif"/>
          <w:b w:val="false"/>
          <w:i w:val="false"/>
          <w:caps w:val="false"/>
          <w:smallCaps w:val="false"/>
          <w:sz w:val="20"/>
        </w:rPr>
        <w:t>” 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TASE</w:t>
      </w:r>
      <w:r>
        <w:rPr>
          <w:rFonts w:ascii="Times New Roman;Times;Serif" w:hAnsi="Times New Roman;Times;Serif"/>
          <w:b w:val="false"/>
          <w:i w:val="false"/>
          <w:caps w:val="false"/>
          <w:smallCaps w:val="false"/>
          <w:sz w:val="20"/>
        </w:rPr>
        <w:t>” means the Tel-Aviv Stock Exchange Ltd.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TASECH</w:t>
      </w:r>
      <w:r>
        <w:rPr>
          <w:rFonts w:ascii="Times New Roman;Times;Serif" w:hAnsi="Times New Roman;Times;Serif"/>
          <w:b w:val="false"/>
          <w:i w:val="false"/>
          <w:caps w:val="false"/>
          <w:smallCaps w:val="false"/>
          <w:sz w:val="20"/>
        </w:rPr>
        <w:t>” means the Tel-Aviv Stock Exchange Clearing House Ltd.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TASE Share</w:t>
      </w:r>
      <w:r>
        <w:rPr>
          <w:rFonts w:ascii="Times New Roman;Times;Serif" w:hAnsi="Times New Roman;Times;Serif"/>
          <w:b w:val="false"/>
          <w:i w:val="false"/>
          <w:caps w:val="false"/>
          <w:smallCaps w:val="false"/>
          <w:sz w:val="20"/>
        </w:rPr>
        <w:t>” means, as of any time of determination, each share of Company Common Stock issued and outstanding that is held through the TASECH.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Benefits Preservation Plan</w:t>
      </w:r>
      <w:r>
        <w:rPr>
          <w:rFonts w:ascii="Times New Roman;Times;Serif" w:hAnsi="Times New Roman;Times;Serif"/>
          <w:b w:val="false"/>
          <w:i w:val="false"/>
          <w:caps w:val="false"/>
          <w:smallCaps w:val="false"/>
          <w:sz w:val="20"/>
        </w:rPr>
        <w:t>” means that certain Tax Benefits Preservation Plan, dated as of January 22, 2024, by and between the Company and Equiniti Trust Company, LLC, as Rights Agent, as amended by that certain Amendment No. 1 to the Tax Benefits Preservation Plan, dated as of February 16, 2024.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Compliance Laws</w:t>
      </w:r>
      <w:r>
        <w:rPr>
          <w:rFonts w:ascii="Times New Roman;Times;Serif" w:hAnsi="Times New Roman;Times;Serif"/>
          <w:b w:val="false"/>
          <w:i w:val="false"/>
          <w:caps w:val="false"/>
          <w:smallCaps w:val="false"/>
          <w:sz w:val="20"/>
        </w:rPr>
        <w:t>” 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shares of Parent Common Stock are traded on the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Training Data</w:t>
      </w:r>
      <w:r>
        <w:rPr>
          <w:rFonts w:ascii="Times New Roman;Times;Serif" w:hAnsi="Times New Roman;Times;Serif"/>
          <w:b w:val="false"/>
          <w:i w:val="false"/>
          <w:caps w:val="false"/>
          <w:smallCaps w:val="false"/>
          <w:sz w:val="20"/>
        </w:rPr>
        <w:t>” shall mean any data used to develop, train, refine, fine tune, test or ‎improve ‎the Company’s AI Technologies, including Data contained in or obtained from Scraped Datasets.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United States Treasury Regulations promulgated under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Union</w:t>
      </w:r>
      <w:r>
        <w:rPr>
          <w:rFonts w:ascii="Times New Roman;Times;Serif" w:hAnsi="Times New Roman;Times;Serif"/>
          <w:b w:val="false"/>
          <w:i w:val="false"/>
          <w:caps w:val="false"/>
          <w:smallCaps w:val="false"/>
          <w:sz w:val="20"/>
        </w:rPr>
        <w:t>” means any union, labor organization, works council, employee association or other bargaining unit representative.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and Material Breach</w:t>
      </w:r>
      <w:r>
        <w:rPr>
          <w:rFonts w:ascii="Times New Roman;Times;Serif" w:hAnsi="Times New Roman;Times;Serif"/>
          <w:b w:val="false"/>
          <w:i w:val="false"/>
          <w:caps w:val="false"/>
          <w:smallCaps w:val="false"/>
          <w:sz w:val="20"/>
        </w:rPr>
        <w:t>” means a material breach of a representation, warranty or covenant that is the consequence of a deliberate act or omission of the breaching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Terms Defined Elsewhere</w:t>
      </w:r>
      <w:r>
        <w:rPr>
          <w:rFonts w:ascii="Times New Roman;Times;Serif" w:hAnsi="Times New Roman;Times;Serif"/>
          <w:b w:val="false"/>
          <w:i w:val="false"/>
          <w:caps w:val="false"/>
          <w:smallCaps w:val="false"/>
          <w:sz w:val="20"/>
        </w:rPr>
        <w:t>. The following terms are defined elsewhere in this Agreement, as indicated below:</w:t>
      </w:r>
    </w:p>
    <w:p>
      <w:pPr>
        <w:pStyle w:val="TextBody"/>
        <w:bidi w:val="0"/>
        <w:spacing w:before="0" w:after="0"/>
        <w:ind w:left="0" w:right="0" w:firstLine="144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4595"/>
        <w:gridCol w:w="1685"/>
      </w:tblGrid>
      <w:tr>
        <w:trPr/>
        <w:tc>
          <w:tcPr>
            <w:tcW w:w="4595" w:type="dxa"/>
            <w:tcBorders/>
            <w:vAlign w:val="center"/>
          </w:tcPr>
          <w:p>
            <w:pPr>
              <w:pStyle w:val="TableContents"/>
              <w:bidi w:val="0"/>
              <w:spacing w:before="0" w:after="283"/>
              <w:jc w:val="left"/>
              <w:rPr/>
            </w:pPr>
            <w:r>
              <w:rPr/>
              <w:t>“</w:t>
            </w:r>
            <w:r>
              <w:rPr>
                <w:u w:val="single"/>
              </w:rPr>
              <w:t>Agreemen</w:t>
            </w:r>
            <w:r>
              <w:rPr/>
              <w:t>t”</w:t>
            </w:r>
          </w:p>
        </w:tc>
        <w:tc>
          <w:tcPr>
            <w:tcW w:w="1685" w:type="dxa"/>
            <w:tcBorders/>
            <w:vAlign w:val="center"/>
          </w:tcPr>
          <w:p>
            <w:pPr>
              <w:pStyle w:val="TableContents"/>
              <w:bidi w:val="0"/>
              <w:spacing w:before="0" w:after="283"/>
              <w:jc w:val="left"/>
              <w:rPr/>
            </w:pPr>
            <w:r>
              <w:rPr/>
              <w:t>Preamble</w:t>
            </w:r>
          </w:p>
        </w:tc>
      </w:tr>
      <w:tr>
        <w:trPr/>
        <w:tc>
          <w:tcPr>
            <w:tcW w:w="4595" w:type="dxa"/>
            <w:tcBorders/>
            <w:vAlign w:val="center"/>
          </w:tcPr>
          <w:p>
            <w:pPr>
              <w:pStyle w:val="TableContents"/>
              <w:bidi w:val="0"/>
              <w:spacing w:before="0" w:after="283"/>
              <w:jc w:val="left"/>
              <w:rPr/>
            </w:pPr>
            <w:r>
              <w:rPr/>
              <w:t>“</w:t>
            </w:r>
            <w:r>
              <w:rPr>
                <w:u w:val="single"/>
              </w:rPr>
              <w:t>Appraisal Rights</w:t>
            </w:r>
            <w:r>
              <w:rPr/>
              <w:t>”</w:t>
            </w:r>
          </w:p>
        </w:tc>
        <w:tc>
          <w:tcPr>
            <w:tcW w:w="1685" w:type="dxa"/>
            <w:tcBorders/>
            <w:vAlign w:val="center"/>
          </w:tcPr>
          <w:p>
            <w:pPr>
              <w:pStyle w:val="TableContents"/>
              <w:bidi w:val="0"/>
              <w:spacing w:before="0" w:after="283"/>
              <w:jc w:val="left"/>
              <w:rPr/>
            </w:pPr>
            <w:r>
              <w:rPr/>
              <w:t>Section 2.11(a)</w:t>
            </w:r>
          </w:p>
        </w:tc>
      </w:tr>
      <w:tr>
        <w:trPr/>
        <w:tc>
          <w:tcPr>
            <w:tcW w:w="4595" w:type="dxa"/>
            <w:tcBorders/>
            <w:vAlign w:val="center"/>
          </w:tcPr>
          <w:p>
            <w:pPr>
              <w:pStyle w:val="TableContents"/>
              <w:bidi w:val="0"/>
              <w:spacing w:before="0" w:after="283"/>
              <w:jc w:val="left"/>
              <w:rPr/>
            </w:pPr>
            <w:r>
              <w:rPr/>
              <w:t>“</w:t>
            </w:r>
            <w:r>
              <w:rPr>
                <w:u w:val="single"/>
              </w:rPr>
              <w:t>Assumed Option</w:t>
            </w:r>
            <w:r>
              <w:rPr/>
              <w:t>”</w:t>
            </w:r>
          </w:p>
        </w:tc>
        <w:tc>
          <w:tcPr>
            <w:tcW w:w="1685" w:type="dxa"/>
            <w:tcBorders/>
            <w:vAlign w:val="center"/>
          </w:tcPr>
          <w:p>
            <w:pPr>
              <w:pStyle w:val="TableContents"/>
              <w:bidi w:val="0"/>
              <w:spacing w:before="0" w:after="283"/>
              <w:jc w:val="left"/>
              <w:rPr/>
            </w:pPr>
            <w:r>
              <w:rPr/>
              <w:t>Section 2.6(a)(i)</w:t>
            </w:r>
          </w:p>
        </w:tc>
      </w:tr>
      <w:tr>
        <w:trPr/>
        <w:tc>
          <w:tcPr>
            <w:tcW w:w="4595" w:type="dxa"/>
            <w:tcBorders/>
            <w:vAlign w:val="center"/>
          </w:tcPr>
          <w:p>
            <w:pPr>
              <w:pStyle w:val="TableContents"/>
              <w:bidi w:val="0"/>
              <w:spacing w:before="0" w:after="283"/>
              <w:jc w:val="left"/>
              <w:rPr/>
            </w:pPr>
            <w:r>
              <w:rPr/>
              <w:t>“</w:t>
            </w:r>
            <w:r>
              <w:rPr>
                <w:u w:val="single"/>
              </w:rPr>
              <w:t>Assumed RSU Award</w:t>
            </w:r>
            <w:r>
              <w:rPr/>
              <w:t>”</w:t>
            </w:r>
          </w:p>
        </w:tc>
        <w:tc>
          <w:tcPr>
            <w:tcW w:w="1685" w:type="dxa"/>
            <w:tcBorders/>
            <w:vAlign w:val="center"/>
          </w:tcPr>
          <w:p>
            <w:pPr>
              <w:pStyle w:val="TableContents"/>
              <w:bidi w:val="0"/>
              <w:spacing w:before="0" w:after="283"/>
              <w:jc w:val="left"/>
              <w:rPr/>
            </w:pPr>
            <w:r>
              <w:rPr/>
              <w:t>Section 2.6(b)(ii)</w:t>
            </w:r>
          </w:p>
        </w:tc>
      </w:tr>
      <w:tr>
        <w:trPr/>
        <w:tc>
          <w:tcPr>
            <w:tcW w:w="4595" w:type="dxa"/>
            <w:tcBorders/>
            <w:vAlign w:val="center"/>
          </w:tcPr>
          <w:p>
            <w:pPr>
              <w:pStyle w:val="TableContents"/>
              <w:bidi w:val="0"/>
              <w:spacing w:before="0" w:after="283"/>
              <w:jc w:val="left"/>
              <w:rPr/>
            </w:pPr>
            <w:r>
              <w:rPr/>
              <w:t>“</w:t>
            </w:r>
            <w:r>
              <w:rPr>
                <w:u w:val="single"/>
              </w:rPr>
              <w:t>Change of Company Board Recommendation</w:t>
            </w:r>
            <w:r>
              <w:rPr/>
              <w:t>”</w:t>
            </w:r>
          </w:p>
        </w:tc>
        <w:tc>
          <w:tcPr>
            <w:tcW w:w="1685" w:type="dxa"/>
            <w:tcBorders/>
            <w:vAlign w:val="center"/>
          </w:tcPr>
          <w:p>
            <w:pPr>
              <w:pStyle w:val="TableContents"/>
              <w:bidi w:val="0"/>
              <w:spacing w:before="0" w:after="283"/>
              <w:jc w:val="left"/>
              <w:rPr/>
            </w:pPr>
            <w:r>
              <w:rPr/>
              <w:t>Section 6.3(a)</w:t>
            </w:r>
          </w:p>
        </w:tc>
      </w:tr>
      <w:tr>
        <w:trPr/>
        <w:tc>
          <w:tcPr>
            <w:tcW w:w="4595" w:type="dxa"/>
            <w:tcBorders/>
            <w:vAlign w:val="center"/>
          </w:tcPr>
          <w:p>
            <w:pPr>
              <w:pStyle w:val="TableContents"/>
              <w:bidi w:val="0"/>
              <w:spacing w:before="0" w:after="283"/>
              <w:jc w:val="left"/>
              <w:rPr/>
            </w:pPr>
            <w:r>
              <w:rPr/>
              <w:t>“</w:t>
            </w:r>
            <w:r>
              <w:rPr>
                <w:u w:val="single"/>
              </w:rPr>
              <w:t>Clean Team Agreement</w:t>
            </w:r>
            <w:r>
              <w:rPr/>
              <w:t>”</w:t>
            </w:r>
          </w:p>
        </w:tc>
        <w:tc>
          <w:tcPr>
            <w:tcW w:w="1685" w:type="dxa"/>
            <w:tcBorders/>
            <w:vAlign w:val="center"/>
          </w:tcPr>
          <w:p>
            <w:pPr>
              <w:pStyle w:val="TableContents"/>
              <w:bidi w:val="0"/>
              <w:spacing w:before="0" w:after="283"/>
              <w:jc w:val="left"/>
              <w:rPr/>
            </w:pPr>
            <w:r>
              <w:rPr/>
              <w:t>Section 6.2(b)</w:t>
            </w:r>
          </w:p>
        </w:tc>
      </w:tr>
      <w:tr>
        <w:trPr/>
        <w:tc>
          <w:tcPr>
            <w:tcW w:w="4595" w:type="dxa"/>
            <w:tcBorders/>
            <w:vAlign w:val="center"/>
          </w:tcPr>
          <w:p>
            <w:pPr>
              <w:pStyle w:val="TableContents"/>
              <w:bidi w:val="0"/>
              <w:spacing w:before="0" w:after="283"/>
              <w:jc w:val="left"/>
              <w:rPr/>
            </w:pPr>
            <w:r>
              <w:rPr/>
              <w:t>“</w:t>
            </w:r>
            <w:r>
              <w:rPr>
                <w:u w:val="single"/>
              </w:rPr>
              <w:t>Closing</w:t>
            </w:r>
            <w:r>
              <w:rPr/>
              <w:t>”</w:t>
            </w:r>
          </w:p>
        </w:tc>
        <w:tc>
          <w:tcPr>
            <w:tcW w:w="1685" w:type="dxa"/>
            <w:tcBorders/>
            <w:vAlign w:val="center"/>
          </w:tcPr>
          <w:p>
            <w:pPr>
              <w:pStyle w:val="TableContents"/>
              <w:bidi w:val="0"/>
              <w:spacing w:before="0" w:after="283"/>
              <w:jc w:val="left"/>
              <w:rPr/>
            </w:pPr>
            <w:r>
              <w:rPr/>
              <w:t>Section 1.2(a)</w:t>
            </w:r>
          </w:p>
        </w:tc>
      </w:tr>
      <w:tr>
        <w:trPr/>
        <w:tc>
          <w:tcPr>
            <w:tcW w:w="4595" w:type="dxa"/>
            <w:tcBorders/>
            <w:vAlign w:val="center"/>
          </w:tcPr>
          <w:p>
            <w:pPr>
              <w:pStyle w:val="TableContents"/>
              <w:bidi w:val="0"/>
              <w:spacing w:before="0" w:after="283"/>
              <w:jc w:val="left"/>
              <w:rPr/>
            </w:pPr>
            <w:r>
              <w:rPr/>
              <w:t>“</w:t>
            </w:r>
            <w:r>
              <w:rPr>
                <w:u w:val="single"/>
              </w:rPr>
              <w:t>Closing Date</w:t>
            </w:r>
            <w:r>
              <w:rPr/>
              <w:t>”</w:t>
            </w:r>
          </w:p>
        </w:tc>
        <w:tc>
          <w:tcPr>
            <w:tcW w:w="1685" w:type="dxa"/>
            <w:tcBorders/>
            <w:vAlign w:val="center"/>
          </w:tcPr>
          <w:p>
            <w:pPr>
              <w:pStyle w:val="TableContents"/>
              <w:bidi w:val="0"/>
              <w:spacing w:before="0" w:after="283"/>
              <w:jc w:val="left"/>
              <w:rPr/>
            </w:pPr>
            <w:r>
              <w:rPr/>
              <w:t>Section 1.2(a)</w:t>
            </w:r>
          </w:p>
        </w:tc>
      </w:tr>
      <w:tr>
        <w:trPr/>
        <w:tc>
          <w:tcPr>
            <w:tcW w:w="4595" w:type="dxa"/>
            <w:tcBorders/>
            <w:vAlign w:val="center"/>
          </w:tcPr>
          <w:p>
            <w:pPr>
              <w:pStyle w:val="TableContents"/>
              <w:bidi w:val="0"/>
              <w:spacing w:before="0" w:after="283"/>
              <w:jc w:val="left"/>
              <w:rPr/>
            </w:pPr>
            <w:r>
              <w:rPr/>
              <w:t>“</w:t>
            </w:r>
            <w:r>
              <w:rPr>
                <w:u w:val="single"/>
              </w:rPr>
              <w:t>COBRA</w:t>
            </w:r>
            <w:r>
              <w:rPr/>
              <w:t>”</w:t>
            </w:r>
          </w:p>
        </w:tc>
        <w:tc>
          <w:tcPr>
            <w:tcW w:w="1685" w:type="dxa"/>
            <w:tcBorders/>
            <w:vAlign w:val="center"/>
          </w:tcPr>
          <w:p>
            <w:pPr>
              <w:pStyle w:val="TableContents"/>
              <w:bidi w:val="0"/>
              <w:spacing w:before="0" w:after="283"/>
              <w:jc w:val="left"/>
              <w:rPr/>
            </w:pPr>
            <w:r>
              <w:rPr/>
              <w:t>Section 3.9(d)</w:t>
            </w:r>
          </w:p>
        </w:tc>
      </w:tr>
      <w:tr>
        <w:trPr/>
        <w:tc>
          <w:tcPr>
            <w:tcW w:w="4595" w:type="dxa"/>
            <w:tcBorders/>
            <w:vAlign w:val="center"/>
          </w:tcPr>
          <w:p>
            <w:pPr>
              <w:pStyle w:val="TableContents"/>
              <w:bidi w:val="0"/>
              <w:spacing w:before="0" w:after="283"/>
              <w:jc w:val="left"/>
              <w:rPr/>
            </w:pPr>
            <w:r>
              <w:rPr/>
              <w:t>“</w:t>
            </w:r>
            <w:r>
              <w:rPr>
                <w:u w:val="single"/>
              </w:rPr>
              <w:t>Company</w:t>
            </w:r>
            <w:r>
              <w:rPr/>
              <w:t>”</w:t>
            </w:r>
          </w:p>
        </w:tc>
        <w:tc>
          <w:tcPr>
            <w:tcW w:w="1685" w:type="dxa"/>
            <w:tcBorders/>
            <w:vAlign w:val="center"/>
          </w:tcPr>
          <w:p>
            <w:pPr>
              <w:pStyle w:val="TableContents"/>
              <w:bidi w:val="0"/>
              <w:spacing w:before="0" w:after="283"/>
              <w:jc w:val="left"/>
              <w:rPr/>
            </w:pPr>
            <w:r>
              <w:rPr/>
              <w:t>Preamble</w:t>
            </w:r>
          </w:p>
        </w:tc>
      </w:tr>
      <w:tr>
        <w:trPr/>
        <w:tc>
          <w:tcPr>
            <w:tcW w:w="4595" w:type="dxa"/>
            <w:tcBorders/>
            <w:vAlign w:val="center"/>
          </w:tcPr>
          <w:p>
            <w:pPr>
              <w:pStyle w:val="TableContents"/>
              <w:bidi w:val="0"/>
              <w:spacing w:before="0" w:after="283"/>
              <w:jc w:val="left"/>
              <w:rPr/>
            </w:pPr>
            <w:r>
              <w:rPr/>
              <w:t>“</w:t>
            </w:r>
            <w:r>
              <w:rPr>
                <w:u w:val="single"/>
              </w:rPr>
              <w:t>Company 401(k) Plans</w:t>
            </w:r>
            <w:r>
              <w:rPr/>
              <w:t>”</w:t>
            </w:r>
          </w:p>
        </w:tc>
        <w:tc>
          <w:tcPr>
            <w:tcW w:w="1685" w:type="dxa"/>
            <w:tcBorders/>
            <w:vAlign w:val="center"/>
          </w:tcPr>
          <w:p>
            <w:pPr>
              <w:pStyle w:val="TableContents"/>
              <w:bidi w:val="0"/>
              <w:spacing w:before="0" w:after="283"/>
              <w:jc w:val="left"/>
              <w:rPr/>
            </w:pPr>
            <w:r>
              <w:rPr/>
              <w:t>Section 6.8(c)</w:t>
            </w:r>
          </w:p>
        </w:tc>
      </w:tr>
      <w:tr>
        <w:trPr/>
        <w:tc>
          <w:tcPr>
            <w:tcW w:w="4595" w:type="dxa"/>
            <w:tcBorders/>
            <w:vAlign w:val="center"/>
          </w:tcPr>
          <w:p>
            <w:pPr>
              <w:pStyle w:val="TableContents"/>
              <w:bidi w:val="0"/>
              <w:spacing w:before="0" w:after="283"/>
              <w:jc w:val="left"/>
              <w:rPr/>
            </w:pPr>
            <w:r>
              <w:rPr/>
              <w:t>“</w:t>
            </w:r>
            <w:r>
              <w:rPr>
                <w:u w:val="single"/>
              </w:rPr>
              <w:t>Company AI Products</w:t>
            </w:r>
            <w:r>
              <w:rPr/>
              <w:t>”</w:t>
            </w:r>
          </w:p>
        </w:tc>
        <w:tc>
          <w:tcPr>
            <w:tcW w:w="1685" w:type="dxa"/>
            <w:tcBorders/>
            <w:vAlign w:val="center"/>
          </w:tcPr>
          <w:p>
            <w:pPr>
              <w:pStyle w:val="TableContents"/>
              <w:bidi w:val="0"/>
              <w:spacing w:before="0" w:after="283"/>
              <w:jc w:val="left"/>
              <w:rPr/>
            </w:pPr>
            <w:r>
              <w:rPr/>
              <w:t>Section 9.4</w:t>
            </w:r>
          </w:p>
        </w:tc>
      </w:tr>
      <w:tr>
        <w:trPr/>
        <w:tc>
          <w:tcPr>
            <w:tcW w:w="4595" w:type="dxa"/>
            <w:tcBorders/>
            <w:vAlign w:val="center"/>
          </w:tcPr>
          <w:p>
            <w:pPr>
              <w:pStyle w:val="TableContents"/>
              <w:bidi w:val="0"/>
              <w:spacing w:before="0" w:after="283"/>
              <w:jc w:val="left"/>
              <w:rPr/>
            </w:pPr>
            <w:r>
              <w:rPr/>
              <w:t>“</w:t>
            </w:r>
            <w:r>
              <w:rPr>
                <w:u w:val="single"/>
              </w:rPr>
              <w:t>Company Board</w:t>
            </w:r>
            <w:r>
              <w:rPr/>
              <w:t>”</w:t>
            </w:r>
          </w:p>
        </w:tc>
        <w:tc>
          <w:tcPr>
            <w:tcW w:w="1685" w:type="dxa"/>
            <w:tcBorders/>
            <w:vAlign w:val="center"/>
          </w:tcPr>
          <w:p>
            <w:pPr>
              <w:pStyle w:val="TableContents"/>
              <w:bidi w:val="0"/>
              <w:spacing w:before="0" w:after="283"/>
              <w:jc w:val="left"/>
              <w:rPr/>
            </w:pPr>
            <w:r>
              <w:rPr/>
              <w:t>Recitals</w:t>
            </w:r>
          </w:p>
        </w:tc>
      </w:tr>
      <w:tr>
        <w:trPr/>
        <w:tc>
          <w:tcPr>
            <w:tcW w:w="4595" w:type="dxa"/>
            <w:tcBorders/>
            <w:vAlign w:val="center"/>
          </w:tcPr>
          <w:p>
            <w:pPr>
              <w:pStyle w:val="TableContents"/>
              <w:bidi w:val="0"/>
              <w:spacing w:before="0" w:after="283"/>
              <w:jc w:val="left"/>
              <w:rPr/>
            </w:pPr>
            <w:r>
              <w:rPr/>
              <w:t>“</w:t>
            </w:r>
            <w:r>
              <w:rPr>
                <w:u w:val="single"/>
              </w:rPr>
              <w:t>Company Board Recommendation</w:t>
            </w:r>
            <w:r>
              <w:rPr/>
              <w:t>”</w:t>
            </w:r>
          </w:p>
        </w:tc>
        <w:tc>
          <w:tcPr>
            <w:tcW w:w="1685" w:type="dxa"/>
            <w:tcBorders/>
            <w:vAlign w:val="center"/>
          </w:tcPr>
          <w:p>
            <w:pPr>
              <w:pStyle w:val="TableContents"/>
              <w:bidi w:val="0"/>
              <w:spacing w:before="0" w:after="283"/>
              <w:jc w:val="left"/>
              <w:rPr/>
            </w:pPr>
            <w:r>
              <w:rPr/>
              <w:t>Recitals</w:t>
            </w:r>
          </w:p>
        </w:tc>
      </w:tr>
      <w:tr>
        <w:trPr/>
        <w:tc>
          <w:tcPr>
            <w:tcW w:w="4595" w:type="dxa"/>
            <w:tcBorders/>
            <w:vAlign w:val="center"/>
          </w:tcPr>
          <w:p>
            <w:pPr>
              <w:pStyle w:val="TableContents"/>
              <w:bidi w:val="0"/>
              <w:spacing w:before="0" w:after="283"/>
              <w:jc w:val="left"/>
              <w:rPr/>
            </w:pPr>
            <w:r>
              <w:rPr/>
              <w:t>“</w:t>
            </w:r>
            <w:r>
              <w:rPr>
                <w:u w:val="single"/>
              </w:rPr>
              <w:t>Company Book-Entry Shares</w:t>
            </w:r>
            <w:r>
              <w:rPr/>
              <w:t>”</w:t>
            </w:r>
          </w:p>
        </w:tc>
        <w:tc>
          <w:tcPr>
            <w:tcW w:w="1685" w:type="dxa"/>
            <w:tcBorders/>
            <w:vAlign w:val="center"/>
          </w:tcPr>
          <w:p>
            <w:pPr>
              <w:pStyle w:val="TableContents"/>
              <w:bidi w:val="0"/>
              <w:spacing w:before="0" w:after="283"/>
              <w:jc w:val="left"/>
              <w:rPr/>
            </w:pPr>
            <w:r>
              <w:rPr/>
              <w:t>Section 2.2(b)(ii)</w:t>
            </w:r>
          </w:p>
        </w:tc>
      </w:tr>
      <w:tr>
        <w:trPr/>
        <w:tc>
          <w:tcPr>
            <w:tcW w:w="4595" w:type="dxa"/>
            <w:tcBorders/>
            <w:vAlign w:val="center"/>
          </w:tcPr>
          <w:p>
            <w:pPr>
              <w:pStyle w:val="TableContents"/>
              <w:bidi w:val="0"/>
              <w:spacing w:before="0" w:after="283"/>
              <w:jc w:val="left"/>
              <w:rPr/>
            </w:pPr>
            <w:r>
              <w:rPr/>
              <w:t>“</w:t>
            </w:r>
            <w:r>
              <w:rPr>
                <w:u w:val="single"/>
              </w:rPr>
              <w:t>Company Bylaws</w:t>
            </w:r>
            <w:r>
              <w:rPr/>
              <w:t>”</w:t>
            </w:r>
          </w:p>
        </w:tc>
        <w:tc>
          <w:tcPr>
            <w:tcW w:w="1685" w:type="dxa"/>
            <w:tcBorders/>
            <w:vAlign w:val="center"/>
          </w:tcPr>
          <w:p>
            <w:pPr>
              <w:pStyle w:val="TableContents"/>
              <w:bidi w:val="0"/>
              <w:spacing w:before="0" w:after="283"/>
              <w:jc w:val="left"/>
              <w:rPr/>
            </w:pPr>
            <w:r>
              <w:rPr/>
              <w:t>Section 3.1(b)</w:t>
            </w:r>
          </w:p>
        </w:tc>
      </w:tr>
      <w:tr>
        <w:trPr/>
        <w:tc>
          <w:tcPr>
            <w:tcW w:w="4595" w:type="dxa"/>
            <w:tcBorders/>
            <w:vAlign w:val="center"/>
          </w:tcPr>
          <w:p>
            <w:pPr>
              <w:pStyle w:val="TableContents"/>
              <w:bidi w:val="0"/>
              <w:spacing w:before="0" w:after="283"/>
              <w:jc w:val="left"/>
              <w:rPr/>
            </w:pPr>
            <w:r>
              <w:rPr/>
              <w:t>“</w:t>
            </w:r>
            <w:r>
              <w:rPr>
                <w:u w:val="single"/>
              </w:rPr>
              <w:t>Company Cancelled Shares</w:t>
            </w:r>
            <w:r>
              <w:rPr/>
              <w:t>”</w:t>
            </w:r>
          </w:p>
        </w:tc>
        <w:tc>
          <w:tcPr>
            <w:tcW w:w="1685" w:type="dxa"/>
            <w:tcBorders/>
            <w:vAlign w:val="center"/>
          </w:tcPr>
          <w:p>
            <w:pPr>
              <w:pStyle w:val="TableContents"/>
              <w:bidi w:val="0"/>
              <w:spacing w:before="0" w:after="283"/>
              <w:jc w:val="left"/>
              <w:rPr/>
            </w:pPr>
            <w:r>
              <w:rPr/>
              <w:t>Section 2.1(a)(iii)</w:t>
            </w:r>
          </w:p>
        </w:tc>
      </w:tr>
      <w:tr>
        <w:trPr/>
        <w:tc>
          <w:tcPr>
            <w:tcW w:w="4595" w:type="dxa"/>
            <w:tcBorders/>
            <w:vAlign w:val="center"/>
          </w:tcPr>
          <w:p>
            <w:pPr>
              <w:pStyle w:val="TableContents"/>
              <w:bidi w:val="0"/>
              <w:spacing w:before="0" w:after="283"/>
              <w:jc w:val="left"/>
              <w:rPr/>
            </w:pPr>
            <w:r>
              <w:rPr/>
              <w:t>“</w:t>
            </w:r>
            <w:r>
              <w:rPr>
                <w:u w:val="single"/>
              </w:rPr>
              <w:t>Company Capitalization Date</w:t>
            </w:r>
            <w:r>
              <w:rPr/>
              <w:t>”</w:t>
            </w:r>
          </w:p>
        </w:tc>
        <w:tc>
          <w:tcPr>
            <w:tcW w:w="1685" w:type="dxa"/>
            <w:tcBorders/>
            <w:vAlign w:val="center"/>
          </w:tcPr>
          <w:p>
            <w:pPr>
              <w:pStyle w:val="TableContents"/>
              <w:bidi w:val="0"/>
              <w:spacing w:before="0" w:after="283"/>
              <w:jc w:val="left"/>
              <w:rPr/>
            </w:pPr>
            <w:r>
              <w:rPr/>
              <w:t>Section 3.2(a)</w:t>
            </w:r>
          </w:p>
        </w:tc>
      </w:tr>
      <w:tr>
        <w:trPr/>
        <w:tc>
          <w:tcPr>
            <w:tcW w:w="4595" w:type="dxa"/>
            <w:tcBorders/>
            <w:vAlign w:val="center"/>
          </w:tcPr>
          <w:p>
            <w:pPr>
              <w:pStyle w:val="TableContents"/>
              <w:bidi w:val="0"/>
              <w:spacing w:before="0" w:after="283"/>
              <w:jc w:val="left"/>
              <w:rPr/>
            </w:pPr>
            <w:r>
              <w:rPr/>
              <w:t>“</w:t>
            </w:r>
            <w:r>
              <w:rPr>
                <w:u w:val="single"/>
              </w:rPr>
              <w:t>Company Certificated Shares</w:t>
            </w:r>
            <w:r>
              <w:rPr/>
              <w:t>”</w:t>
            </w:r>
          </w:p>
        </w:tc>
        <w:tc>
          <w:tcPr>
            <w:tcW w:w="1685" w:type="dxa"/>
            <w:tcBorders/>
            <w:vAlign w:val="center"/>
          </w:tcPr>
          <w:p>
            <w:pPr>
              <w:pStyle w:val="TableContents"/>
              <w:bidi w:val="0"/>
              <w:spacing w:before="0" w:after="283"/>
              <w:jc w:val="left"/>
              <w:rPr/>
            </w:pPr>
            <w:r>
              <w:rPr/>
              <w:t>Section 2.2(b)(i)</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4205"/>
        <w:gridCol w:w="1565"/>
      </w:tblGrid>
      <w:tr>
        <w:trPr/>
        <w:tc>
          <w:tcPr>
            <w:tcW w:w="4205" w:type="dxa"/>
            <w:tcBorders/>
            <w:vAlign w:val="center"/>
          </w:tcPr>
          <w:p>
            <w:pPr>
              <w:pStyle w:val="TableContents"/>
              <w:bidi w:val="0"/>
              <w:spacing w:before="0" w:after="283"/>
              <w:jc w:val="left"/>
              <w:rPr/>
            </w:pPr>
            <w:r>
              <w:rPr/>
              <w:t>“</w:t>
            </w:r>
            <w:r>
              <w:rPr>
                <w:u w:val="single"/>
              </w:rPr>
              <w:t>Company Charter</w:t>
            </w:r>
            <w:r>
              <w:rPr/>
              <w:t>”</w:t>
            </w:r>
          </w:p>
        </w:tc>
        <w:tc>
          <w:tcPr>
            <w:tcW w:w="1565" w:type="dxa"/>
            <w:tcBorders/>
            <w:vAlign w:val="center"/>
          </w:tcPr>
          <w:p>
            <w:pPr>
              <w:pStyle w:val="TableContents"/>
              <w:bidi w:val="0"/>
              <w:spacing w:before="0" w:after="283"/>
              <w:jc w:val="left"/>
              <w:rPr/>
            </w:pPr>
            <w:r>
              <w:rPr/>
              <w:t>Section 3.1(b)</w:t>
            </w:r>
          </w:p>
        </w:tc>
      </w:tr>
      <w:tr>
        <w:trPr/>
        <w:tc>
          <w:tcPr>
            <w:tcW w:w="4205" w:type="dxa"/>
            <w:tcBorders/>
            <w:vAlign w:val="center"/>
          </w:tcPr>
          <w:p>
            <w:pPr>
              <w:pStyle w:val="TableContents"/>
              <w:bidi w:val="0"/>
              <w:spacing w:before="0" w:after="283"/>
              <w:jc w:val="left"/>
              <w:rPr/>
            </w:pPr>
            <w:r>
              <w:rPr/>
              <w:t>“</w:t>
            </w:r>
            <w:r>
              <w:rPr>
                <w:u w:val="single"/>
              </w:rPr>
              <w:t>Company Common Stock</w:t>
            </w:r>
            <w:r>
              <w:rPr/>
              <w:t>”</w:t>
            </w:r>
          </w:p>
        </w:tc>
        <w:tc>
          <w:tcPr>
            <w:tcW w:w="1565" w:type="dxa"/>
            <w:tcBorders/>
            <w:vAlign w:val="center"/>
          </w:tcPr>
          <w:p>
            <w:pPr>
              <w:pStyle w:val="TableContents"/>
              <w:bidi w:val="0"/>
              <w:spacing w:before="0" w:after="283"/>
              <w:jc w:val="left"/>
              <w:rPr/>
            </w:pPr>
            <w:r>
              <w:rPr/>
              <w:t>Recitals</w:t>
            </w:r>
          </w:p>
        </w:tc>
      </w:tr>
      <w:tr>
        <w:trPr/>
        <w:tc>
          <w:tcPr>
            <w:tcW w:w="4205" w:type="dxa"/>
            <w:tcBorders/>
            <w:vAlign w:val="center"/>
          </w:tcPr>
          <w:p>
            <w:pPr>
              <w:pStyle w:val="TableContents"/>
              <w:bidi w:val="0"/>
              <w:spacing w:before="0" w:after="283"/>
              <w:jc w:val="left"/>
              <w:rPr/>
            </w:pPr>
            <w:r>
              <w:rPr/>
              <w:t>“</w:t>
            </w:r>
            <w:r>
              <w:rPr>
                <w:u w:val="single"/>
              </w:rPr>
              <w:t>Company Disclosure Schedule</w:t>
            </w:r>
            <w:r>
              <w:rPr/>
              <w:t>”</w:t>
            </w:r>
          </w:p>
        </w:tc>
        <w:tc>
          <w:tcPr>
            <w:tcW w:w="1565" w:type="dxa"/>
            <w:tcBorders/>
            <w:vAlign w:val="center"/>
          </w:tcPr>
          <w:p>
            <w:pPr>
              <w:pStyle w:val="TableContents"/>
              <w:bidi w:val="0"/>
              <w:spacing w:before="0" w:after="283"/>
              <w:jc w:val="left"/>
              <w:rPr/>
            </w:pPr>
            <w:r>
              <w:rPr/>
              <w:t>Article 3</w:t>
            </w:r>
          </w:p>
        </w:tc>
      </w:tr>
      <w:tr>
        <w:trPr/>
        <w:tc>
          <w:tcPr>
            <w:tcW w:w="4205" w:type="dxa"/>
            <w:tcBorders/>
            <w:vAlign w:val="center"/>
          </w:tcPr>
          <w:p>
            <w:pPr>
              <w:pStyle w:val="TableContents"/>
              <w:bidi w:val="0"/>
              <w:spacing w:before="0" w:after="283"/>
              <w:jc w:val="left"/>
              <w:rPr/>
            </w:pPr>
            <w:r>
              <w:rPr/>
              <w:t>“</w:t>
            </w:r>
            <w:r>
              <w:rPr>
                <w:u w:val="single"/>
              </w:rPr>
              <w:t>Company Fairness Opinion</w:t>
            </w:r>
            <w:r>
              <w:rPr/>
              <w:t>”</w:t>
            </w:r>
          </w:p>
        </w:tc>
        <w:tc>
          <w:tcPr>
            <w:tcW w:w="1565" w:type="dxa"/>
            <w:tcBorders/>
            <w:vAlign w:val="center"/>
          </w:tcPr>
          <w:p>
            <w:pPr>
              <w:pStyle w:val="TableContents"/>
              <w:bidi w:val="0"/>
              <w:spacing w:before="0" w:after="283"/>
              <w:jc w:val="left"/>
              <w:rPr/>
            </w:pPr>
            <w:r>
              <w:rPr/>
              <w:t>Section 3.21</w:t>
            </w:r>
          </w:p>
        </w:tc>
      </w:tr>
      <w:tr>
        <w:trPr/>
        <w:tc>
          <w:tcPr>
            <w:tcW w:w="4205" w:type="dxa"/>
            <w:tcBorders/>
            <w:vAlign w:val="center"/>
          </w:tcPr>
          <w:p>
            <w:pPr>
              <w:pStyle w:val="TableContents"/>
              <w:bidi w:val="0"/>
              <w:spacing w:before="0" w:after="283"/>
              <w:jc w:val="left"/>
              <w:rPr/>
            </w:pPr>
            <w:r>
              <w:rPr/>
              <w:t>“</w:t>
            </w:r>
            <w:r>
              <w:rPr>
                <w:u w:val="single"/>
              </w:rPr>
              <w:t>Company Financial Statements</w:t>
            </w:r>
            <w:r>
              <w:rPr/>
              <w:t>”</w:t>
            </w:r>
          </w:p>
        </w:tc>
        <w:tc>
          <w:tcPr>
            <w:tcW w:w="1565" w:type="dxa"/>
            <w:tcBorders/>
            <w:vAlign w:val="center"/>
          </w:tcPr>
          <w:p>
            <w:pPr>
              <w:pStyle w:val="TableContents"/>
              <w:bidi w:val="0"/>
              <w:spacing w:before="0" w:after="283"/>
              <w:jc w:val="left"/>
              <w:rPr/>
            </w:pPr>
            <w:r>
              <w:rPr/>
              <w:t>Section 3.7(c)</w:t>
            </w:r>
          </w:p>
        </w:tc>
      </w:tr>
      <w:tr>
        <w:trPr/>
        <w:tc>
          <w:tcPr>
            <w:tcW w:w="4205" w:type="dxa"/>
            <w:tcBorders/>
            <w:vAlign w:val="center"/>
          </w:tcPr>
          <w:p>
            <w:pPr>
              <w:pStyle w:val="TableContents"/>
              <w:bidi w:val="0"/>
              <w:spacing w:before="0" w:after="283"/>
              <w:jc w:val="left"/>
              <w:rPr>
                <w:u w:val="single"/>
              </w:rPr>
            </w:pPr>
            <w:r>
              <w:rPr>
                <w:u w:val="single"/>
              </w:rPr>
              <w:t>“</w:t>
            </w:r>
            <w:r>
              <w:rPr>
                <w:u w:val="single"/>
              </w:rPr>
              <w:t>Company ISA Documents”</w:t>
            </w:r>
          </w:p>
        </w:tc>
        <w:tc>
          <w:tcPr>
            <w:tcW w:w="1565" w:type="dxa"/>
            <w:tcBorders/>
            <w:vAlign w:val="center"/>
          </w:tcPr>
          <w:p>
            <w:pPr>
              <w:pStyle w:val="TableContents"/>
              <w:bidi w:val="0"/>
              <w:spacing w:before="0" w:after="283"/>
              <w:jc w:val="left"/>
              <w:rPr/>
            </w:pPr>
            <w:r>
              <w:rPr/>
              <w:t>Section 3.7(a)</w:t>
            </w:r>
          </w:p>
        </w:tc>
      </w:tr>
      <w:tr>
        <w:trPr/>
        <w:tc>
          <w:tcPr>
            <w:tcW w:w="4205" w:type="dxa"/>
            <w:tcBorders/>
            <w:vAlign w:val="center"/>
          </w:tcPr>
          <w:p>
            <w:pPr>
              <w:pStyle w:val="TableContents"/>
              <w:bidi w:val="0"/>
              <w:spacing w:before="0" w:after="283"/>
              <w:jc w:val="left"/>
              <w:rPr/>
            </w:pPr>
            <w:r>
              <w:rPr/>
              <w:t>“</w:t>
            </w:r>
            <w:r>
              <w:rPr>
                <w:u w:val="single"/>
              </w:rPr>
              <w:t>Company IT Assets</w:t>
            </w:r>
            <w:r>
              <w:rPr/>
              <w:t>”</w:t>
            </w:r>
          </w:p>
        </w:tc>
        <w:tc>
          <w:tcPr>
            <w:tcW w:w="1565" w:type="dxa"/>
            <w:tcBorders/>
            <w:vAlign w:val="center"/>
          </w:tcPr>
          <w:p>
            <w:pPr>
              <w:pStyle w:val="TableContents"/>
              <w:bidi w:val="0"/>
              <w:spacing w:before="0" w:after="283"/>
              <w:jc w:val="left"/>
              <w:rPr/>
            </w:pPr>
            <w:r>
              <w:rPr/>
              <w:t>Section 3.15(j)</w:t>
            </w:r>
          </w:p>
        </w:tc>
      </w:tr>
      <w:tr>
        <w:trPr/>
        <w:tc>
          <w:tcPr>
            <w:tcW w:w="4205" w:type="dxa"/>
            <w:tcBorders/>
            <w:vAlign w:val="center"/>
          </w:tcPr>
          <w:p>
            <w:pPr>
              <w:pStyle w:val="TableContents"/>
              <w:bidi w:val="0"/>
              <w:spacing w:before="0" w:after="283"/>
              <w:jc w:val="left"/>
              <w:rPr/>
            </w:pPr>
            <w:r>
              <w:rPr/>
              <w:t>“</w:t>
            </w:r>
            <w:r>
              <w:rPr>
                <w:u w:val="single"/>
              </w:rPr>
              <w:t>Company Leased Real Property</w:t>
            </w:r>
            <w:r>
              <w:rPr/>
              <w:t>”</w:t>
            </w:r>
          </w:p>
        </w:tc>
        <w:tc>
          <w:tcPr>
            <w:tcW w:w="1565" w:type="dxa"/>
            <w:tcBorders/>
            <w:vAlign w:val="center"/>
          </w:tcPr>
          <w:p>
            <w:pPr>
              <w:pStyle w:val="TableContents"/>
              <w:bidi w:val="0"/>
              <w:spacing w:before="0" w:after="283"/>
              <w:jc w:val="left"/>
              <w:rPr/>
            </w:pPr>
            <w:r>
              <w:rPr/>
              <w:t>Section 3.18(b)</w:t>
            </w:r>
          </w:p>
        </w:tc>
      </w:tr>
      <w:tr>
        <w:trPr/>
        <w:tc>
          <w:tcPr>
            <w:tcW w:w="4205" w:type="dxa"/>
            <w:tcBorders/>
            <w:vAlign w:val="center"/>
          </w:tcPr>
          <w:p>
            <w:pPr>
              <w:pStyle w:val="TableContents"/>
              <w:bidi w:val="0"/>
              <w:spacing w:before="0" w:after="283"/>
              <w:jc w:val="left"/>
              <w:rPr/>
            </w:pPr>
            <w:r>
              <w:rPr/>
              <w:t>“</w:t>
            </w:r>
            <w:r>
              <w:rPr>
                <w:u w:val="single"/>
              </w:rPr>
              <w:t>Company Material Contract</w:t>
            </w:r>
            <w:r>
              <w:rPr/>
              <w:t>”</w:t>
            </w:r>
          </w:p>
        </w:tc>
        <w:tc>
          <w:tcPr>
            <w:tcW w:w="1565" w:type="dxa"/>
            <w:tcBorders/>
            <w:vAlign w:val="center"/>
          </w:tcPr>
          <w:p>
            <w:pPr>
              <w:pStyle w:val="TableContents"/>
              <w:bidi w:val="0"/>
              <w:spacing w:before="0" w:after="283"/>
              <w:jc w:val="left"/>
              <w:rPr/>
            </w:pPr>
            <w:r>
              <w:rPr/>
              <w:t>Section 3.11(b)</w:t>
            </w:r>
          </w:p>
        </w:tc>
      </w:tr>
      <w:tr>
        <w:trPr/>
        <w:tc>
          <w:tcPr>
            <w:tcW w:w="4205" w:type="dxa"/>
            <w:tcBorders/>
            <w:vAlign w:val="center"/>
          </w:tcPr>
          <w:p>
            <w:pPr>
              <w:pStyle w:val="TableContents"/>
              <w:bidi w:val="0"/>
              <w:spacing w:before="0" w:after="283"/>
              <w:jc w:val="left"/>
              <w:rPr/>
            </w:pPr>
            <w:r>
              <w:rPr/>
              <w:t>“</w:t>
            </w:r>
            <w:r>
              <w:rPr>
                <w:u w:val="single"/>
              </w:rPr>
              <w:t>Company Notice Period</w:t>
            </w:r>
            <w:r>
              <w:rPr/>
              <w:t>”</w:t>
            </w:r>
          </w:p>
        </w:tc>
        <w:tc>
          <w:tcPr>
            <w:tcW w:w="1565" w:type="dxa"/>
            <w:tcBorders/>
            <w:vAlign w:val="center"/>
          </w:tcPr>
          <w:p>
            <w:pPr>
              <w:pStyle w:val="TableContents"/>
              <w:bidi w:val="0"/>
              <w:spacing w:before="0" w:after="283"/>
              <w:jc w:val="left"/>
              <w:rPr/>
            </w:pPr>
            <w:r>
              <w:rPr/>
              <w:t>Section 6.3(e)(i)</w:t>
            </w:r>
          </w:p>
        </w:tc>
      </w:tr>
      <w:tr>
        <w:trPr/>
        <w:tc>
          <w:tcPr>
            <w:tcW w:w="4205" w:type="dxa"/>
            <w:tcBorders/>
            <w:vAlign w:val="center"/>
          </w:tcPr>
          <w:p>
            <w:pPr>
              <w:pStyle w:val="TableContents"/>
              <w:bidi w:val="0"/>
              <w:spacing w:before="0" w:after="283"/>
              <w:jc w:val="left"/>
              <w:rPr/>
            </w:pPr>
            <w:r>
              <w:rPr/>
              <w:t>“</w:t>
            </w:r>
            <w:r>
              <w:rPr>
                <w:u w:val="single"/>
              </w:rPr>
              <w:t>Company Permits</w:t>
            </w:r>
            <w:r>
              <w:rPr/>
              <w:t>”</w:t>
            </w:r>
          </w:p>
        </w:tc>
        <w:tc>
          <w:tcPr>
            <w:tcW w:w="1565" w:type="dxa"/>
            <w:tcBorders/>
            <w:vAlign w:val="center"/>
          </w:tcPr>
          <w:p>
            <w:pPr>
              <w:pStyle w:val="TableContents"/>
              <w:bidi w:val="0"/>
              <w:spacing w:before="0" w:after="283"/>
              <w:jc w:val="left"/>
              <w:rPr/>
            </w:pPr>
            <w:r>
              <w:rPr/>
              <w:t>Section 3.12</w:t>
            </w:r>
          </w:p>
        </w:tc>
      </w:tr>
      <w:tr>
        <w:trPr/>
        <w:tc>
          <w:tcPr>
            <w:tcW w:w="4205" w:type="dxa"/>
            <w:tcBorders/>
            <w:vAlign w:val="center"/>
          </w:tcPr>
          <w:p>
            <w:pPr>
              <w:pStyle w:val="TableContents"/>
              <w:bidi w:val="0"/>
              <w:spacing w:before="0" w:after="283"/>
              <w:jc w:val="left"/>
              <w:rPr/>
            </w:pPr>
            <w:r>
              <w:rPr/>
              <w:t>“</w:t>
            </w:r>
            <w:r>
              <w:rPr>
                <w:u w:val="single"/>
              </w:rPr>
              <w:t>Company Preferred Stock</w:t>
            </w:r>
            <w:r>
              <w:rPr/>
              <w:t>”</w:t>
            </w:r>
          </w:p>
        </w:tc>
        <w:tc>
          <w:tcPr>
            <w:tcW w:w="1565" w:type="dxa"/>
            <w:tcBorders/>
            <w:vAlign w:val="center"/>
          </w:tcPr>
          <w:p>
            <w:pPr>
              <w:pStyle w:val="TableContents"/>
              <w:bidi w:val="0"/>
              <w:spacing w:before="0" w:after="283"/>
              <w:jc w:val="left"/>
              <w:rPr/>
            </w:pPr>
            <w:r>
              <w:rPr/>
              <w:t>Section 3.2(a)</w:t>
            </w:r>
          </w:p>
        </w:tc>
      </w:tr>
      <w:tr>
        <w:trPr/>
        <w:tc>
          <w:tcPr>
            <w:tcW w:w="4205" w:type="dxa"/>
            <w:tcBorders/>
            <w:vAlign w:val="center"/>
          </w:tcPr>
          <w:p>
            <w:pPr>
              <w:pStyle w:val="TableContents"/>
              <w:bidi w:val="0"/>
              <w:spacing w:before="0" w:after="283"/>
              <w:jc w:val="left"/>
              <w:rPr/>
            </w:pPr>
            <w:r>
              <w:rPr/>
              <w:t>“</w:t>
            </w:r>
            <w:r>
              <w:rPr>
                <w:u w:val="single"/>
              </w:rPr>
              <w:t>Company Real Property Leases</w:t>
            </w:r>
            <w:r>
              <w:rPr/>
              <w:t>”</w:t>
            </w:r>
          </w:p>
        </w:tc>
        <w:tc>
          <w:tcPr>
            <w:tcW w:w="1565" w:type="dxa"/>
            <w:tcBorders/>
            <w:vAlign w:val="center"/>
          </w:tcPr>
          <w:p>
            <w:pPr>
              <w:pStyle w:val="TableContents"/>
              <w:bidi w:val="0"/>
              <w:spacing w:before="0" w:after="283"/>
              <w:jc w:val="left"/>
              <w:rPr/>
            </w:pPr>
            <w:r>
              <w:rPr/>
              <w:t>Section 3.18(b)</w:t>
            </w:r>
          </w:p>
        </w:tc>
      </w:tr>
      <w:tr>
        <w:trPr/>
        <w:tc>
          <w:tcPr>
            <w:tcW w:w="4205" w:type="dxa"/>
            <w:tcBorders/>
            <w:vAlign w:val="center"/>
          </w:tcPr>
          <w:p>
            <w:pPr>
              <w:pStyle w:val="TableContents"/>
              <w:bidi w:val="0"/>
              <w:spacing w:before="0" w:after="283"/>
              <w:jc w:val="left"/>
              <w:rPr/>
            </w:pPr>
            <w:r>
              <w:rPr/>
              <w:t>“</w:t>
            </w:r>
            <w:r>
              <w:rPr>
                <w:u w:val="single"/>
              </w:rPr>
              <w:t>Company Registered Intellectual Property</w:t>
            </w:r>
            <w:r>
              <w:rPr/>
              <w:t>”</w:t>
            </w:r>
          </w:p>
        </w:tc>
        <w:tc>
          <w:tcPr>
            <w:tcW w:w="1565" w:type="dxa"/>
            <w:tcBorders/>
            <w:vAlign w:val="center"/>
          </w:tcPr>
          <w:p>
            <w:pPr>
              <w:pStyle w:val="TableContents"/>
              <w:bidi w:val="0"/>
              <w:spacing w:before="0" w:after="283"/>
              <w:jc w:val="left"/>
              <w:rPr/>
            </w:pPr>
            <w:r>
              <w:rPr/>
              <w:t>Section 3.15(a)</w:t>
            </w:r>
          </w:p>
        </w:tc>
      </w:tr>
      <w:tr>
        <w:trPr/>
        <w:tc>
          <w:tcPr>
            <w:tcW w:w="4205" w:type="dxa"/>
            <w:tcBorders/>
            <w:vAlign w:val="center"/>
          </w:tcPr>
          <w:p>
            <w:pPr>
              <w:pStyle w:val="TableContents"/>
              <w:bidi w:val="0"/>
              <w:spacing w:before="0" w:after="283"/>
              <w:jc w:val="left"/>
              <w:rPr/>
            </w:pPr>
            <w:r>
              <w:rPr/>
              <w:t>“</w:t>
            </w:r>
            <w:r>
              <w:rPr>
                <w:u w:val="single"/>
              </w:rPr>
              <w:t>Company Related Party</w:t>
            </w:r>
            <w:r>
              <w:rPr/>
              <w:t>”</w:t>
            </w:r>
          </w:p>
        </w:tc>
        <w:tc>
          <w:tcPr>
            <w:tcW w:w="1565" w:type="dxa"/>
            <w:tcBorders/>
            <w:vAlign w:val="center"/>
          </w:tcPr>
          <w:p>
            <w:pPr>
              <w:pStyle w:val="TableContents"/>
              <w:bidi w:val="0"/>
              <w:spacing w:before="0" w:after="283"/>
              <w:jc w:val="left"/>
              <w:rPr/>
            </w:pPr>
            <w:r>
              <w:rPr/>
              <w:t>Section 3.24</w:t>
            </w:r>
          </w:p>
        </w:tc>
      </w:tr>
      <w:tr>
        <w:trPr/>
        <w:tc>
          <w:tcPr>
            <w:tcW w:w="4205" w:type="dxa"/>
            <w:tcBorders/>
            <w:vAlign w:val="center"/>
          </w:tcPr>
          <w:p>
            <w:pPr>
              <w:pStyle w:val="TableContents"/>
              <w:bidi w:val="0"/>
              <w:spacing w:before="0" w:after="283"/>
              <w:jc w:val="left"/>
              <w:rPr/>
            </w:pPr>
            <w:r>
              <w:rPr/>
              <w:t>“</w:t>
            </w:r>
            <w:r>
              <w:rPr>
                <w:u w:val="single"/>
              </w:rPr>
              <w:t>Company Rights</w:t>
            </w:r>
            <w:r>
              <w:rPr/>
              <w:t>”</w:t>
            </w:r>
          </w:p>
        </w:tc>
        <w:tc>
          <w:tcPr>
            <w:tcW w:w="1565" w:type="dxa"/>
            <w:tcBorders/>
            <w:vAlign w:val="center"/>
          </w:tcPr>
          <w:p>
            <w:pPr>
              <w:pStyle w:val="TableContents"/>
              <w:bidi w:val="0"/>
              <w:spacing w:before="0" w:after="283"/>
              <w:jc w:val="left"/>
              <w:rPr/>
            </w:pPr>
            <w:r>
              <w:rPr/>
              <w:t>Section 3.2(c)</w:t>
            </w:r>
          </w:p>
        </w:tc>
      </w:tr>
      <w:tr>
        <w:trPr/>
        <w:tc>
          <w:tcPr>
            <w:tcW w:w="4205" w:type="dxa"/>
            <w:tcBorders/>
            <w:vAlign w:val="center"/>
          </w:tcPr>
          <w:p>
            <w:pPr>
              <w:pStyle w:val="TableContents"/>
              <w:bidi w:val="0"/>
              <w:spacing w:before="0" w:after="283"/>
              <w:jc w:val="left"/>
              <w:rPr/>
            </w:pPr>
            <w:r>
              <w:rPr/>
              <w:t>“</w:t>
            </w:r>
            <w:r>
              <w:rPr>
                <w:u w:val="single"/>
              </w:rPr>
              <w:t>Company SEC Documents</w:t>
            </w:r>
            <w:r>
              <w:rPr/>
              <w:t>”</w:t>
            </w:r>
          </w:p>
        </w:tc>
        <w:tc>
          <w:tcPr>
            <w:tcW w:w="1565" w:type="dxa"/>
            <w:tcBorders/>
            <w:vAlign w:val="center"/>
          </w:tcPr>
          <w:p>
            <w:pPr>
              <w:pStyle w:val="TableContents"/>
              <w:bidi w:val="0"/>
              <w:spacing w:before="0" w:after="283"/>
              <w:jc w:val="left"/>
              <w:rPr/>
            </w:pPr>
            <w:r>
              <w:rPr/>
              <w:t>Section 3.7(a)</w:t>
            </w:r>
          </w:p>
        </w:tc>
      </w:tr>
      <w:tr>
        <w:trPr/>
        <w:tc>
          <w:tcPr>
            <w:tcW w:w="4205" w:type="dxa"/>
            <w:tcBorders/>
            <w:vAlign w:val="center"/>
          </w:tcPr>
          <w:p>
            <w:pPr>
              <w:pStyle w:val="TableContents"/>
              <w:bidi w:val="0"/>
              <w:spacing w:before="0" w:after="283"/>
              <w:jc w:val="left"/>
              <w:rPr/>
            </w:pPr>
            <w:r>
              <w:rPr/>
              <w:t>“</w:t>
            </w:r>
            <w:r>
              <w:rPr>
                <w:u w:val="single"/>
              </w:rPr>
              <w:t>Company Stock</w:t>
            </w:r>
            <w:r>
              <w:rPr/>
              <w:t>”</w:t>
            </w:r>
          </w:p>
        </w:tc>
        <w:tc>
          <w:tcPr>
            <w:tcW w:w="1565" w:type="dxa"/>
            <w:tcBorders/>
            <w:vAlign w:val="center"/>
          </w:tcPr>
          <w:p>
            <w:pPr>
              <w:pStyle w:val="TableContents"/>
              <w:bidi w:val="0"/>
              <w:spacing w:before="0" w:after="283"/>
              <w:jc w:val="left"/>
              <w:rPr/>
            </w:pPr>
            <w:r>
              <w:rPr/>
              <w:t>Section 3.2(a)</w:t>
            </w:r>
          </w:p>
        </w:tc>
      </w:tr>
      <w:tr>
        <w:trPr/>
        <w:tc>
          <w:tcPr>
            <w:tcW w:w="4205" w:type="dxa"/>
            <w:tcBorders/>
            <w:vAlign w:val="center"/>
          </w:tcPr>
          <w:p>
            <w:pPr>
              <w:pStyle w:val="TableContents"/>
              <w:bidi w:val="0"/>
              <w:spacing w:before="0" w:after="283"/>
              <w:jc w:val="left"/>
              <w:rPr/>
            </w:pPr>
            <w:r>
              <w:rPr/>
              <w:t>“</w:t>
            </w:r>
            <w:r>
              <w:rPr>
                <w:u w:val="single"/>
              </w:rPr>
              <w:t>Company Stockholders Meeting</w:t>
            </w:r>
            <w:r>
              <w:rPr/>
              <w:t>”</w:t>
            </w:r>
          </w:p>
        </w:tc>
        <w:tc>
          <w:tcPr>
            <w:tcW w:w="1565" w:type="dxa"/>
            <w:tcBorders/>
            <w:vAlign w:val="center"/>
          </w:tcPr>
          <w:p>
            <w:pPr>
              <w:pStyle w:val="TableContents"/>
              <w:bidi w:val="0"/>
              <w:spacing w:before="0" w:after="283"/>
              <w:jc w:val="left"/>
              <w:rPr/>
            </w:pPr>
            <w:r>
              <w:rPr/>
              <w:t>Section 6.1(a)</w:t>
            </w:r>
          </w:p>
        </w:tc>
      </w:tr>
      <w:tr>
        <w:trPr/>
        <w:tc>
          <w:tcPr>
            <w:tcW w:w="4205" w:type="dxa"/>
            <w:tcBorders/>
            <w:vAlign w:val="center"/>
          </w:tcPr>
          <w:p>
            <w:pPr>
              <w:pStyle w:val="TableContents"/>
              <w:bidi w:val="0"/>
              <w:spacing w:before="0" w:after="283"/>
              <w:jc w:val="left"/>
              <w:rPr/>
            </w:pPr>
            <w:r>
              <w:rPr/>
              <w:t>“</w:t>
            </w:r>
            <w:r>
              <w:rPr>
                <w:u w:val="single"/>
              </w:rPr>
              <w:t>Company Subsidiary</w:t>
            </w:r>
            <w:r>
              <w:rPr/>
              <w:t>”</w:t>
            </w:r>
          </w:p>
        </w:tc>
        <w:tc>
          <w:tcPr>
            <w:tcW w:w="1565" w:type="dxa"/>
            <w:tcBorders/>
            <w:vAlign w:val="center"/>
          </w:tcPr>
          <w:p>
            <w:pPr>
              <w:pStyle w:val="TableContents"/>
              <w:bidi w:val="0"/>
              <w:spacing w:before="0" w:after="283"/>
              <w:jc w:val="left"/>
              <w:rPr/>
            </w:pPr>
            <w:r>
              <w:rPr/>
              <w:t>Section 3.1(a)</w:t>
            </w:r>
          </w:p>
        </w:tc>
      </w:tr>
      <w:tr>
        <w:trPr/>
        <w:tc>
          <w:tcPr>
            <w:tcW w:w="4205" w:type="dxa"/>
            <w:tcBorders/>
            <w:vAlign w:val="center"/>
          </w:tcPr>
          <w:p>
            <w:pPr>
              <w:pStyle w:val="TableContents"/>
              <w:bidi w:val="0"/>
              <w:spacing w:before="0" w:after="283"/>
              <w:jc w:val="left"/>
              <w:rPr/>
            </w:pPr>
            <w:r>
              <w:rPr/>
              <w:t>“</w:t>
            </w:r>
            <w:r>
              <w:rPr>
                <w:u w:val="single"/>
              </w:rPr>
              <w:t>Company Termination Fee</w:t>
            </w:r>
            <w:r>
              <w:rPr/>
              <w:t>”</w:t>
            </w:r>
          </w:p>
        </w:tc>
        <w:tc>
          <w:tcPr>
            <w:tcW w:w="1565" w:type="dxa"/>
            <w:tcBorders/>
            <w:vAlign w:val="center"/>
          </w:tcPr>
          <w:p>
            <w:pPr>
              <w:pStyle w:val="TableContents"/>
              <w:bidi w:val="0"/>
              <w:spacing w:before="0" w:after="283"/>
              <w:jc w:val="left"/>
              <w:rPr/>
            </w:pPr>
            <w:r>
              <w:rPr/>
              <w:t>Section 8.3(a)</w:t>
            </w:r>
          </w:p>
        </w:tc>
      </w:tr>
      <w:tr>
        <w:trPr/>
        <w:tc>
          <w:tcPr>
            <w:tcW w:w="4205" w:type="dxa"/>
            <w:tcBorders/>
            <w:vAlign w:val="center"/>
          </w:tcPr>
          <w:p>
            <w:pPr>
              <w:pStyle w:val="TableContents"/>
              <w:bidi w:val="0"/>
              <w:spacing w:before="0" w:after="283"/>
              <w:jc w:val="left"/>
              <w:rPr/>
            </w:pPr>
            <w:r>
              <w:rPr/>
              <w:t>“</w:t>
            </w:r>
            <w:r>
              <w:rPr>
                <w:u w:val="single"/>
              </w:rPr>
              <w:t>Company Transaction Litigation</w:t>
            </w:r>
            <w:r>
              <w:rPr/>
              <w:t>”</w:t>
            </w:r>
          </w:p>
        </w:tc>
        <w:tc>
          <w:tcPr>
            <w:tcW w:w="1565" w:type="dxa"/>
            <w:tcBorders/>
            <w:vAlign w:val="center"/>
          </w:tcPr>
          <w:p>
            <w:pPr>
              <w:pStyle w:val="TableContents"/>
              <w:bidi w:val="0"/>
              <w:spacing w:before="0" w:after="283"/>
              <w:jc w:val="left"/>
              <w:rPr/>
            </w:pPr>
            <w:r>
              <w:rPr/>
              <w:t>Section 6.6</w:t>
            </w:r>
          </w:p>
        </w:tc>
      </w:tr>
      <w:tr>
        <w:trPr/>
        <w:tc>
          <w:tcPr>
            <w:tcW w:w="4205" w:type="dxa"/>
            <w:tcBorders/>
            <w:vAlign w:val="center"/>
          </w:tcPr>
          <w:p>
            <w:pPr>
              <w:pStyle w:val="TableContents"/>
              <w:bidi w:val="0"/>
              <w:spacing w:before="0" w:after="283"/>
              <w:jc w:val="left"/>
              <w:rPr/>
            </w:pPr>
            <w:r>
              <w:rPr/>
              <w:t>“</w:t>
            </w:r>
            <w:r>
              <w:rPr>
                <w:u w:val="single"/>
              </w:rPr>
              <w:t>Confidentiality Agreement</w:t>
            </w:r>
            <w:r>
              <w:rPr/>
              <w:t>”</w:t>
            </w:r>
          </w:p>
        </w:tc>
        <w:tc>
          <w:tcPr>
            <w:tcW w:w="1565" w:type="dxa"/>
            <w:tcBorders/>
            <w:vAlign w:val="center"/>
          </w:tcPr>
          <w:p>
            <w:pPr>
              <w:pStyle w:val="TableContents"/>
              <w:bidi w:val="0"/>
              <w:spacing w:before="0" w:after="283"/>
              <w:jc w:val="left"/>
              <w:rPr/>
            </w:pPr>
            <w:r>
              <w:rPr/>
              <w:t>Section 6.2(b)</w:t>
            </w:r>
          </w:p>
        </w:tc>
      </w:tr>
      <w:tr>
        <w:trPr/>
        <w:tc>
          <w:tcPr>
            <w:tcW w:w="4205" w:type="dxa"/>
            <w:tcBorders/>
            <w:vAlign w:val="center"/>
          </w:tcPr>
          <w:p>
            <w:pPr>
              <w:pStyle w:val="TableContents"/>
              <w:bidi w:val="0"/>
              <w:spacing w:before="0" w:after="283"/>
              <w:jc w:val="left"/>
              <w:rPr/>
            </w:pPr>
            <w:r>
              <w:rPr/>
              <w:t>“</w:t>
            </w:r>
            <w:r>
              <w:rPr>
                <w:u w:val="single"/>
              </w:rPr>
              <w:t>Continuing Service Provider</w:t>
            </w:r>
            <w:r>
              <w:rPr/>
              <w:t>”</w:t>
            </w:r>
          </w:p>
        </w:tc>
        <w:tc>
          <w:tcPr>
            <w:tcW w:w="1565" w:type="dxa"/>
            <w:tcBorders/>
            <w:vAlign w:val="center"/>
          </w:tcPr>
          <w:p>
            <w:pPr>
              <w:pStyle w:val="TableContents"/>
              <w:bidi w:val="0"/>
              <w:spacing w:before="0" w:after="283"/>
              <w:jc w:val="left"/>
              <w:rPr/>
            </w:pPr>
            <w:r>
              <w:rPr/>
              <w:t>Section 2.6(a)(i)</w:t>
            </w:r>
          </w:p>
        </w:tc>
      </w:tr>
      <w:tr>
        <w:trPr/>
        <w:tc>
          <w:tcPr>
            <w:tcW w:w="4205" w:type="dxa"/>
            <w:tcBorders/>
            <w:vAlign w:val="center"/>
          </w:tcPr>
          <w:p>
            <w:pPr>
              <w:pStyle w:val="TableContents"/>
              <w:bidi w:val="0"/>
              <w:spacing w:before="0" w:after="283"/>
              <w:jc w:val="left"/>
              <w:rPr/>
            </w:pPr>
            <w:r>
              <w:rPr/>
              <w:t>“</w:t>
            </w:r>
            <w:r>
              <w:rPr>
                <w:u w:val="single"/>
              </w:rPr>
              <w:t>Covered Persons</w:t>
            </w:r>
            <w:r>
              <w:rPr/>
              <w:t>”</w:t>
            </w:r>
          </w:p>
        </w:tc>
        <w:tc>
          <w:tcPr>
            <w:tcW w:w="1565" w:type="dxa"/>
            <w:tcBorders/>
            <w:vAlign w:val="center"/>
          </w:tcPr>
          <w:p>
            <w:pPr>
              <w:pStyle w:val="TableContents"/>
              <w:bidi w:val="0"/>
              <w:spacing w:before="0" w:after="283"/>
              <w:jc w:val="left"/>
              <w:rPr/>
            </w:pPr>
            <w:r>
              <w:rPr/>
              <w:t>Section 6.9(a)</w:t>
            </w:r>
          </w:p>
        </w:tc>
      </w:tr>
      <w:tr>
        <w:trPr/>
        <w:tc>
          <w:tcPr>
            <w:tcW w:w="4205" w:type="dxa"/>
            <w:tcBorders/>
            <w:vAlign w:val="center"/>
          </w:tcPr>
          <w:p>
            <w:pPr>
              <w:pStyle w:val="TableContents"/>
              <w:bidi w:val="0"/>
              <w:spacing w:before="0" w:after="283"/>
              <w:jc w:val="left"/>
              <w:rPr/>
            </w:pPr>
            <w:r>
              <w:rPr/>
              <w:t>“</w:t>
            </w:r>
            <w:r>
              <w:rPr>
                <w:u w:val="single"/>
              </w:rPr>
              <w:t>Current ESPP Offering Periods</w:t>
            </w:r>
            <w:r>
              <w:rPr/>
              <w:t>”</w:t>
            </w:r>
          </w:p>
        </w:tc>
        <w:tc>
          <w:tcPr>
            <w:tcW w:w="1565" w:type="dxa"/>
            <w:tcBorders/>
            <w:vAlign w:val="center"/>
          </w:tcPr>
          <w:p>
            <w:pPr>
              <w:pStyle w:val="TableContents"/>
              <w:bidi w:val="0"/>
              <w:spacing w:before="0" w:after="283"/>
              <w:jc w:val="left"/>
              <w:rPr/>
            </w:pPr>
            <w:r>
              <w:rPr/>
              <w:t>Section 2.6(d)</w:t>
            </w:r>
          </w:p>
        </w:tc>
      </w:tr>
      <w:tr>
        <w:trPr/>
        <w:tc>
          <w:tcPr>
            <w:tcW w:w="4205" w:type="dxa"/>
            <w:tcBorders/>
            <w:vAlign w:val="center"/>
          </w:tcPr>
          <w:p>
            <w:pPr>
              <w:pStyle w:val="TableContents"/>
              <w:bidi w:val="0"/>
              <w:spacing w:before="0" w:after="283"/>
              <w:jc w:val="left"/>
              <w:rPr/>
            </w:pPr>
            <w:r>
              <w:rPr/>
              <w:t>“</w:t>
            </w:r>
            <w:r>
              <w:rPr>
                <w:u w:val="single"/>
              </w:rPr>
              <w:t>Data Partners</w:t>
            </w:r>
            <w:r>
              <w:rPr/>
              <w:t>”</w:t>
            </w:r>
          </w:p>
        </w:tc>
        <w:tc>
          <w:tcPr>
            <w:tcW w:w="1565" w:type="dxa"/>
            <w:tcBorders/>
            <w:vAlign w:val="center"/>
          </w:tcPr>
          <w:p>
            <w:pPr>
              <w:pStyle w:val="TableContents"/>
              <w:bidi w:val="0"/>
              <w:spacing w:before="0" w:after="283"/>
              <w:jc w:val="left"/>
              <w:rPr/>
            </w:pPr>
            <w:r>
              <w:rPr/>
              <w:t>Section 3.16(a)</w:t>
            </w:r>
          </w:p>
        </w:tc>
      </w:tr>
      <w:tr>
        <w:trPr/>
        <w:tc>
          <w:tcPr>
            <w:tcW w:w="4205" w:type="dxa"/>
            <w:tcBorders/>
            <w:vAlign w:val="center"/>
          </w:tcPr>
          <w:p>
            <w:pPr>
              <w:pStyle w:val="TableContents"/>
              <w:bidi w:val="0"/>
              <w:spacing w:before="0" w:after="283"/>
              <w:jc w:val="left"/>
              <w:rPr/>
            </w:pPr>
            <w:r>
              <w:rPr/>
              <w:t>“</w:t>
            </w:r>
            <w:r>
              <w:rPr>
                <w:u w:val="single"/>
              </w:rPr>
              <w:t>DGCL</w:t>
            </w:r>
            <w:r>
              <w:rPr/>
              <w:t>”</w:t>
            </w:r>
          </w:p>
        </w:tc>
        <w:tc>
          <w:tcPr>
            <w:tcW w:w="1565" w:type="dxa"/>
            <w:tcBorders/>
            <w:vAlign w:val="center"/>
          </w:tcPr>
          <w:p>
            <w:pPr>
              <w:pStyle w:val="TableContents"/>
              <w:bidi w:val="0"/>
              <w:spacing w:before="0" w:after="283"/>
              <w:jc w:val="left"/>
              <w:rPr/>
            </w:pPr>
            <w:r>
              <w:rPr/>
              <w:t>Recitals</w:t>
            </w:r>
          </w:p>
        </w:tc>
      </w:tr>
      <w:tr>
        <w:trPr/>
        <w:tc>
          <w:tcPr>
            <w:tcW w:w="4205" w:type="dxa"/>
            <w:tcBorders/>
            <w:vAlign w:val="center"/>
          </w:tcPr>
          <w:p>
            <w:pPr>
              <w:pStyle w:val="TableContents"/>
              <w:bidi w:val="0"/>
              <w:spacing w:before="0" w:after="283"/>
              <w:jc w:val="left"/>
              <w:rPr/>
            </w:pPr>
            <w:r>
              <w:rPr/>
              <w:t>“</w:t>
            </w:r>
            <w:r>
              <w:rPr>
                <w:u w:val="single"/>
              </w:rPr>
              <w:t>Dissenting Shares</w:t>
            </w:r>
            <w:r>
              <w:rPr/>
              <w:t>”</w:t>
            </w:r>
          </w:p>
        </w:tc>
        <w:tc>
          <w:tcPr>
            <w:tcW w:w="1565" w:type="dxa"/>
            <w:tcBorders/>
            <w:vAlign w:val="center"/>
          </w:tcPr>
          <w:p>
            <w:pPr>
              <w:pStyle w:val="TableContents"/>
              <w:bidi w:val="0"/>
              <w:spacing w:before="0" w:after="283"/>
              <w:jc w:val="left"/>
              <w:rPr/>
            </w:pPr>
            <w:r>
              <w:rPr/>
              <w:t>Section 2.11(a)</w:t>
            </w:r>
          </w:p>
        </w:tc>
      </w:tr>
      <w:tr>
        <w:trPr/>
        <w:tc>
          <w:tcPr>
            <w:tcW w:w="4205" w:type="dxa"/>
            <w:tcBorders/>
            <w:vAlign w:val="center"/>
          </w:tcPr>
          <w:p>
            <w:pPr>
              <w:pStyle w:val="TableContents"/>
              <w:bidi w:val="0"/>
              <w:spacing w:before="0" w:after="283"/>
              <w:jc w:val="left"/>
              <w:rPr/>
            </w:pPr>
            <w:r>
              <w:rPr/>
              <w:t>“</w:t>
            </w:r>
            <w:r>
              <w:rPr>
                <w:u w:val="single"/>
              </w:rPr>
              <w:t>Effect</w:t>
            </w:r>
            <w:r>
              <w:rPr/>
              <w:t>”</w:t>
            </w:r>
          </w:p>
        </w:tc>
        <w:tc>
          <w:tcPr>
            <w:tcW w:w="1565" w:type="dxa"/>
            <w:tcBorders/>
            <w:vAlign w:val="center"/>
          </w:tcPr>
          <w:p>
            <w:pPr>
              <w:pStyle w:val="TableContents"/>
              <w:bidi w:val="0"/>
              <w:spacing w:before="0" w:after="283"/>
              <w:jc w:val="left"/>
              <w:rPr/>
            </w:pPr>
            <w:r>
              <w:rPr/>
              <w:t>Section 9.4</w:t>
            </w:r>
          </w:p>
        </w:tc>
      </w:tr>
      <w:tr>
        <w:trPr/>
        <w:tc>
          <w:tcPr>
            <w:tcW w:w="4205" w:type="dxa"/>
            <w:tcBorders/>
            <w:vAlign w:val="center"/>
          </w:tcPr>
          <w:p>
            <w:pPr>
              <w:pStyle w:val="TableContents"/>
              <w:bidi w:val="0"/>
              <w:spacing w:before="0" w:after="283"/>
              <w:jc w:val="left"/>
              <w:rPr/>
            </w:pPr>
            <w:r>
              <w:rPr/>
              <w:t>“</w:t>
            </w:r>
            <w:r>
              <w:rPr>
                <w:u w:val="single"/>
              </w:rPr>
              <w:t>Effective Time</w:t>
            </w:r>
            <w:r>
              <w:rPr/>
              <w:t>”</w:t>
            </w:r>
          </w:p>
        </w:tc>
        <w:tc>
          <w:tcPr>
            <w:tcW w:w="1565" w:type="dxa"/>
            <w:tcBorders/>
            <w:vAlign w:val="center"/>
          </w:tcPr>
          <w:p>
            <w:pPr>
              <w:pStyle w:val="TableContents"/>
              <w:bidi w:val="0"/>
              <w:spacing w:before="0" w:after="283"/>
              <w:jc w:val="left"/>
              <w:rPr/>
            </w:pPr>
            <w:r>
              <w:rPr/>
              <w:t>Section 1.2(b)</w:t>
            </w:r>
          </w:p>
        </w:tc>
      </w:tr>
      <w:tr>
        <w:trPr/>
        <w:tc>
          <w:tcPr>
            <w:tcW w:w="4205" w:type="dxa"/>
            <w:tcBorders/>
            <w:vAlign w:val="center"/>
          </w:tcPr>
          <w:p>
            <w:pPr>
              <w:pStyle w:val="TableContents"/>
              <w:bidi w:val="0"/>
              <w:spacing w:before="0" w:after="283"/>
              <w:jc w:val="left"/>
              <w:rPr/>
            </w:pPr>
            <w:r>
              <w:rPr/>
              <w:t>“</w:t>
            </w:r>
            <w:r>
              <w:rPr>
                <w:u w:val="single"/>
              </w:rPr>
              <w:t>Enforceability Limitations</w:t>
            </w:r>
            <w:r>
              <w:rPr/>
              <w:t>”</w:t>
            </w:r>
          </w:p>
        </w:tc>
        <w:tc>
          <w:tcPr>
            <w:tcW w:w="1565" w:type="dxa"/>
            <w:tcBorders/>
            <w:vAlign w:val="center"/>
          </w:tcPr>
          <w:p>
            <w:pPr>
              <w:pStyle w:val="TableContents"/>
              <w:bidi w:val="0"/>
              <w:spacing w:before="0" w:after="283"/>
              <w:jc w:val="left"/>
              <w:rPr/>
            </w:pPr>
            <w:r>
              <w:rPr/>
              <w:t>Section 3.3(a)</w:t>
            </w:r>
          </w:p>
        </w:tc>
      </w:tr>
      <w:tr>
        <w:trPr/>
        <w:tc>
          <w:tcPr>
            <w:tcW w:w="4205" w:type="dxa"/>
            <w:tcBorders/>
            <w:vAlign w:val="center"/>
          </w:tcPr>
          <w:p>
            <w:pPr>
              <w:pStyle w:val="TableContents"/>
              <w:bidi w:val="0"/>
              <w:spacing w:before="0" w:after="283"/>
              <w:jc w:val="left"/>
              <w:rPr/>
            </w:pPr>
            <w:r>
              <w:rPr/>
              <w:t>“</w:t>
            </w:r>
            <w:r>
              <w:rPr>
                <w:u w:val="single"/>
              </w:rPr>
              <w:t>Estimated Closing Statement</w:t>
            </w:r>
            <w:r>
              <w:rPr/>
              <w:t>”</w:t>
            </w:r>
          </w:p>
        </w:tc>
        <w:tc>
          <w:tcPr>
            <w:tcW w:w="1565" w:type="dxa"/>
            <w:tcBorders/>
            <w:vAlign w:val="center"/>
          </w:tcPr>
          <w:p>
            <w:pPr>
              <w:pStyle w:val="TableContents"/>
              <w:bidi w:val="0"/>
              <w:spacing w:before="0" w:after="283"/>
              <w:jc w:val="left"/>
              <w:rPr/>
            </w:pPr>
            <w:r>
              <w:rPr/>
              <w:t>Section 2.8</w:t>
            </w:r>
          </w:p>
        </w:tc>
      </w:tr>
      <w:tr>
        <w:trPr/>
        <w:tc>
          <w:tcPr>
            <w:tcW w:w="4205" w:type="dxa"/>
            <w:tcBorders/>
            <w:vAlign w:val="center"/>
          </w:tcPr>
          <w:p>
            <w:pPr>
              <w:pStyle w:val="TableContents"/>
              <w:bidi w:val="0"/>
              <w:spacing w:before="0" w:after="283"/>
              <w:jc w:val="left"/>
              <w:rPr/>
            </w:pPr>
            <w:r>
              <w:rPr/>
              <w:t>“</w:t>
            </w:r>
            <w:r>
              <w:rPr>
                <w:u w:val="single"/>
              </w:rPr>
              <w:t>Exchange Agent</w:t>
            </w:r>
            <w:r>
              <w:rPr/>
              <w:t>”</w:t>
            </w:r>
          </w:p>
        </w:tc>
        <w:tc>
          <w:tcPr>
            <w:tcW w:w="1565" w:type="dxa"/>
            <w:tcBorders/>
            <w:vAlign w:val="center"/>
          </w:tcPr>
          <w:p>
            <w:pPr>
              <w:pStyle w:val="TableContents"/>
              <w:bidi w:val="0"/>
              <w:spacing w:before="0" w:after="283"/>
              <w:jc w:val="left"/>
              <w:rPr/>
            </w:pPr>
            <w:r>
              <w:rPr/>
              <w:t>Section 2.2(a)</w:t>
            </w:r>
          </w:p>
        </w:tc>
      </w:tr>
      <w:tr>
        <w:trPr/>
        <w:tc>
          <w:tcPr>
            <w:tcW w:w="4205" w:type="dxa"/>
            <w:tcBorders/>
            <w:vAlign w:val="center"/>
          </w:tcPr>
          <w:p>
            <w:pPr>
              <w:pStyle w:val="TableContents"/>
              <w:bidi w:val="0"/>
              <w:spacing w:before="0" w:after="283"/>
              <w:jc w:val="left"/>
              <w:rPr/>
            </w:pPr>
            <w:r>
              <w:rPr/>
              <w:t>“</w:t>
            </w:r>
            <w:r>
              <w:rPr>
                <w:u w:val="single"/>
              </w:rPr>
              <w:t>Extended Outside Date</w:t>
            </w:r>
            <w:r>
              <w:rPr/>
              <w:t>”</w:t>
            </w:r>
          </w:p>
        </w:tc>
        <w:tc>
          <w:tcPr>
            <w:tcW w:w="1565" w:type="dxa"/>
            <w:tcBorders/>
            <w:vAlign w:val="center"/>
          </w:tcPr>
          <w:p>
            <w:pPr>
              <w:pStyle w:val="TableContents"/>
              <w:bidi w:val="0"/>
              <w:spacing w:before="0" w:after="283"/>
              <w:jc w:val="left"/>
              <w:rPr/>
            </w:pPr>
            <w:r>
              <w:rPr/>
              <w:t>Section 8.1(b)</w:t>
            </w:r>
          </w:p>
        </w:tc>
      </w:tr>
      <w:tr>
        <w:trPr/>
        <w:tc>
          <w:tcPr>
            <w:tcW w:w="4205" w:type="dxa"/>
            <w:tcBorders/>
            <w:vAlign w:val="center"/>
          </w:tcPr>
          <w:p>
            <w:pPr>
              <w:pStyle w:val="TableContents"/>
              <w:bidi w:val="0"/>
              <w:spacing w:before="0" w:after="283"/>
              <w:jc w:val="left"/>
              <w:rPr/>
            </w:pPr>
            <w:r>
              <w:rPr/>
              <w:t>“</w:t>
            </w:r>
            <w:r>
              <w:rPr>
                <w:u w:val="single"/>
              </w:rPr>
              <w:t>First Certificate of Merger</w:t>
            </w:r>
            <w:r>
              <w:rPr/>
              <w:t>”</w:t>
            </w:r>
          </w:p>
        </w:tc>
        <w:tc>
          <w:tcPr>
            <w:tcW w:w="1565" w:type="dxa"/>
            <w:tcBorders/>
            <w:vAlign w:val="center"/>
          </w:tcPr>
          <w:p>
            <w:pPr>
              <w:pStyle w:val="TableContents"/>
              <w:bidi w:val="0"/>
              <w:spacing w:before="0" w:after="283"/>
              <w:jc w:val="left"/>
              <w:rPr/>
            </w:pPr>
            <w:r>
              <w:rPr/>
              <w:t>Section 1.2(b)</w:t>
            </w:r>
          </w:p>
        </w:tc>
      </w:tr>
      <w:tr>
        <w:trPr/>
        <w:tc>
          <w:tcPr>
            <w:tcW w:w="4205" w:type="dxa"/>
            <w:tcBorders/>
            <w:vAlign w:val="center"/>
          </w:tcPr>
          <w:p>
            <w:pPr>
              <w:pStyle w:val="TableContents"/>
              <w:bidi w:val="0"/>
              <w:spacing w:before="0" w:after="283"/>
              <w:jc w:val="left"/>
              <w:rPr/>
            </w:pPr>
            <w:r>
              <w:rPr/>
              <w:t>“</w:t>
            </w:r>
            <w:r>
              <w:rPr>
                <w:u w:val="single"/>
              </w:rPr>
              <w:t>First Effective Time</w:t>
            </w:r>
            <w:r>
              <w:rPr/>
              <w:t>”</w:t>
            </w:r>
          </w:p>
        </w:tc>
        <w:tc>
          <w:tcPr>
            <w:tcW w:w="1565" w:type="dxa"/>
            <w:tcBorders/>
            <w:vAlign w:val="center"/>
          </w:tcPr>
          <w:p>
            <w:pPr>
              <w:pStyle w:val="TableContents"/>
              <w:bidi w:val="0"/>
              <w:spacing w:before="0" w:after="283"/>
              <w:jc w:val="left"/>
              <w:rPr/>
            </w:pPr>
            <w:r>
              <w:rPr/>
              <w:t>Section 1.2(b)</w:t>
            </w:r>
          </w:p>
        </w:tc>
      </w:tr>
      <w:tr>
        <w:trPr/>
        <w:tc>
          <w:tcPr>
            <w:tcW w:w="4205" w:type="dxa"/>
            <w:tcBorders/>
            <w:vAlign w:val="center"/>
          </w:tcPr>
          <w:p>
            <w:pPr>
              <w:pStyle w:val="TableContents"/>
              <w:bidi w:val="0"/>
              <w:spacing w:before="0" w:after="283"/>
              <w:jc w:val="left"/>
              <w:rPr/>
            </w:pPr>
            <w:r>
              <w:rPr/>
              <w:t>“</w:t>
            </w:r>
            <w:r>
              <w:rPr>
                <w:u w:val="single"/>
              </w:rPr>
              <w:t>First Merger</w:t>
            </w:r>
            <w:r>
              <w:rPr/>
              <w:t>”</w:t>
            </w:r>
          </w:p>
        </w:tc>
        <w:tc>
          <w:tcPr>
            <w:tcW w:w="1565" w:type="dxa"/>
            <w:tcBorders/>
            <w:vAlign w:val="center"/>
          </w:tcPr>
          <w:p>
            <w:pPr>
              <w:pStyle w:val="TableContents"/>
              <w:bidi w:val="0"/>
              <w:spacing w:before="0" w:after="283"/>
              <w:jc w:val="left"/>
              <w:rPr/>
            </w:pPr>
            <w:r>
              <w:rPr/>
              <w:t>Recitals</w:t>
            </w:r>
          </w:p>
        </w:tc>
      </w:tr>
      <w:tr>
        <w:trPr/>
        <w:tc>
          <w:tcPr>
            <w:tcW w:w="4205" w:type="dxa"/>
            <w:tcBorders/>
            <w:vAlign w:val="center"/>
          </w:tcPr>
          <w:p>
            <w:pPr>
              <w:pStyle w:val="TableContents"/>
              <w:bidi w:val="0"/>
              <w:spacing w:before="0" w:after="283"/>
              <w:jc w:val="left"/>
              <w:rPr/>
            </w:pPr>
            <w:r>
              <w:rPr/>
              <w:t>“</w:t>
            </w:r>
            <w:r>
              <w:rPr>
                <w:u w:val="single"/>
              </w:rPr>
              <w:t>First Surviving Corporation</w:t>
            </w:r>
            <w:r>
              <w:rPr/>
              <w:t>”</w:t>
            </w:r>
          </w:p>
        </w:tc>
        <w:tc>
          <w:tcPr>
            <w:tcW w:w="1565" w:type="dxa"/>
            <w:tcBorders/>
            <w:vAlign w:val="center"/>
          </w:tcPr>
          <w:p>
            <w:pPr>
              <w:pStyle w:val="TableContents"/>
              <w:bidi w:val="0"/>
              <w:spacing w:before="0" w:after="283"/>
              <w:jc w:val="left"/>
              <w:rPr/>
            </w:pPr>
            <w:r>
              <w:rPr/>
              <w:t>Recitals</w:t>
            </w:r>
          </w:p>
        </w:tc>
      </w:tr>
      <w:tr>
        <w:trPr/>
        <w:tc>
          <w:tcPr>
            <w:tcW w:w="4205" w:type="dxa"/>
            <w:tcBorders/>
            <w:vAlign w:val="center"/>
          </w:tcPr>
          <w:p>
            <w:pPr>
              <w:pStyle w:val="TableContents"/>
              <w:bidi w:val="0"/>
              <w:spacing w:before="0" w:after="283"/>
              <w:jc w:val="left"/>
              <w:rPr/>
            </w:pPr>
            <w:r>
              <w:rPr/>
              <w:t>“</w:t>
            </w:r>
            <w:r>
              <w:rPr>
                <w:u w:val="single"/>
              </w:rPr>
              <w:t>Houlihan Lokey</w:t>
            </w:r>
            <w:r>
              <w:rPr/>
              <w:t>”</w:t>
            </w:r>
          </w:p>
        </w:tc>
        <w:tc>
          <w:tcPr>
            <w:tcW w:w="1565" w:type="dxa"/>
            <w:tcBorders/>
            <w:vAlign w:val="center"/>
          </w:tcPr>
          <w:p>
            <w:pPr>
              <w:pStyle w:val="TableContents"/>
              <w:bidi w:val="0"/>
              <w:spacing w:before="0" w:after="283"/>
              <w:jc w:val="left"/>
              <w:rPr/>
            </w:pPr>
            <w:r>
              <w:rPr/>
              <w:t>Section 3.21</w:t>
            </w:r>
          </w:p>
        </w:tc>
      </w:tr>
      <w:tr>
        <w:trPr/>
        <w:tc>
          <w:tcPr>
            <w:tcW w:w="4205" w:type="dxa"/>
            <w:tcBorders/>
            <w:vAlign w:val="center"/>
          </w:tcPr>
          <w:p>
            <w:pPr>
              <w:pStyle w:val="TableContents"/>
              <w:bidi w:val="0"/>
              <w:spacing w:before="0" w:after="283"/>
              <w:jc w:val="left"/>
              <w:rPr/>
            </w:pPr>
            <w:r>
              <w:rPr/>
              <w:t>“</w:t>
            </w:r>
            <w:r>
              <w:rPr>
                <w:u w:val="single"/>
              </w:rPr>
              <w:t>Initial Outside Date</w:t>
            </w:r>
            <w:r>
              <w:rPr/>
              <w:t>”</w:t>
            </w:r>
          </w:p>
        </w:tc>
        <w:tc>
          <w:tcPr>
            <w:tcW w:w="1565" w:type="dxa"/>
            <w:tcBorders/>
            <w:vAlign w:val="center"/>
          </w:tcPr>
          <w:p>
            <w:pPr>
              <w:pStyle w:val="TableContents"/>
              <w:bidi w:val="0"/>
              <w:spacing w:before="0" w:after="283"/>
              <w:jc w:val="left"/>
              <w:rPr/>
            </w:pPr>
            <w:r>
              <w:rPr/>
              <w:t>Section 8.1(b)</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3920"/>
        <w:gridCol w:w="1685"/>
      </w:tblGrid>
      <w:tr>
        <w:trPr/>
        <w:tc>
          <w:tcPr>
            <w:tcW w:w="3920" w:type="dxa"/>
            <w:tcBorders/>
            <w:vAlign w:val="center"/>
          </w:tcPr>
          <w:p>
            <w:pPr>
              <w:pStyle w:val="TableContents"/>
              <w:bidi w:val="0"/>
              <w:spacing w:before="0" w:after="283"/>
              <w:jc w:val="left"/>
              <w:rPr/>
            </w:pPr>
            <w:r>
              <w:rPr/>
              <w:t>“</w:t>
            </w:r>
            <w:r>
              <w:rPr>
                <w:u w:val="single"/>
              </w:rPr>
              <w:t>Integration Planning Activities</w:t>
            </w:r>
            <w:r>
              <w:rPr/>
              <w:t>”</w:t>
            </w:r>
          </w:p>
        </w:tc>
        <w:tc>
          <w:tcPr>
            <w:tcW w:w="1685" w:type="dxa"/>
            <w:tcBorders/>
            <w:vAlign w:val="center"/>
          </w:tcPr>
          <w:p>
            <w:pPr>
              <w:pStyle w:val="TableContents"/>
              <w:bidi w:val="0"/>
              <w:spacing w:before="0" w:after="283"/>
              <w:jc w:val="left"/>
              <w:rPr/>
            </w:pPr>
            <w:r>
              <w:rPr/>
              <w:t>Section 6.14(a)</w:t>
            </w:r>
          </w:p>
        </w:tc>
      </w:tr>
      <w:tr>
        <w:trPr/>
        <w:tc>
          <w:tcPr>
            <w:tcW w:w="3920" w:type="dxa"/>
            <w:tcBorders/>
            <w:vAlign w:val="center"/>
          </w:tcPr>
          <w:p>
            <w:pPr>
              <w:pStyle w:val="TableContents"/>
              <w:bidi w:val="0"/>
              <w:spacing w:before="0" w:after="283"/>
              <w:jc w:val="left"/>
              <w:rPr/>
            </w:pPr>
            <w:r>
              <w:rPr/>
              <w:t>“</w:t>
            </w:r>
            <w:r>
              <w:rPr>
                <w:u w:val="single"/>
              </w:rPr>
              <w:t>Intended Tax Treatment</w:t>
            </w:r>
            <w:r>
              <w:rPr/>
              <w:t>”</w:t>
            </w:r>
          </w:p>
        </w:tc>
        <w:tc>
          <w:tcPr>
            <w:tcW w:w="1685" w:type="dxa"/>
            <w:tcBorders/>
            <w:vAlign w:val="center"/>
          </w:tcPr>
          <w:p>
            <w:pPr>
              <w:pStyle w:val="TableContents"/>
              <w:bidi w:val="0"/>
              <w:spacing w:before="0" w:after="283"/>
              <w:jc w:val="left"/>
              <w:rPr/>
            </w:pPr>
            <w:r>
              <w:rPr/>
              <w:t>Section 2.10</w:t>
            </w:r>
          </w:p>
        </w:tc>
      </w:tr>
      <w:tr>
        <w:trPr/>
        <w:tc>
          <w:tcPr>
            <w:tcW w:w="3920" w:type="dxa"/>
            <w:tcBorders/>
            <w:vAlign w:val="center"/>
          </w:tcPr>
          <w:p>
            <w:pPr>
              <w:pStyle w:val="TableContents"/>
              <w:bidi w:val="0"/>
              <w:spacing w:before="0" w:after="283"/>
              <w:jc w:val="left"/>
              <w:rPr/>
            </w:pPr>
            <w:r>
              <w:rPr/>
              <w:t>“</w:t>
            </w:r>
            <w:r>
              <w:rPr>
                <w:u w:val="single"/>
              </w:rPr>
              <w:t>Intermediate Sub</w:t>
            </w:r>
            <w:r>
              <w:rPr/>
              <w:t>”</w:t>
            </w:r>
          </w:p>
        </w:tc>
        <w:tc>
          <w:tcPr>
            <w:tcW w:w="1685" w:type="dxa"/>
            <w:tcBorders/>
            <w:vAlign w:val="center"/>
          </w:tcPr>
          <w:p>
            <w:pPr>
              <w:pStyle w:val="TableContents"/>
              <w:bidi w:val="0"/>
              <w:spacing w:before="0" w:after="283"/>
              <w:jc w:val="left"/>
              <w:rPr/>
            </w:pPr>
            <w:r>
              <w:rPr/>
              <w:t>Section 1.1(a)</w:t>
            </w:r>
          </w:p>
        </w:tc>
      </w:tr>
      <w:tr>
        <w:trPr/>
        <w:tc>
          <w:tcPr>
            <w:tcW w:w="3920" w:type="dxa"/>
            <w:tcBorders/>
            <w:vAlign w:val="center"/>
          </w:tcPr>
          <w:p>
            <w:pPr>
              <w:pStyle w:val="TableContents"/>
              <w:bidi w:val="0"/>
              <w:spacing w:before="0" w:after="283"/>
              <w:jc w:val="left"/>
              <w:rPr/>
            </w:pPr>
            <w:r>
              <w:rPr/>
              <w:t>“</w:t>
            </w:r>
            <w:r>
              <w:rPr>
                <w:u w:val="single"/>
              </w:rPr>
              <w:t>Israeli Employees</w:t>
            </w:r>
            <w:r>
              <w:rPr/>
              <w:t>”</w:t>
            </w:r>
          </w:p>
        </w:tc>
        <w:tc>
          <w:tcPr>
            <w:tcW w:w="1685" w:type="dxa"/>
            <w:tcBorders/>
            <w:vAlign w:val="center"/>
          </w:tcPr>
          <w:p>
            <w:pPr>
              <w:pStyle w:val="TableContents"/>
              <w:bidi w:val="0"/>
              <w:spacing w:before="0" w:after="283"/>
              <w:jc w:val="left"/>
              <w:rPr/>
            </w:pPr>
            <w:r>
              <w:rPr/>
              <w:t>Section 3.10(j)</w:t>
            </w:r>
          </w:p>
        </w:tc>
      </w:tr>
      <w:tr>
        <w:trPr/>
        <w:tc>
          <w:tcPr>
            <w:tcW w:w="3920" w:type="dxa"/>
            <w:tcBorders/>
            <w:vAlign w:val="center"/>
          </w:tcPr>
          <w:p>
            <w:pPr>
              <w:pStyle w:val="TableContents"/>
              <w:bidi w:val="0"/>
              <w:spacing w:before="0" w:after="283"/>
              <w:jc w:val="left"/>
              <w:rPr/>
            </w:pPr>
            <w:r>
              <w:rPr/>
              <w:t>“</w:t>
            </w:r>
            <w:r>
              <w:rPr>
                <w:u w:val="single"/>
              </w:rPr>
              <w:t>Legal Impediment</w:t>
            </w:r>
            <w:r>
              <w:rPr/>
              <w:t>”</w:t>
            </w:r>
          </w:p>
        </w:tc>
        <w:tc>
          <w:tcPr>
            <w:tcW w:w="1685" w:type="dxa"/>
            <w:tcBorders/>
            <w:vAlign w:val="center"/>
          </w:tcPr>
          <w:p>
            <w:pPr>
              <w:pStyle w:val="TableContents"/>
              <w:bidi w:val="0"/>
              <w:spacing w:before="0" w:after="283"/>
              <w:jc w:val="left"/>
              <w:rPr/>
            </w:pPr>
            <w:r>
              <w:rPr/>
              <w:t>Section 7.1(b)</w:t>
            </w:r>
          </w:p>
        </w:tc>
      </w:tr>
      <w:tr>
        <w:trPr/>
        <w:tc>
          <w:tcPr>
            <w:tcW w:w="3920" w:type="dxa"/>
            <w:tcBorders/>
            <w:vAlign w:val="center"/>
          </w:tcPr>
          <w:p>
            <w:pPr>
              <w:pStyle w:val="TableContents"/>
              <w:bidi w:val="0"/>
              <w:spacing w:before="0" w:after="283"/>
              <w:jc w:val="left"/>
              <w:rPr/>
            </w:pPr>
            <w:r>
              <w:rPr/>
              <w:t>“</w:t>
            </w:r>
            <w:r>
              <w:rPr>
                <w:u w:val="single"/>
              </w:rPr>
              <w:t>Mergers</w:t>
            </w:r>
            <w:r>
              <w:rPr/>
              <w:t>”</w:t>
            </w:r>
          </w:p>
        </w:tc>
        <w:tc>
          <w:tcPr>
            <w:tcW w:w="1685" w:type="dxa"/>
            <w:tcBorders/>
            <w:vAlign w:val="center"/>
          </w:tcPr>
          <w:p>
            <w:pPr>
              <w:pStyle w:val="TableContents"/>
              <w:bidi w:val="0"/>
              <w:spacing w:before="0" w:after="283"/>
              <w:jc w:val="left"/>
              <w:rPr/>
            </w:pPr>
            <w:r>
              <w:rPr/>
              <w:t>Recitals</w:t>
            </w:r>
          </w:p>
        </w:tc>
      </w:tr>
      <w:tr>
        <w:trPr/>
        <w:tc>
          <w:tcPr>
            <w:tcW w:w="3920" w:type="dxa"/>
            <w:tcBorders/>
            <w:vAlign w:val="center"/>
          </w:tcPr>
          <w:p>
            <w:pPr>
              <w:pStyle w:val="TableContents"/>
              <w:bidi w:val="0"/>
              <w:spacing w:before="0" w:after="283"/>
              <w:jc w:val="left"/>
              <w:rPr/>
            </w:pPr>
            <w:r>
              <w:rPr/>
              <w:t>“</w:t>
            </w:r>
            <w:r>
              <w:rPr>
                <w:u w:val="single"/>
              </w:rPr>
              <w:t>Merger Sub I</w:t>
            </w:r>
            <w:r>
              <w:rPr/>
              <w:t>”</w:t>
            </w:r>
          </w:p>
        </w:tc>
        <w:tc>
          <w:tcPr>
            <w:tcW w:w="1685" w:type="dxa"/>
            <w:tcBorders/>
            <w:vAlign w:val="center"/>
          </w:tcPr>
          <w:p>
            <w:pPr>
              <w:pStyle w:val="TableContents"/>
              <w:bidi w:val="0"/>
              <w:spacing w:before="0" w:after="283"/>
              <w:jc w:val="left"/>
              <w:rPr/>
            </w:pPr>
            <w:r>
              <w:rPr/>
              <w:t>Preamble</w:t>
            </w:r>
          </w:p>
        </w:tc>
      </w:tr>
      <w:tr>
        <w:trPr/>
        <w:tc>
          <w:tcPr>
            <w:tcW w:w="3920" w:type="dxa"/>
            <w:tcBorders/>
            <w:vAlign w:val="center"/>
          </w:tcPr>
          <w:p>
            <w:pPr>
              <w:pStyle w:val="TableContents"/>
              <w:bidi w:val="0"/>
              <w:spacing w:before="0" w:after="283"/>
              <w:jc w:val="left"/>
              <w:rPr/>
            </w:pPr>
            <w:r>
              <w:rPr/>
              <w:t>“</w:t>
            </w:r>
            <w:r>
              <w:rPr>
                <w:u w:val="single"/>
              </w:rPr>
              <w:t>Merger Sub I Merger Shares</w:t>
            </w:r>
            <w:r>
              <w:rPr/>
              <w:t>”</w:t>
            </w:r>
          </w:p>
        </w:tc>
        <w:tc>
          <w:tcPr>
            <w:tcW w:w="1685" w:type="dxa"/>
            <w:tcBorders/>
            <w:vAlign w:val="center"/>
          </w:tcPr>
          <w:p>
            <w:pPr>
              <w:pStyle w:val="TableContents"/>
              <w:bidi w:val="0"/>
              <w:spacing w:before="0" w:after="283"/>
              <w:jc w:val="left"/>
              <w:rPr/>
            </w:pPr>
            <w:r>
              <w:rPr/>
              <w:t>Section 2.1(a)(v)</w:t>
            </w:r>
          </w:p>
        </w:tc>
      </w:tr>
      <w:tr>
        <w:trPr/>
        <w:tc>
          <w:tcPr>
            <w:tcW w:w="3920" w:type="dxa"/>
            <w:tcBorders/>
            <w:vAlign w:val="center"/>
          </w:tcPr>
          <w:p>
            <w:pPr>
              <w:pStyle w:val="TableContents"/>
              <w:bidi w:val="0"/>
              <w:spacing w:before="0" w:after="283"/>
              <w:jc w:val="left"/>
              <w:rPr/>
            </w:pPr>
            <w:r>
              <w:rPr/>
              <w:t>“</w:t>
            </w:r>
            <w:r>
              <w:rPr>
                <w:u w:val="single"/>
              </w:rPr>
              <w:t>Merger Sub II</w:t>
            </w:r>
            <w:r>
              <w:rPr/>
              <w:t>”</w:t>
            </w:r>
          </w:p>
        </w:tc>
        <w:tc>
          <w:tcPr>
            <w:tcW w:w="1685" w:type="dxa"/>
            <w:tcBorders/>
            <w:vAlign w:val="center"/>
          </w:tcPr>
          <w:p>
            <w:pPr>
              <w:pStyle w:val="TableContents"/>
              <w:bidi w:val="0"/>
              <w:spacing w:before="0" w:after="283"/>
              <w:jc w:val="left"/>
              <w:rPr/>
            </w:pPr>
            <w:r>
              <w:rPr/>
              <w:t>Preamble</w:t>
            </w:r>
          </w:p>
        </w:tc>
      </w:tr>
      <w:tr>
        <w:trPr/>
        <w:tc>
          <w:tcPr>
            <w:tcW w:w="3920" w:type="dxa"/>
            <w:tcBorders/>
            <w:vAlign w:val="center"/>
          </w:tcPr>
          <w:p>
            <w:pPr>
              <w:pStyle w:val="TableContents"/>
              <w:bidi w:val="0"/>
              <w:spacing w:before="0" w:after="283"/>
              <w:jc w:val="left"/>
              <w:rPr/>
            </w:pPr>
            <w:r>
              <w:rPr/>
              <w:t>“</w:t>
            </w:r>
            <w:r>
              <w:rPr>
                <w:u w:val="single"/>
              </w:rPr>
              <w:t>Merger Subs</w:t>
            </w:r>
            <w:r>
              <w:rPr/>
              <w:t>”</w:t>
            </w:r>
          </w:p>
        </w:tc>
        <w:tc>
          <w:tcPr>
            <w:tcW w:w="1685" w:type="dxa"/>
            <w:tcBorders/>
            <w:vAlign w:val="center"/>
          </w:tcPr>
          <w:p>
            <w:pPr>
              <w:pStyle w:val="TableContents"/>
              <w:bidi w:val="0"/>
              <w:spacing w:before="0" w:after="283"/>
              <w:jc w:val="left"/>
              <w:rPr/>
            </w:pPr>
            <w:r>
              <w:rPr/>
              <w:t>Preamble</w:t>
            </w:r>
          </w:p>
        </w:tc>
      </w:tr>
      <w:tr>
        <w:trPr/>
        <w:tc>
          <w:tcPr>
            <w:tcW w:w="3920" w:type="dxa"/>
            <w:tcBorders/>
            <w:vAlign w:val="center"/>
          </w:tcPr>
          <w:p>
            <w:pPr>
              <w:pStyle w:val="TableContents"/>
              <w:bidi w:val="0"/>
              <w:spacing w:before="0" w:after="283"/>
              <w:jc w:val="left"/>
              <w:rPr/>
            </w:pPr>
            <w:r>
              <w:rPr/>
              <w:t>“</w:t>
            </w:r>
            <w:r>
              <w:rPr>
                <w:u w:val="single"/>
              </w:rPr>
              <w:t>New Plans</w:t>
            </w:r>
            <w:r>
              <w:rPr/>
              <w:t>”</w:t>
            </w:r>
          </w:p>
        </w:tc>
        <w:tc>
          <w:tcPr>
            <w:tcW w:w="1685" w:type="dxa"/>
            <w:tcBorders/>
            <w:vAlign w:val="center"/>
          </w:tcPr>
          <w:p>
            <w:pPr>
              <w:pStyle w:val="TableContents"/>
              <w:bidi w:val="0"/>
              <w:spacing w:before="0" w:after="283"/>
              <w:jc w:val="left"/>
              <w:rPr/>
            </w:pPr>
            <w:r>
              <w:rPr/>
              <w:t>Section 6.8(b)</w:t>
            </w:r>
          </w:p>
        </w:tc>
      </w:tr>
      <w:tr>
        <w:trPr/>
        <w:tc>
          <w:tcPr>
            <w:tcW w:w="3920" w:type="dxa"/>
            <w:tcBorders/>
            <w:vAlign w:val="center"/>
          </w:tcPr>
          <w:p>
            <w:pPr>
              <w:pStyle w:val="TableContents"/>
              <w:bidi w:val="0"/>
              <w:spacing w:before="0" w:after="283"/>
              <w:jc w:val="left"/>
              <w:rPr/>
            </w:pPr>
            <w:r>
              <w:rPr/>
              <w:t>“</w:t>
            </w:r>
            <w:r>
              <w:rPr>
                <w:u w:val="single"/>
              </w:rPr>
              <w:t>Non-U.S. Company Benefit Plan</w:t>
            </w:r>
            <w:r>
              <w:rPr/>
              <w:t>”</w:t>
            </w:r>
          </w:p>
        </w:tc>
        <w:tc>
          <w:tcPr>
            <w:tcW w:w="1685" w:type="dxa"/>
            <w:tcBorders/>
            <w:vAlign w:val="center"/>
          </w:tcPr>
          <w:p>
            <w:pPr>
              <w:pStyle w:val="TableContents"/>
              <w:bidi w:val="0"/>
              <w:spacing w:before="0" w:after="283"/>
              <w:jc w:val="left"/>
              <w:rPr/>
            </w:pPr>
            <w:r>
              <w:rPr/>
              <w:t>Section 3.9(a)</w:t>
            </w:r>
          </w:p>
        </w:tc>
      </w:tr>
      <w:tr>
        <w:trPr/>
        <w:tc>
          <w:tcPr>
            <w:tcW w:w="3920" w:type="dxa"/>
            <w:tcBorders/>
            <w:vAlign w:val="center"/>
          </w:tcPr>
          <w:p>
            <w:pPr>
              <w:pStyle w:val="TableContents"/>
              <w:bidi w:val="0"/>
              <w:spacing w:before="0" w:after="283"/>
              <w:jc w:val="left"/>
              <w:rPr/>
            </w:pPr>
            <w:r>
              <w:rPr/>
              <w:t>“</w:t>
            </w:r>
            <w:r>
              <w:rPr>
                <w:u w:val="single"/>
              </w:rPr>
              <w:t>Notes Restructuring Agreement</w:t>
            </w:r>
            <w:r>
              <w:rPr/>
              <w:t>”</w:t>
            </w:r>
          </w:p>
        </w:tc>
        <w:tc>
          <w:tcPr>
            <w:tcW w:w="1685" w:type="dxa"/>
            <w:tcBorders/>
            <w:vAlign w:val="center"/>
          </w:tcPr>
          <w:p>
            <w:pPr>
              <w:pStyle w:val="TableContents"/>
              <w:bidi w:val="0"/>
              <w:spacing w:before="0" w:after="283"/>
              <w:jc w:val="left"/>
              <w:rPr/>
            </w:pPr>
            <w:r>
              <w:rPr/>
              <w:t>Recitals</w:t>
            </w:r>
          </w:p>
        </w:tc>
      </w:tr>
      <w:tr>
        <w:trPr/>
        <w:tc>
          <w:tcPr>
            <w:tcW w:w="3920" w:type="dxa"/>
            <w:tcBorders/>
            <w:vAlign w:val="center"/>
          </w:tcPr>
          <w:p>
            <w:pPr>
              <w:pStyle w:val="TableContents"/>
              <w:bidi w:val="0"/>
              <w:spacing w:before="0" w:after="283"/>
              <w:jc w:val="left"/>
              <w:rPr/>
            </w:pPr>
            <w:r>
              <w:rPr/>
              <w:t>“</w:t>
            </w:r>
            <w:r>
              <w:rPr>
                <w:u w:val="single"/>
              </w:rPr>
              <w:t>Notes Restructuring Transactions</w:t>
            </w:r>
            <w:r>
              <w:rPr/>
              <w:t>”</w:t>
            </w:r>
          </w:p>
        </w:tc>
        <w:tc>
          <w:tcPr>
            <w:tcW w:w="1685" w:type="dxa"/>
            <w:tcBorders/>
            <w:vAlign w:val="center"/>
          </w:tcPr>
          <w:p>
            <w:pPr>
              <w:pStyle w:val="TableContents"/>
              <w:bidi w:val="0"/>
              <w:spacing w:before="0" w:after="283"/>
              <w:jc w:val="left"/>
              <w:rPr/>
            </w:pPr>
            <w:r>
              <w:rPr/>
              <w:t>Recitals</w:t>
            </w:r>
          </w:p>
        </w:tc>
      </w:tr>
      <w:tr>
        <w:trPr/>
        <w:tc>
          <w:tcPr>
            <w:tcW w:w="3920" w:type="dxa"/>
            <w:tcBorders/>
            <w:vAlign w:val="center"/>
          </w:tcPr>
          <w:p>
            <w:pPr>
              <w:pStyle w:val="TableContents"/>
              <w:bidi w:val="0"/>
              <w:spacing w:before="0" w:after="283"/>
              <w:jc w:val="left"/>
              <w:rPr/>
            </w:pPr>
            <w:r>
              <w:rPr/>
              <w:t>“</w:t>
            </w:r>
            <w:r>
              <w:rPr>
                <w:u w:val="single"/>
              </w:rPr>
              <w:t>OFAC</w:t>
            </w:r>
            <w:r>
              <w:rPr/>
              <w:t>”</w:t>
            </w:r>
          </w:p>
        </w:tc>
        <w:tc>
          <w:tcPr>
            <w:tcW w:w="1685" w:type="dxa"/>
            <w:tcBorders/>
            <w:vAlign w:val="center"/>
          </w:tcPr>
          <w:p>
            <w:pPr>
              <w:pStyle w:val="TableContents"/>
              <w:bidi w:val="0"/>
              <w:spacing w:before="0" w:after="283"/>
              <w:jc w:val="left"/>
              <w:rPr/>
            </w:pPr>
            <w:r>
              <w:rPr/>
              <w:t>Section 9.4</w:t>
            </w:r>
          </w:p>
        </w:tc>
      </w:tr>
      <w:tr>
        <w:trPr/>
        <w:tc>
          <w:tcPr>
            <w:tcW w:w="3920" w:type="dxa"/>
            <w:tcBorders/>
            <w:vAlign w:val="center"/>
          </w:tcPr>
          <w:p>
            <w:pPr>
              <w:pStyle w:val="TableContents"/>
              <w:bidi w:val="0"/>
              <w:spacing w:before="0" w:after="283"/>
              <w:jc w:val="left"/>
              <w:rPr/>
            </w:pPr>
            <w:r>
              <w:rPr/>
              <w:t>“</w:t>
            </w:r>
            <w:r>
              <w:rPr>
                <w:u w:val="single"/>
              </w:rPr>
              <w:t>Old Plans</w:t>
            </w:r>
            <w:r>
              <w:rPr/>
              <w:t>”</w:t>
            </w:r>
          </w:p>
        </w:tc>
        <w:tc>
          <w:tcPr>
            <w:tcW w:w="1685" w:type="dxa"/>
            <w:tcBorders/>
            <w:vAlign w:val="center"/>
          </w:tcPr>
          <w:p>
            <w:pPr>
              <w:pStyle w:val="TableContents"/>
              <w:bidi w:val="0"/>
              <w:spacing w:before="0" w:after="283"/>
              <w:jc w:val="left"/>
              <w:rPr/>
            </w:pPr>
            <w:r>
              <w:rPr/>
              <w:t>Section 6.8(b)</w:t>
            </w:r>
          </w:p>
        </w:tc>
      </w:tr>
      <w:tr>
        <w:trPr/>
        <w:tc>
          <w:tcPr>
            <w:tcW w:w="3920" w:type="dxa"/>
            <w:tcBorders/>
            <w:vAlign w:val="center"/>
          </w:tcPr>
          <w:p>
            <w:pPr>
              <w:pStyle w:val="TableContents"/>
              <w:bidi w:val="0"/>
              <w:spacing w:before="0" w:after="283"/>
              <w:jc w:val="left"/>
              <w:rPr/>
            </w:pPr>
            <w:r>
              <w:rPr/>
              <w:t>“</w:t>
            </w:r>
            <w:r>
              <w:rPr>
                <w:u w:val="single"/>
              </w:rPr>
              <w:t>Original Agreement</w:t>
            </w:r>
            <w:r>
              <w:rPr/>
              <w:t>”</w:t>
            </w:r>
          </w:p>
        </w:tc>
        <w:tc>
          <w:tcPr>
            <w:tcW w:w="1685" w:type="dxa"/>
            <w:tcBorders/>
            <w:vAlign w:val="center"/>
          </w:tcPr>
          <w:p>
            <w:pPr>
              <w:pStyle w:val="TableContents"/>
              <w:bidi w:val="0"/>
              <w:spacing w:before="0" w:after="283"/>
              <w:jc w:val="left"/>
              <w:rPr/>
            </w:pPr>
            <w:r>
              <w:rPr/>
              <w:t>Recitals</w:t>
            </w:r>
          </w:p>
        </w:tc>
      </w:tr>
      <w:tr>
        <w:trPr/>
        <w:tc>
          <w:tcPr>
            <w:tcW w:w="3920" w:type="dxa"/>
            <w:tcBorders/>
            <w:vAlign w:val="center"/>
          </w:tcPr>
          <w:p>
            <w:pPr>
              <w:pStyle w:val="TableContents"/>
              <w:bidi w:val="0"/>
              <w:spacing w:before="0" w:after="283"/>
              <w:jc w:val="left"/>
              <w:rPr/>
            </w:pPr>
            <w:r>
              <w:rPr/>
              <w:t>“</w:t>
            </w:r>
            <w:r>
              <w:rPr>
                <w:u w:val="single"/>
              </w:rPr>
              <w:t>Outside Date</w:t>
            </w:r>
            <w:r>
              <w:rPr/>
              <w:t>”</w:t>
            </w:r>
          </w:p>
        </w:tc>
        <w:tc>
          <w:tcPr>
            <w:tcW w:w="1685" w:type="dxa"/>
            <w:tcBorders/>
            <w:vAlign w:val="center"/>
          </w:tcPr>
          <w:p>
            <w:pPr>
              <w:pStyle w:val="TableContents"/>
              <w:bidi w:val="0"/>
              <w:spacing w:before="0" w:after="283"/>
              <w:jc w:val="left"/>
              <w:rPr/>
            </w:pPr>
            <w:r>
              <w:rPr/>
              <w:t>Section 8.1(b)</w:t>
            </w:r>
          </w:p>
        </w:tc>
      </w:tr>
      <w:tr>
        <w:trPr/>
        <w:tc>
          <w:tcPr>
            <w:tcW w:w="3920" w:type="dxa"/>
            <w:tcBorders/>
            <w:vAlign w:val="center"/>
          </w:tcPr>
          <w:p>
            <w:pPr>
              <w:pStyle w:val="TableContents"/>
              <w:bidi w:val="0"/>
              <w:spacing w:before="0" w:after="283"/>
              <w:jc w:val="left"/>
              <w:rPr/>
            </w:pPr>
            <w:r>
              <w:rPr/>
              <w:t>“</w:t>
            </w:r>
            <w:r>
              <w:rPr>
                <w:u w:val="single"/>
              </w:rPr>
              <w:t>Parent</w:t>
            </w:r>
            <w:r>
              <w:rPr/>
              <w:t>”</w:t>
            </w:r>
          </w:p>
        </w:tc>
        <w:tc>
          <w:tcPr>
            <w:tcW w:w="1685" w:type="dxa"/>
            <w:tcBorders/>
            <w:vAlign w:val="center"/>
          </w:tcPr>
          <w:p>
            <w:pPr>
              <w:pStyle w:val="TableContents"/>
              <w:bidi w:val="0"/>
              <w:spacing w:before="0" w:after="283"/>
              <w:jc w:val="left"/>
              <w:rPr/>
            </w:pPr>
            <w:r>
              <w:rPr/>
              <w:t>Preamble</w:t>
            </w:r>
          </w:p>
        </w:tc>
      </w:tr>
      <w:tr>
        <w:trPr/>
        <w:tc>
          <w:tcPr>
            <w:tcW w:w="3920" w:type="dxa"/>
            <w:tcBorders/>
            <w:vAlign w:val="center"/>
          </w:tcPr>
          <w:p>
            <w:pPr>
              <w:pStyle w:val="TableContents"/>
              <w:bidi w:val="0"/>
              <w:spacing w:before="0" w:after="283"/>
              <w:jc w:val="left"/>
              <w:rPr/>
            </w:pPr>
            <w:r>
              <w:rPr/>
              <w:t>“</w:t>
            </w:r>
            <w:r>
              <w:rPr>
                <w:u w:val="single"/>
              </w:rPr>
              <w:t>Parent Board</w:t>
            </w:r>
            <w:r>
              <w:rPr/>
              <w:t>”</w:t>
            </w:r>
          </w:p>
        </w:tc>
        <w:tc>
          <w:tcPr>
            <w:tcW w:w="1685" w:type="dxa"/>
            <w:tcBorders/>
            <w:vAlign w:val="center"/>
          </w:tcPr>
          <w:p>
            <w:pPr>
              <w:pStyle w:val="TableContents"/>
              <w:bidi w:val="0"/>
              <w:spacing w:before="0" w:after="283"/>
              <w:jc w:val="left"/>
              <w:rPr/>
            </w:pPr>
            <w:r>
              <w:rPr/>
              <w:t>Recitals</w:t>
            </w:r>
          </w:p>
        </w:tc>
      </w:tr>
      <w:tr>
        <w:trPr/>
        <w:tc>
          <w:tcPr>
            <w:tcW w:w="3920" w:type="dxa"/>
            <w:tcBorders/>
            <w:vAlign w:val="center"/>
          </w:tcPr>
          <w:p>
            <w:pPr>
              <w:pStyle w:val="TableContents"/>
              <w:bidi w:val="0"/>
              <w:spacing w:before="0" w:after="283"/>
              <w:jc w:val="left"/>
              <w:rPr/>
            </w:pPr>
            <w:r>
              <w:rPr/>
              <w:t>“</w:t>
            </w:r>
            <w:r>
              <w:rPr>
                <w:u w:val="single"/>
              </w:rPr>
              <w:t>Parent Financial Statements</w:t>
            </w:r>
            <w:r>
              <w:rPr/>
              <w:t>”</w:t>
            </w:r>
          </w:p>
        </w:tc>
        <w:tc>
          <w:tcPr>
            <w:tcW w:w="1685" w:type="dxa"/>
            <w:tcBorders/>
            <w:vAlign w:val="center"/>
          </w:tcPr>
          <w:p>
            <w:pPr>
              <w:pStyle w:val="TableContents"/>
              <w:bidi w:val="0"/>
              <w:spacing w:before="0" w:after="283"/>
              <w:jc w:val="left"/>
              <w:rPr/>
            </w:pPr>
            <w:r>
              <w:rPr/>
              <w:t>Section 4.5(c)</w:t>
            </w:r>
          </w:p>
        </w:tc>
      </w:tr>
      <w:tr>
        <w:trPr/>
        <w:tc>
          <w:tcPr>
            <w:tcW w:w="3920" w:type="dxa"/>
            <w:tcBorders/>
            <w:vAlign w:val="center"/>
          </w:tcPr>
          <w:p>
            <w:pPr>
              <w:pStyle w:val="TableContents"/>
              <w:bidi w:val="0"/>
              <w:spacing w:before="0" w:after="283"/>
              <w:jc w:val="left"/>
              <w:rPr/>
            </w:pPr>
            <w:r>
              <w:rPr/>
              <w:t>“</w:t>
            </w:r>
            <w:r>
              <w:rPr>
                <w:u w:val="single"/>
              </w:rPr>
              <w:t>Parent Parties</w:t>
            </w:r>
            <w:r>
              <w:rPr/>
              <w:t>”</w:t>
            </w:r>
          </w:p>
        </w:tc>
        <w:tc>
          <w:tcPr>
            <w:tcW w:w="1685" w:type="dxa"/>
            <w:tcBorders/>
            <w:vAlign w:val="center"/>
          </w:tcPr>
          <w:p>
            <w:pPr>
              <w:pStyle w:val="TableContents"/>
              <w:bidi w:val="0"/>
              <w:spacing w:before="0" w:after="283"/>
              <w:jc w:val="left"/>
              <w:rPr/>
            </w:pPr>
            <w:r>
              <w:rPr/>
              <w:t>Preamble</w:t>
            </w:r>
          </w:p>
        </w:tc>
      </w:tr>
      <w:tr>
        <w:trPr/>
        <w:tc>
          <w:tcPr>
            <w:tcW w:w="3920" w:type="dxa"/>
            <w:tcBorders/>
            <w:vAlign w:val="center"/>
          </w:tcPr>
          <w:p>
            <w:pPr>
              <w:pStyle w:val="TableContents"/>
              <w:bidi w:val="0"/>
              <w:spacing w:before="0" w:after="283"/>
              <w:jc w:val="left"/>
              <w:rPr/>
            </w:pPr>
            <w:r>
              <w:rPr/>
              <w:t>“</w:t>
            </w:r>
            <w:r>
              <w:rPr>
                <w:u w:val="single"/>
              </w:rPr>
              <w:t>Parent SEC Documents</w:t>
            </w:r>
            <w:r>
              <w:rPr/>
              <w:t>”</w:t>
            </w:r>
          </w:p>
        </w:tc>
        <w:tc>
          <w:tcPr>
            <w:tcW w:w="1685" w:type="dxa"/>
            <w:tcBorders/>
            <w:vAlign w:val="center"/>
          </w:tcPr>
          <w:p>
            <w:pPr>
              <w:pStyle w:val="TableContents"/>
              <w:bidi w:val="0"/>
              <w:spacing w:before="0" w:after="283"/>
              <w:jc w:val="left"/>
              <w:rPr/>
            </w:pPr>
            <w:r>
              <w:rPr/>
              <w:t>Section 4.5(a)</w:t>
            </w:r>
          </w:p>
        </w:tc>
      </w:tr>
      <w:tr>
        <w:trPr/>
        <w:tc>
          <w:tcPr>
            <w:tcW w:w="3920" w:type="dxa"/>
            <w:tcBorders/>
            <w:vAlign w:val="center"/>
          </w:tcPr>
          <w:p>
            <w:pPr>
              <w:pStyle w:val="TableContents"/>
              <w:bidi w:val="0"/>
              <w:spacing w:before="0" w:after="283"/>
              <w:jc w:val="left"/>
              <w:rPr/>
            </w:pPr>
            <w:r>
              <w:rPr/>
              <w:t>“</w:t>
            </w:r>
            <w:r>
              <w:rPr>
                <w:u w:val="single"/>
              </w:rPr>
              <w:t>Parent Subsidiary</w:t>
            </w:r>
            <w:r>
              <w:rPr/>
              <w:t>”</w:t>
            </w:r>
          </w:p>
        </w:tc>
        <w:tc>
          <w:tcPr>
            <w:tcW w:w="1685" w:type="dxa"/>
            <w:tcBorders/>
            <w:vAlign w:val="center"/>
          </w:tcPr>
          <w:p>
            <w:pPr>
              <w:pStyle w:val="TableContents"/>
              <w:bidi w:val="0"/>
              <w:spacing w:before="0" w:after="283"/>
              <w:jc w:val="left"/>
              <w:rPr/>
            </w:pPr>
            <w:r>
              <w:rPr/>
              <w:t>Section 2.1(a)(iii)</w:t>
            </w:r>
          </w:p>
        </w:tc>
      </w:tr>
      <w:tr>
        <w:trPr/>
        <w:tc>
          <w:tcPr>
            <w:tcW w:w="3920" w:type="dxa"/>
            <w:tcBorders/>
            <w:vAlign w:val="center"/>
          </w:tcPr>
          <w:p>
            <w:pPr>
              <w:pStyle w:val="TableContents"/>
              <w:bidi w:val="0"/>
              <w:spacing w:before="0" w:after="283"/>
              <w:jc w:val="left"/>
              <w:rPr/>
            </w:pPr>
            <w:r>
              <w:rPr/>
              <w:t>“</w:t>
            </w:r>
            <w:r>
              <w:rPr>
                <w:u w:val="single"/>
              </w:rPr>
              <w:t>Privacy Requirements</w:t>
            </w:r>
            <w:r>
              <w:rPr/>
              <w:t>”</w:t>
            </w:r>
          </w:p>
        </w:tc>
        <w:tc>
          <w:tcPr>
            <w:tcW w:w="1685" w:type="dxa"/>
            <w:tcBorders/>
            <w:vAlign w:val="center"/>
          </w:tcPr>
          <w:p>
            <w:pPr>
              <w:pStyle w:val="TableContents"/>
              <w:bidi w:val="0"/>
              <w:spacing w:before="0" w:after="283"/>
              <w:jc w:val="left"/>
              <w:rPr/>
            </w:pPr>
            <w:r>
              <w:rPr/>
              <w:t>Section 3.16(a)</w:t>
            </w:r>
          </w:p>
        </w:tc>
      </w:tr>
      <w:tr>
        <w:trPr/>
        <w:tc>
          <w:tcPr>
            <w:tcW w:w="3920" w:type="dxa"/>
            <w:tcBorders/>
            <w:vAlign w:val="center"/>
          </w:tcPr>
          <w:p>
            <w:pPr>
              <w:pStyle w:val="TableContents"/>
              <w:bidi w:val="0"/>
              <w:spacing w:before="0" w:after="283"/>
              <w:jc w:val="left"/>
              <w:rPr/>
            </w:pPr>
            <w:r>
              <w:rPr/>
              <w:t>“</w:t>
            </w:r>
            <w:r>
              <w:rPr>
                <w:u w:val="single"/>
              </w:rPr>
              <w:t>Proxy Statement/Prospectus</w:t>
            </w:r>
            <w:r>
              <w:rPr/>
              <w:t>”</w:t>
            </w:r>
          </w:p>
        </w:tc>
        <w:tc>
          <w:tcPr>
            <w:tcW w:w="1685" w:type="dxa"/>
            <w:tcBorders/>
            <w:vAlign w:val="center"/>
          </w:tcPr>
          <w:p>
            <w:pPr>
              <w:pStyle w:val="TableContents"/>
              <w:bidi w:val="0"/>
              <w:spacing w:before="0" w:after="283"/>
              <w:jc w:val="left"/>
              <w:rPr/>
            </w:pPr>
            <w:r>
              <w:rPr/>
              <w:t>Section 6.1(a)</w:t>
            </w:r>
          </w:p>
        </w:tc>
      </w:tr>
      <w:tr>
        <w:trPr/>
        <w:tc>
          <w:tcPr>
            <w:tcW w:w="3920" w:type="dxa"/>
            <w:tcBorders/>
            <w:vAlign w:val="center"/>
          </w:tcPr>
          <w:p>
            <w:pPr>
              <w:pStyle w:val="TableContents"/>
              <w:bidi w:val="0"/>
              <w:spacing w:before="0" w:after="283"/>
              <w:jc w:val="left"/>
              <w:rPr/>
            </w:pPr>
            <w:r>
              <w:rPr/>
              <w:t>“</w:t>
            </w:r>
            <w:r>
              <w:rPr>
                <w:u w:val="single"/>
              </w:rPr>
              <w:t>Registration Statement</w:t>
            </w:r>
            <w:r>
              <w:rPr/>
              <w:t>”</w:t>
            </w:r>
          </w:p>
        </w:tc>
        <w:tc>
          <w:tcPr>
            <w:tcW w:w="1685" w:type="dxa"/>
            <w:tcBorders/>
            <w:vAlign w:val="center"/>
          </w:tcPr>
          <w:p>
            <w:pPr>
              <w:pStyle w:val="TableContents"/>
              <w:bidi w:val="0"/>
              <w:spacing w:before="0" w:after="283"/>
              <w:jc w:val="left"/>
              <w:rPr/>
            </w:pPr>
            <w:r>
              <w:rPr/>
              <w:t>Section 6.1(a)</w:t>
            </w:r>
          </w:p>
        </w:tc>
      </w:tr>
      <w:tr>
        <w:trPr/>
        <w:tc>
          <w:tcPr>
            <w:tcW w:w="3920" w:type="dxa"/>
            <w:tcBorders/>
            <w:vAlign w:val="center"/>
          </w:tcPr>
          <w:p>
            <w:pPr>
              <w:pStyle w:val="TableContents"/>
              <w:bidi w:val="0"/>
              <w:spacing w:before="0" w:after="283"/>
              <w:jc w:val="left"/>
              <w:rPr/>
            </w:pPr>
            <w:r>
              <w:rPr/>
              <w:t>“</w:t>
            </w:r>
            <w:r>
              <w:rPr>
                <w:u w:val="single"/>
              </w:rPr>
              <w:t>Required Company Vote</w:t>
            </w:r>
            <w:r>
              <w:rPr/>
              <w:t>”</w:t>
            </w:r>
          </w:p>
        </w:tc>
        <w:tc>
          <w:tcPr>
            <w:tcW w:w="1685" w:type="dxa"/>
            <w:tcBorders/>
            <w:vAlign w:val="center"/>
          </w:tcPr>
          <w:p>
            <w:pPr>
              <w:pStyle w:val="TableContents"/>
              <w:bidi w:val="0"/>
              <w:spacing w:before="0" w:after="283"/>
              <w:jc w:val="left"/>
              <w:rPr/>
            </w:pPr>
            <w:r>
              <w:rPr/>
              <w:t>Section 3.3(a)</w:t>
            </w:r>
          </w:p>
        </w:tc>
      </w:tr>
      <w:tr>
        <w:trPr/>
        <w:tc>
          <w:tcPr>
            <w:tcW w:w="3920" w:type="dxa"/>
            <w:tcBorders/>
            <w:vAlign w:val="center"/>
          </w:tcPr>
          <w:p>
            <w:pPr>
              <w:pStyle w:val="TableContents"/>
              <w:bidi w:val="0"/>
              <w:spacing w:before="0" w:after="283"/>
              <w:jc w:val="left"/>
              <w:rPr/>
            </w:pPr>
            <w:r>
              <w:rPr/>
              <w:t>“</w:t>
            </w:r>
            <w:r>
              <w:rPr>
                <w:u w:val="single"/>
              </w:rPr>
              <w:t>Section 14 Arrangement</w:t>
            </w:r>
            <w:r>
              <w:rPr/>
              <w:t>”</w:t>
            </w:r>
          </w:p>
        </w:tc>
        <w:tc>
          <w:tcPr>
            <w:tcW w:w="1685" w:type="dxa"/>
            <w:tcBorders/>
            <w:vAlign w:val="center"/>
          </w:tcPr>
          <w:p>
            <w:pPr>
              <w:pStyle w:val="TableContents"/>
              <w:bidi w:val="0"/>
              <w:spacing w:before="0" w:after="283"/>
              <w:jc w:val="left"/>
              <w:rPr/>
            </w:pPr>
            <w:r>
              <w:rPr/>
              <w:t>Section 3.10(j)</w:t>
            </w:r>
          </w:p>
        </w:tc>
      </w:tr>
      <w:tr>
        <w:trPr/>
        <w:tc>
          <w:tcPr>
            <w:tcW w:w="3920" w:type="dxa"/>
            <w:tcBorders/>
            <w:vAlign w:val="center"/>
          </w:tcPr>
          <w:p>
            <w:pPr>
              <w:pStyle w:val="TableContents"/>
              <w:bidi w:val="0"/>
              <w:spacing w:before="0" w:after="283"/>
              <w:jc w:val="left"/>
              <w:rPr/>
            </w:pPr>
            <w:r>
              <w:rPr/>
              <w:t>“</w:t>
            </w:r>
            <w:r>
              <w:rPr>
                <w:u w:val="single"/>
              </w:rPr>
              <w:t>Second Certificate of Merger</w:t>
            </w:r>
            <w:r>
              <w:rPr/>
              <w:t>”</w:t>
            </w:r>
          </w:p>
        </w:tc>
        <w:tc>
          <w:tcPr>
            <w:tcW w:w="1685" w:type="dxa"/>
            <w:tcBorders/>
            <w:vAlign w:val="center"/>
          </w:tcPr>
          <w:p>
            <w:pPr>
              <w:pStyle w:val="TableContents"/>
              <w:bidi w:val="0"/>
              <w:spacing w:before="0" w:after="283"/>
              <w:jc w:val="left"/>
              <w:rPr/>
            </w:pPr>
            <w:r>
              <w:rPr/>
              <w:t>Section 1.2(b)</w:t>
            </w:r>
          </w:p>
        </w:tc>
      </w:tr>
      <w:tr>
        <w:trPr/>
        <w:tc>
          <w:tcPr>
            <w:tcW w:w="3920" w:type="dxa"/>
            <w:tcBorders/>
            <w:vAlign w:val="center"/>
          </w:tcPr>
          <w:p>
            <w:pPr>
              <w:pStyle w:val="TableContents"/>
              <w:bidi w:val="0"/>
              <w:spacing w:before="0" w:after="283"/>
              <w:jc w:val="left"/>
              <w:rPr/>
            </w:pPr>
            <w:r>
              <w:rPr/>
              <w:t>“</w:t>
            </w:r>
            <w:r>
              <w:rPr>
                <w:u w:val="single"/>
              </w:rPr>
              <w:t>Second Effective Time</w:t>
            </w:r>
            <w:r>
              <w:rPr/>
              <w:t>”</w:t>
            </w:r>
          </w:p>
        </w:tc>
        <w:tc>
          <w:tcPr>
            <w:tcW w:w="1685" w:type="dxa"/>
            <w:tcBorders/>
            <w:vAlign w:val="center"/>
          </w:tcPr>
          <w:p>
            <w:pPr>
              <w:pStyle w:val="TableContents"/>
              <w:bidi w:val="0"/>
              <w:spacing w:before="0" w:after="283"/>
              <w:jc w:val="left"/>
              <w:rPr/>
            </w:pPr>
            <w:r>
              <w:rPr/>
              <w:t>Section 1.2(b)</w:t>
            </w:r>
          </w:p>
        </w:tc>
      </w:tr>
      <w:tr>
        <w:trPr/>
        <w:tc>
          <w:tcPr>
            <w:tcW w:w="3920" w:type="dxa"/>
            <w:tcBorders/>
            <w:vAlign w:val="center"/>
          </w:tcPr>
          <w:p>
            <w:pPr>
              <w:pStyle w:val="TableContents"/>
              <w:bidi w:val="0"/>
              <w:spacing w:before="0" w:after="283"/>
              <w:jc w:val="left"/>
              <w:rPr/>
            </w:pPr>
            <w:r>
              <w:rPr/>
              <w:t>“</w:t>
            </w:r>
            <w:r>
              <w:rPr>
                <w:u w:val="single"/>
              </w:rPr>
              <w:t>Second Merger</w:t>
            </w:r>
            <w:r>
              <w:rPr/>
              <w:t>”</w:t>
            </w:r>
          </w:p>
        </w:tc>
        <w:tc>
          <w:tcPr>
            <w:tcW w:w="1685" w:type="dxa"/>
            <w:tcBorders/>
            <w:vAlign w:val="center"/>
          </w:tcPr>
          <w:p>
            <w:pPr>
              <w:pStyle w:val="TableContents"/>
              <w:bidi w:val="0"/>
              <w:spacing w:before="0" w:after="283"/>
              <w:jc w:val="left"/>
              <w:rPr/>
            </w:pPr>
            <w:r>
              <w:rPr/>
              <w:t>Recitals</w:t>
            </w:r>
          </w:p>
        </w:tc>
      </w:tr>
      <w:tr>
        <w:trPr/>
        <w:tc>
          <w:tcPr>
            <w:tcW w:w="3920" w:type="dxa"/>
            <w:tcBorders/>
            <w:vAlign w:val="center"/>
          </w:tcPr>
          <w:p>
            <w:pPr>
              <w:pStyle w:val="TableContents"/>
              <w:bidi w:val="0"/>
              <w:spacing w:before="0" w:after="283"/>
              <w:jc w:val="left"/>
              <w:rPr/>
            </w:pPr>
            <w:r>
              <w:rPr/>
              <w:t>“</w:t>
            </w:r>
            <w:r>
              <w:rPr>
                <w:u w:val="single"/>
              </w:rPr>
              <w:t>Surviving Corporation</w:t>
            </w:r>
            <w:r>
              <w:rPr/>
              <w:t>”</w:t>
            </w:r>
          </w:p>
        </w:tc>
        <w:tc>
          <w:tcPr>
            <w:tcW w:w="1685" w:type="dxa"/>
            <w:tcBorders/>
            <w:vAlign w:val="center"/>
          </w:tcPr>
          <w:p>
            <w:pPr>
              <w:pStyle w:val="TableContents"/>
              <w:bidi w:val="0"/>
              <w:spacing w:before="0" w:after="283"/>
              <w:jc w:val="left"/>
              <w:rPr/>
            </w:pPr>
            <w:r>
              <w:rPr/>
              <w:t>Recitals</w:t>
            </w:r>
          </w:p>
        </w:tc>
      </w:tr>
      <w:tr>
        <w:trPr/>
        <w:tc>
          <w:tcPr>
            <w:tcW w:w="3920" w:type="dxa"/>
            <w:tcBorders/>
            <w:vAlign w:val="center"/>
          </w:tcPr>
          <w:p>
            <w:pPr>
              <w:pStyle w:val="TableContents"/>
              <w:bidi w:val="0"/>
              <w:spacing w:before="0" w:after="283"/>
              <w:jc w:val="left"/>
              <w:rPr/>
            </w:pPr>
            <w:r>
              <w:rPr/>
              <w:t>“</w:t>
            </w:r>
            <w:r>
              <w:rPr>
                <w:u w:val="single"/>
              </w:rPr>
              <w:t>Takeover Statutes</w:t>
            </w:r>
            <w:r>
              <w:rPr/>
              <w:t>”</w:t>
            </w:r>
          </w:p>
        </w:tc>
        <w:tc>
          <w:tcPr>
            <w:tcW w:w="1685" w:type="dxa"/>
            <w:tcBorders/>
            <w:vAlign w:val="center"/>
          </w:tcPr>
          <w:p>
            <w:pPr>
              <w:pStyle w:val="TableContents"/>
              <w:bidi w:val="0"/>
              <w:spacing w:before="0" w:after="283"/>
              <w:jc w:val="left"/>
              <w:rPr/>
            </w:pPr>
            <w:r>
              <w:rPr/>
              <w:t>Section 3.23</w:t>
            </w:r>
          </w:p>
        </w:tc>
      </w:tr>
      <w:tr>
        <w:trPr/>
        <w:tc>
          <w:tcPr>
            <w:tcW w:w="3920" w:type="dxa"/>
            <w:tcBorders/>
            <w:vAlign w:val="center"/>
          </w:tcPr>
          <w:p>
            <w:pPr>
              <w:pStyle w:val="TableContents"/>
              <w:bidi w:val="0"/>
              <w:spacing w:before="0" w:after="283"/>
              <w:jc w:val="left"/>
              <w:rPr/>
            </w:pPr>
            <w:r>
              <w:rPr/>
              <w:t>“</w:t>
            </w:r>
            <w:r>
              <w:rPr>
                <w:u w:val="single"/>
              </w:rPr>
              <w:t>Tax Benefits Preservation Plan Waiver</w:t>
            </w:r>
            <w:r>
              <w:rPr/>
              <w:t>”</w:t>
            </w:r>
          </w:p>
        </w:tc>
        <w:tc>
          <w:tcPr>
            <w:tcW w:w="1685" w:type="dxa"/>
            <w:tcBorders/>
            <w:vAlign w:val="center"/>
          </w:tcPr>
          <w:p>
            <w:pPr>
              <w:pStyle w:val="TableContents"/>
              <w:bidi w:val="0"/>
              <w:spacing w:before="0" w:after="283"/>
              <w:jc w:val="left"/>
              <w:rPr/>
            </w:pPr>
            <w:r>
              <w:rPr/>
              <w:t>Section 3.3(b)</w:t>
            </w:r>
          </w:p>
        </w:tc>
      </w:tr>
      <w:tr>
        <w:trPr/>
        <w:tc>
          <w:tcPr>
            <w:tcW w:w="3920" w:type="dxa"/>
            <w:tcBorders/>
            <w:vAlign w:val="center"/>
          </w:tcPr>
          <w:p>
            <w:pPr>
              <w:pStyle w:val="TableContents"/>
              <w:bidi w:val="0"/>
              <w:spacing w:before="0" w:after="283"/>
              <w:jc w:val="left"/>
              <w:rPr/>
            </w:pPr>
            <w:r>
              <w:rPr/>
              <w:t>“</w:t>
            </w:r>
            <w:r>
              <w:rPr>
                <w:u w:val="single"/>
              </w:rPr>
              <w:t>Terminated Company 401(k) Plan</w:t>
            </w:r>
            <w:r>
              <w:rPr/>
              <w:t>”</w:t>
            </w:r>
          </w:p>
        </w:tc>
        <w:tc>
          <w:tcPr>
            <w:tcW w:w="1685" w:type="dxa"/>
            <w:tcBorders/>
            <w:vAlign w:val="center"/>
          </w:tcPr>
          <w:p>
            <w:pPr>
              <w:pStyle w:val="TableContents"/>
              <w:bidi w:val="0"/>
              <w:spacing w:before="0" w:after="283"/>
              <w:jc w:val="left"/>
              <w:rPr/>
            </w:pPr>
            <w:r>
              <w:rPr/>
              <w:t>Section 6.8(c)</w:t>
            </w:r>
          </w:p>
        </w:tc>
      </w:tr>
      <w:tr>
        <w:trPr/>
        <w:tc>
          <w:tcPr>
            <w:tcW w:w="3920" w:type="dxa"/>
            <w:tcBorders/>
            <w:vAlign w:val="center"/>
          </w:tcPr>
          <w:p>
            <w:pPr>
              <w:pStyle w:val="TableContents"/>
              <w:bidi w:val="0"/>
              <w:spacing w:before="0" w:after="283"/>
              <w:jc w:val="left"/>
              <w:rPr/>
            </w:pPr>
            <w:r>
              <w:rPr/>
              <w:t>“</w:t>
            </w:r>
            <w:r>
              <w:rPr>
                <w:u w:val="single"/>
              </w:rPr>
              <w:t>Trade Secrets</w:t>
            </w:r>
            <w:r>
              <w:rPr/>
              <w:t>”</w:t>
            </w:r>
          </w:p>
        </w:tc>
        <w:tc>
          <w:tcPr>
            <w:tcW w:w="1685" w:type="dxa"/>
            <w:tcBorders/>
            <w:vAlign w:val="center"/>
          </w:tcPr>
          <w:p>
            <w:pPr>
              <w:pStyle w:val="TableContents"/>
              <w:bidi w:val="0"/>
              <w:spacing w:before="0" w:after="283"/>
              <w:jc w:val="left"/>
              <w:rPr/>
            </w:pPr>
            <w:r>
              <w:rPr/>
              <w:t>Section 9.4</w:t>
            </w:r>
          </w:p>
        </w:tc>
      </w:tr>
      <w:tr>
        <w:trPr/>
        <w:tc>
          <w:tcPr>
            <w:tcW w:w="3920" w:type="dxa"/>
            <w:tcBorders/>
            <w:vAlign w:val="center"/>
          </w:tcPr>
          <w:p>
            <w:pPr>
              <w:pStyle w:val="TableContents"/>
              <w:bidi w:val="0"/>
              <w:spacing w:before="0" w:after="283"/>
              <w:jc w:val="left"/>
              <w:rPr/>
            </w:pPr>
            <w:r>
              <w:rPr/>
              <w:t>“</w:t>
            </w:r>
            <w:r>
              <w:rPr>
                <w:u w:val="single"/>
              </w:rPr>
              <w:t>WARN Act</w:t>
            </w:r>
            <w:r>
              <w:rPr/>
              <w:t>”</w:t>
            </w:r>
          </w:p>
        </w:tc>
        <w:tc>
          <w:tcPr>
            <w:tcW w:w="1685" w:type="dxa"/>
            <w:tcBorders/>
            <w:vAlign w:val="center"/>
          </w:tcPr>
          <w:p>
            <w:pPr>
              <w:pStyle w:val="TableContents"/>
              <w:bidi w:val="0"/>
              <w:spacing w:before="0" w:after="283"/>
              <w:jc w:val="left"/>
              <w:rPr/>
            </w:pPr>
            <w:r>
              <w:rPr/>
              <w:t>Section 3.10(f)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in this Agreement are for reference purposes only and shall not affect in any way the meaning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(including, for the avoidance of doubt, the Original Agreement) and, except as otherwise expressly provided herein or therein, are not intended to confer upon any other Person any rights or remedies hereunder or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9.10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This Agreement shall be binding upon and inure solely to the benefit of the parties and their respective successors and assigns, and, subject to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9.11 </w:t>
      </w:r>
      <w:r>
        <w:rPr>
          <w:rFonts w:ascii="Times New Roman;Times;Serif" w:hAnsi="Times New Roman;Times;Serif"/>
          <w:b w:val="false"/>
          <w:i w:val="false"/>
          <w:caps w:val="false"/>
          <w:smallCaps w:val="false"/>
          <w:sz w:val="20"/>
          <w:u w:val="single"/>
        </w:rPr>
        <w:t>Mutual Drafting; Interpretation</w:t>
      </w:r>
      <w:r>
        <w:rPr>
          <w:rFonts w:ascii="Times New Roman;Times;Serif" w:hAnsi="Times New Roman;Times;Serif"/>
          <w:b w:val="false"/>
          <w:i w:val="false"/>
          <w:caps w:val="false"/>
          <w:smallCaps w:val="false"/>
          <w:sz w:val="20"/>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of the Original Agreement and has been made available on a continuous basis by or on behalf the Company for review therein by Parent and the Parent Representatives since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9.12 </w:t>
      </w:r>
      <w:r>
        <w:rPr>
          <w:rFonts w:ascii="Times New Roman;Times;Serif" w:hAnsi="Times New Roman;Times;Serif"/>
          <w:b w:val="false"/>
          <w:i w:val="false"/>
          <w:caps w:val="false"/>
          <w:smallCaps w:val="false"/>
          <w:sz w:val="20"/>
          <w:u w:val="single"/>
        </w:rPr>
        <w:t>Governing Law; Consent to Jurisdiction; Waiver of Trial by Jury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Nothing in this Agreement shall affect the right of any party to this Agreement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9.12(c)</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9.14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this being in addition to any other remedy to which they are entitled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9.15 </w:t>
      </w:r>
      <w:r>
        <w:rPr>
          <w:rFonts w:ascii="Times New Roman;Times;Serif" w:hAnsi="Times New Roman;Times;Serif"/>
          <w:b w:val="false"/>
          <w:i w:val="false"/>
          <w:caps w:val="false"/>
          <w:smallCaps w:val="false"/>
          <w:sz w:val="20"/>
          <w:u w:val="single"/>
        </w:rPr>
        <w:t>Modification or Amendment</w:t>
      </w:r>
      <w:r>
        <w:rPr>
          <w:rFonts w:ascii="Times New Roman;Times;Serif" w:hAnsi="Times New Roman;Times;Serif"/>
          <w:b w:val="false"/>
          <w:i w:val="false"/>
          <w:caps w:val="false"/>
          <w:smallCaps w:val="false"/>
          <w:sz w:val="20"/>
        </w:rPr>
        <w:t xml:space="preserve">. This Agreement may be amended, modified or supplemented by the parties by action taken or authorized by their respective Boards of Directors at any time prior to the First Effective Time, whether before or after Company has obtained the Required Company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9.16 </w:t>
      </w:r>
      <w:r>
        <w:rPr>
          <w:rFonts w:ascii="Times New Roman;Times;Serif" w:hAnsi="Times New Roman;Times;Serif"/>
          <w:b w:val="false"/>
          <w:i w:val="false"/>
          <w:caps w:val="false"/>
          <w:smallCaps w:val="false"/>
          <w:sz w:val="20"/>
          <w:u w:val="single"/>
        </w:rPr>
        <w:t>Extension; Waiver</w:t>
      </w:r>
      <w:r>
        <w:rPr>
          <w:rFonts w:ascii="Times New Roman;Times;Serif" w:hAnsi="Times New Roman;Times;Serif"/>
          <w:b w:val="false"/>
          <w:i w:val="false"/>
          <w:caps w:val="false"/>
          <w:smallCaps w:val="false"/>
          <w:sz w:val="20"/>
        </w:rPr>
        <w:t xml:space="preserve">. At any time prior to the First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Parent Parties and the Company have caused this Agreement to be executed as of the date first written above by their respective officers or managers thereunto duly authorized.</w:t>
      </w:r>
    </w:p>
    <w:p>
      <w:pPr>
        <w:pStyle w:val="TextBody"/>
        <w:bidi w:val="0"/>
        <w:spacing w:before="0" w:after="0"/>
        <w:ind w:left="0" w:right="0" w:firstLine="1440"/>
        <w:jc w:val="both"/>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75"/>
        <w:gridCol w:w="365"/>
        <w:gridCol w:w="710"/>
        <w:gridCol w:w="3635"/>
      </w:tblGrid>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b/>
              </w:rPr>
            </w:pPr>
            <w:r>
              <w:rPr>
                <w:b/>
                <w:u w:val="single"/>
              </w:rPr>
              <w:t>Parent</w:t>
            </w:r>
            <w:r>
              <w:rPr>
                <w:b/>
              </w:rPr>
              <w: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pPr>
            <w:r>
              <w:rPr/>
              <w:t>SOUNDHOUND AI,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45" w:type="dxa"/>
            <w:gridSpan w:val="2"/>
            <w:tcBorders>
              <w:bottom w:val="single" w:sz="12" w:space="0" w:color="000000"/>
            </w:tcBorders>
            <w:tcMar>
              <w:bottom w:w="28" w:type="dxa"/>
            </w:tcMar>
            <w:vAlign w:val="center"/>
          </w:tcPr>
          <w:p>
            <w:pPr>
              <w:pStyle w:val="TableContents"/>
              <w:bidi w:val="0"/>
              <w:spacing w:before="0" w:after="283"/>
              <w:jc w:val="left"/>
              <w:rPr/>
            </w:pPr>
            <w:r>
              <w:rPr/>
              <w:t>/s/ Keyvan Mohajer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Keyvan Mohajer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b/>
              </w:rPr>
            </w:pPr>
            <w:r>
              <w:rPr>
                <w:b/>
                <w:u w:val="single"/>
              </w:rPr>
              <w:t>Merger Sub I</w:t>
            </w:r>
            <w:r>
              <w:rPr>
                <w:b/>
              </w:rPr>
              <w: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pPr>
            <w:r>
              <w:rPr/>
              <w:t>LIGHTSPEED MERGER SUB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45" w:type="dxa"/>
            <w:gridSpan w:val="2"/>
            <w:tcBorders>
              <w:bottom w:val="single" w:sz="12" w:space="0" w:color="000000"/>
            </w:tcBorders>
            <w:tcMar>
              <w:bottom w:w="28" w:type="dxa"/>
            </w:tcMar>
            <w:vAlign w:val="center"/>
          </w:tcPr>
          <w:p>
            <w:pPr>
              <w:pStyle w:val="TableContents"/>
              <w:bidi w:val="0"/>
              <w:spacing w:before="0" w:after="283"/>
              <w:jc w:val="left"/>
              <w:rPr/>
            </w:pPr>
            <w:r>
              <w:rPr/>
              <w:t>/s/ Keyvan Mohajer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3635" w:type="dxa"/>
            <w:tcBorders/>
            <w:vAlign w:val="center"/>
          </w:tcPr>
          <w:p>
            <w:pPr>
              <w:pStyle w:val="TableContents"/>
              <w:bidi w:val="0"/>
              <w:spacing w:before="0" w:after="283"/>
              <w:jc w:val="left"/>
              <w:rPr/>
            </w:pPr>
            <w:r>
              <w:rPr/>
              <w:t>Keyvan Mohajer</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b/>
              </w:rPr>
            </w:pPr>
            <w:r>
              <w:rPr>
                <w:b/>
                <w:u w:val="single"/>
              </w:rPr>
              <w:t>Merger Sub II</w:t>
            </w:r>
            <w:r>
              <w:rPr>
                <w:b/>
              </w:rPr>
              <w: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pPr>
            <w:r>
              <w:rPr/>
              <w:t>LIGHTSPEED MERGER SUB II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45" w:type="dxa"/>
            <w:gridSpan w:val="2"/>
            <w:tcBorders>
              <w:bottom w:val="single" w:sz="12" w:space="0" w:color="000000"/>
            </w:tcBorders>
            <w:tcMar>
              <w:bottom w:w="28" w:type="dxa"/>
            </w:tcMar>
            <w:vAlign w:val="center"/>
          </w:tcPr>
          <w:p>
            <w:pPr>
              <w:pStyle w:val="TableContents"/>
              <w:bidi w:val="0"/>
              <w:spacing w:before="0" w:after="283"/>
              <w:jc w:val="left"/>
              <w:rPr/>
            </w:pPr>
            <w:r>
              <w:rPr/>
              <w:t>/s/ Keyvan Mohajer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Keyvan Mohajer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jc w:val="center"/>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ind w:left="0" w:right="0" w:hanging="0"/>
        <w:jc w:val="center"/>
        <w:rPr/>
      </w:pPr>
      <w:r>
        <w:rPr/>
        <w:t> </w:t>
      </w:r>
    </w:p>
    <w:tbl>
      <w:tblPr>
        <w:tblW w:w="6225" w:type="dxa"/>
        <w:jc w:val="left"/>
        <w:tblInd w:w="0" w:type="dxa"/>
        <w:tblLayout w:type="fixed"/>
        <w:tblCellMar>
          <w:top w:w="0" w:type="dxa"/>
          <w:left w:w="0" w:type="dxa"/>
          <w:bottom w:w="0" w:type="dxa"/>
          <w:right w:w="0" w:type="dxa"/>
        </w:tblCellMar>
      </w:tblPr>
      <w:tblGrid>
        <w:gridCol w:w="75"/>
        <w:gridCol w:w="485"/>
        <w:gridCol w:w="710"/>
        <w:gridCol w:w="4955"/>
      </w:tblGrid>
      <w:tr>
        <w:trPr/>
        <w:tc>
          <w:tcPr>
            <w:tcW w:w="75" w:type="dxa"/>
            <w:tcBorders/>
            <w:vAlign w:val="center"/>
          </w:tcPr>
          <w:p>
            <w:pPr>
              <w:pStyle w:val="TableContents"/>
              <w:bidi w:val="0"/>
              <w:spacing w:before="0" w:after="283"/>
              <w:jc w:val="left"/>
              <w:rPr/>
            </w:pPr>
            <w:r>
              <w:rPr/>
              <w:t> </w:t>
            </w:r>
          </w:p>
        </w:tc>
        <w:tc>
          <w:tcPr>
            <w:tcW w:w="6150" w:type="dxa"/>
            <w:gridSpan w:val="3"/>
            <w:tcBorders/>
            <w:vAlign w:val="center"/>
          </w:tcPr>
          <w:p>
            <w:pPr>
              <w:pStyle w:val="TableContents"/>
              <w:bidi w:val="0"/>
              <w:spacing w:before="0" w:after="283"/>
              <w:jc w:val="left"/>
              <w:rPr>
                <w:b/>
              </w:rPr>
            </w:pPr>
            <w:r>
              <w:rPr>
                <w:b/>
                <w:u w:val="single"/>
              </w:rPr>
              <w:t>The Company</w:t>
            </w:r>
            <w:r>
              <w:rPr>
                <w:b/>
              </w:rPr>
              <w:t>:</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50" w:type="dxa"/>
            <w:gridSpan w:val="3"/>
            <w:tcBorders/>
            <w:vAlign w:val="center"/>
          </w:tcPr>
          <w:p>
            <w:pPr>
              <w:pStyle w:val="TableContents"/>
              <w:bidi w:val="0"/>
              <w:spacing w:before="0" w:after="283"/>
              <w:jc w:val="left"/>
              <w:rPr/>
            </w:pPr>
            <w:r>
              <w:rPr/>
              <w:t>LIVEPERSON,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xml:space="preserve">By:  </w:t>
            </w:r>
          </w:p>
        </w:tc>
        <w:tc>
          <w:tcPr>
            <w:tcW w:w="5665" w:type="dxa"/>
            <w:gridSpan w:val="2"/>
            <w:tcBorders>
              <w:bottom w:val="single" w:sz="12" w:space="0" w:color="000000"/>
            </w:tcBorders>
            <w:tcMar>
              <w:bottom w:w="28" w:type="dxa"/>
            </w:tcMar>
            <w:vAlign w:val="center"/>
          </w:tcPr>
          <w:p>
            <w:pPr>
              <w:pStyle w:val="TableContents"/>
              <w:bidi w:val="0"/>
              <w:spacing w:before="0" w:after="283"/>
              <w:jc w:val="left"/>
              <w:rPr/>
            </w:pPr>
            <w:r>
              <w:rPr/>
              <w:t>/s/ John Collins</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955" w:type="dxa"/>
            <w:tcBorders/>
            <w:vAlign w:val="center"/>
          </w:tcPr>
          <w:p>
            <w:pPr>
              <w:pStyle w:val="TableContents"/>
              <w:bidi w:val="0"/>
              <w:spacing w:before="0" w:after="283"/>
              <w:jc w:val="left"/>
              <w:rPr/>
            </w:pPr>
            <w:r>
              <w:rPr/>
              <w:t>John Collins</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955" w:type="dxa"/>
            <w:tcBorders/>
            <w:vAlign w:val="center"/>
          </w:tcPr>
          <w:p>
            <w:pPr>
              <w:pStyle w:val="TableContents"/>
              <w:bidi w:val="0"/>
              <w:spacing w:before="0" w:after="283"/>
              <w:jc w:val="left"/>
              <w:rPr/>
            </w:pPr>
            <w:r>
              <w:rPr/>
              <w:t>Chief Financial Officer and Chief Operating Officer</w:t>
            </w:r>
          </w:p>
        </w:tc>
      </w:tr>
    </w:tbl>
    <w:p>
      <w:pPr>
        <w:pStyle w:val="TextBody"/>
        <w:bidi w:val="0"/>
        <w:jc w:val="center"/>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58441</Words>
  <Characters>317303</Characters>
  <CharactersWithSpaces>375339</CharactersWithSpaces>
  <Paragraphs>2109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