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64052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640524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793"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MARCUS LAWRENCE</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2105 WOODSIDE 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SOUNDHOUND AI,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SOUN</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03/24/2023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94"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793"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Times New Roman" w:cs="Times New Roman" w:eastAsia="Times New Roman" w:hAnsi="Times New Roman"/>
                <w:sz w:val="17"/>
                <w:szCs w:val="17"/>
                <w:color w:val="0000FF"/>
              </w:rPr>
              <w:t>WOODSIDE</w:t>
            </w:r>
          </w:p>
        </w:tc>
        <w:tc>
          <w:tcPr>
            <w:tcW w:w="96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94062</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793"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00" w:type="dxa"/>
            <w:vAlign w:val="bottom"/>
            <w:gridSpan w:val="2"/>
          </w:tcPr>
          <w:p>
            <w:pPr>
              <w:ind w:left="40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00"/>
              <w:spacing w:after="0" w:line="133"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00" w:type="dxa"/>
            <w:vAlign w:val="bottom"/>
            <w:gridSpan w:val="2"/>
          </w:tcPr>
          <w:p>
            <w:pPr>
              <w:ind w:left="4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tcBorders>
              <w:bottom w:val="single" w:sz="8" w:color="2C2C2C"/>
            </w:tcBorders>
            <w:gridSpan w:val="2"/>
          </w:tcPr>
          <w:p>
            <w:pPr>
              <w:jc w:val="right"/>
              <w:ind w:right="160"/>
              <w:spacing w:after="0"/>
              <w:rPr>
                <w:sz w:val="20"/>
                <w:szCs w:val="20"/>
                <w:color w:val="auto"/>
              </w:rPr>
            </w:pPr>
            <w:r>
              <w:rPr>
                <w:rFonts w:ascii="Times New Roman" w:cs="Times New Roman" w:eastAsia="Times New Roman" w:hAnsi="Times New Roman"/>
                <w:sz w:val="17"/>
                <w:szCs w:val="17"/>
                <w:color w:val="0000FF"/>
              </w:rPr>
              <w:t>03/23/2023</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3"/>
                <w:szCs w:val="13"/>
                <w:color w:val="0000FF"/>
              </w:rPr>
              <w:t>S</w:t>
            </w:r>
          </w:p>
        </w:tc>
        <w:tc>
          <w:tcPr>
            <w:tcW w:w="760" w:type="dxa"/>
            <w:vAlign w:val="bottom"/>
            <w:tcBorders>
              <w:bottom w:val="single" w:sz="8" w:color="2C2C2C"/>
            </w:tcBorders>
          </w:tcPr>
          <w:p>
            <w:pPr>
              <w:jc w:val="right"/>
              <w:ind w:right="110"/>
              <w:spacing w:after="0"/>
              <w:rPr>
                <w:sz w:val="20"/>
                <w:szCs w:val="20"/>
                <w:color w:val="auto"/>
              </w:rPr>
            </w:pPr>
            <w:r>
              <w:rPr>
                <w:rFonts w:ascii="Times New Roman" w:cs="Times New Roman" w:eastAsia="Times New Roman" w:hAnsi="Times New Roman"/>
                <w:sz w:val="17"/>
                <w:szCs w:val="17"/>
                <w:color w:val="0000FF"/>
              </w:rPr>
              <w:t>26,095</w:t>
            </w:r>
          </w:p>
        </w:tc>
        <w:tc>
          <w:tcPr>
            <w:tcW w:w="44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tcBorders>
              <w:bottom w:val="single" w:sz="8" w:color="2C2C2C"/>
            </w:tcBorders>
            <w:gridSpan w:val="3"/>
          </w:tcPr>
          <w:p>
            <w:pPr>
              <w:ind w:left="10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2.0065</w:t>
            </w:r>
            <w:r>
              <w:rPr>
                <w:rFonts w:ascii="Times New Roman" w:cs="Times New Roman" w:eastAsia="Times New Roman" w:hAnsi="Times New Roman"/>
                <w:sz w:val="22"/>
                <w:szCs w:val="22"/>
                <w:color w:val="008000"/>
                <w:vertAlign w:val="superscript"/>
              </w:rPr>
              <w:t>(1)</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77,337</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Marcus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64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7"/>
                <w:szCs w:val="17"/>
                <w:color w:val="0000FF"/>
              </w:rPr>
              <w:t>03/23/2023</w:t>
            </w: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vMerge w:val="restart"/>
          </w:tcPr>
          <w:p>
            <w:pPr>
              <w:ind w:left="140"/>
              <w:spacing w:after="0"/>
              <w:rPr>
                <w:sz w:val="20"/>
                <w:szCs w:val="20"/>
                <w:color w:val="auto"/>
              </w:rPr>
            </w:pPr>
            <w:r>
              <w:rPr>
                <w:rFonts w:ascii="Times New Roman" w:cs="Times New Roman" w:eastAsia="Times New Roman" w:hAnsi="Times New Roman"/>
                <w:sz w:val="13"/>
                <w:szCs w:val="13"/>
                <w:color w:val="0000FF"/>
              </w:rPr>
              <w:t>S</w:t>
            </w:r>
          </w:p>
        </w:tc>
        <w:tc>
          <w:tcPr>
            <w:tcW w:w="760" w:type="dxa"/>
            <w:vAlign w:val="bottom"/>
            <w:vMerge w:val="restart"/>
          </w:tcPr>
          <w:p>
            <w:pPr>
              <w:jc w:val="right"/>
              <w:ind w:right="110"/>
              <w:spacing w:after="0"/>
              <w:rPr>
                <w:sz w:val="20"/>
                <w:szCs w:val="20"/>
                <w:color w:val="auto"/>
              </w:rPr>
            </w:pPr>
            <w:r>
              <w:rPr>
                <w:rFonts w:ascii="Times New Roman" w:cs="Times New Roman" w:eastAsia="Times New Roman" w:hAnsi="Times New Roman"/>
                <w:sz w:val="17"/>
                <w:szCs w:val="17"/>
                <w:color w:val="0000FF"/>
              </w:rPr>
              <w:t>48,905</w:t>
            </w:r>
          </w:p>
        </w:tc>
        <w:tc>
          <w:tcPr>
            <w:tcW w:w="4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gridSpan w:val="3"/>
            <w:vMerge w:val="restart"/>
          </w:tcPr>
          <w:p>
            <w:pPr>
              <w:ind w:left="10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1.9485</w:t>
            </w:r>
            <w:r>
              <w:rPr>
                <w:rFonts w:ascii="Times New Roman" w:cs="Times New Roman" w:eastAsia="Times New Roman" w:hAnsi="Times New Roman"/>
                <w:sz w:val="22"/>
                <w:szCs w:val="22"/>
                <w:color w:val="008000"/>
                <w:vertAlign w:val="superscript"/>
              </w:rPr>
              <w:t>(2)</w:t>
            </w:r>
          </w:p>
        </w:tc>
        <w:tc>
          <w:tcPr>
            <w:tcW w:w="12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870,846</w:t>
            </w:r>
          </w:p>
        </w:tc>
        <w:tc>
          <w:tcPr>
            <w:tcW w:w="9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Family</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3"/>
            <w:vMerge w:val="continue"/>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440" w:type="dxa"/>
            <w:vAlign w:val="bottom"/>
            <w:vMerge w:val="continue"/>
          </w:tcPr>
          <w:p>
            <w:pPr>
              <w:spacing w:after="0"/>
              <w:rPr>
                <w:sz w:val="15"/>
                <w:szCs w:val="15"/>
                <w:color w:val="auto"/>
              </w:rPr>
            </w:pPr>
          </w:p>
        </w:tc>
        <w:tc>
          <w:tcPr>
            <w:tcW w:w="860" w:type="dxa"/>
            <w:vAlign w:val="bottom"/>
            <w:gridSpan w:val="3"/>
            <w:vMerge w:val="continue"/>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920" w:type="dxa"/>
            <w:vAlign w:val="bottom"/>
            <w:vMerge w:val="continue"/>
          </w:tcPr>
          <w:p>
            <w:pPr>
              <w:spacing w:after="0"/>
              <w:rPr>
                <w:sz w:val="15"/>
                <w:szCs w:val="15"/>
                <w:color w:val="auto"/>
              </w:rPr>
            </w:pPr>
          </w:p>
        </w:tc>
        <w:tc>
          <w:tcPr>
            <w:tcW w:w="82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Trust,</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Dated</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20"/>
                <w:szCs w:val="20"/>
                <w:color w:val="auto"/>
              </w:rPr>
            </w:pPr>
            <w:r>
              <w:rPr>
                <w:rFonts w:ascii="Times New Roman" w:cs="Times New Roman" w:eastAsia="Times New Roman" w:hAnsi="Times New Roman"/>
                <w:sz w:val="17"/>
                <w:szCs w:val="17"/>
                <w:color w:val="0000FF"/>
              </w:rPr>
              <w:t>7/8/04</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Marcus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64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7"/>
                <w:szCs w:val="17"/>
                <w:color w:val="0000FF"/>
              </w:rPr>
              <w:t>03/24/2023</w:t>
            </w: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vMerge w:val="restart"/>
          </w:tcPr>
          <w:p>
            <w:pPr>
              <w:ind w:left="140"/>
              <w:spacing w:after="0"/>
              <w:rPr>
                <w:sz w:val="20"/>
                <w:szCs w:val="20"/>
                <w:color w:val="auto"/>
              </w:rPr>
            </w:pPr>
            <w:r>
              <w:rPr>
                <w:rFonts w:ascii="Times New Roman" w:cs="Times New Roman" w:eastAsia="Times New Roman" w:hAnsi="Times New Roman"/>
                <w:sz w:val="13"/>
                <w:szCs w:val="13"/>
                <w:color w:val="0000FF"/>
              </w:rPr>
              <w:t>S</w:t>
            </w:r>
          </w:p>
        </w:tc>
        <w:tc>
          <w:tcPr>
            <w:tcW w:w="760" w:type="dxa"/>
            <w:vAlign w:val="bottom"/>
            <w:vMerge w:val="restart"/>
          </w:tcPr>
          <w:p>
            <w:pPr>
              <w:jc w:val="right"/>
              <w:ind w:right="110"/>
              <w:spacing w:after="0"/>
              <w:rPr>
                <w:sz w:val="20"/>
                <w:szCs w:val="20"/>
                <w:color w:val="auto"/>
              </w:rPr>
            </w:pPr>
            <w:r>
              <w:rPr>
                <w:rFonts w:ascii="Times New Roman" w:cs="Times New Roman" w:eastAsia="Times New Roman" w:hAnsi="Times New Roman"/>
                <w:sz w:val="17"/>
                <w:szCs w:val="17"/>
                <w:color w:val="0000FF"/>
              </w:rPr>
              <w:t>75,000</w:t>
            </w:r>
          </w:p>
        </w:tc>
        <w:tc>
          <w:tcPr>
            <w:tcW w:w="44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gridSpan w:val="3"/>
            <w:vMerge w:val="restart"/>
          </w:tcPr>
          <w:p>
            <w:pPr>
              <w:ind w:left="10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2.0154</w:t>
            </w:r>
            <w:r>
              <w:rPr>
                <w:rFonts w:ascii="Times New Roman" w:cs="Times New Roman" w:eastAsia="Times New Roman" w:hAnsi="Times New Roman"/>
                <w:sz w:val="22"/>
                <w:szCs w:val="22"/>
                <w:color w:val="008000"/>
                <w:vertAlign w:val="superscript"/>
              </w:rPr>
              <w:t>(3)</w:t>
            </w:r>
          </w:p>
        </w:tc>
        <w:tc>
          <w:tcPr>
            <w:tcW w:w="12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795,846</w:t>
            </w:r>
          </w:p>
        </w:tc>
        <w:tc>
          <w:tcPr>
            <w:tcW w:w="920" w:type="dxa"/>
            <w:vAlign w:val="bottom"/>
            <w:vMerge w:val="restart"/>
          </w:tcPr>
          <w:p>
            <w:pPr>
              <w:ind w:left="38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Family</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3"/>
            <w:vMerge w:val="continue"/>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440" w:type="dxa"/>
            <w:vAlign w:val="bottom"/>
            <w:vMerge w:val="continue"/>
          </w:tcPr>
          <w:p>
            <w:pPr>
              <w:spacing w:after="0"/>
              <w:rPr>
                <w:sz w:val="15"/>
                <w:szCs w:val="15"/>
                <w:color w:val="auto"/>
              </w:rPr>
            </w:pPr>
          </w:p>
        </w:tc>
        <w:tc>
          <w:tcPr>
            <w:tcW w:w="860" w:type="dxa"/>
            <w:vAlign w:val="bottom"/>
            <w:gridSpan w:val="3"/>
            <w:vMerge w:val="continue"/>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920" w:type="dxa"/>
            <w:vAlign w:val="bottom"/>
            <w:vMerge w:val="continue"/>
          </w:tcPr>
          <w:p>
            <w:pPr>
              <w:spacing w:after="0"/>
              <w:rPr>
                <w:sz w:val="15"/>
                <w:szCs w:val="15"/>
                <w:color w:val="auto"/>
              </w:rPr>
            </w:pPr>
          </w:p>
        </w:tc>
        <w:tc>
          <w:tcPr>
            <w:tcW w:w="82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Trust,</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Dated</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20"/>
                <w:szCs w:val="20"/>
                <w:color w:val="auto"/>
              </w:rPr>
            </w:pPr>
            <w:r>
              <w:rPr>
                <w:rFonts w:ascii="Times New Roman" w:cs="Times New Roman" w:eastAsia="Times New Roman" w:hAnsi="Times New Roman"/>
                <w:sz w:val="17"/>
                <w:szCs w:val="17"/>
                <w:color w:val="0000FF"/>
              </w:rPr>
              <w:t>7/8/04</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700" w:type="dxa"/>
            <w:vAlign w:val="bottom"/>
            <w:tcBorders>
              <w:bottom w:val="single" w:sz="8" w:color="2C2C2C"/>
            </w:tcBorders>
            <w:gridSpan w:val="5"/>
          </w:tcPr>
          <w:p>
            <w:pPr>
              <w:spacing w:after="0"/>
              <w:rPr>
                <w:sz w:val="8"/>
                <w:szCs w:val="8"/>
                <w:color w:val="auto"/>
              </w:rPr>
            </w:pPr>
          </w:p>
        </w:tc>
        <w:tc>
          <w:tcPr>
            <w:tcW w:w="2620" w:type="dxa"/>
            <w:vAlign w:val="bottom"/>
            <w:tcBorders>
              <w:bottom w:val="single" w:sz="8" w:color="2C2C2C"/>
            </w:tcBorders>
            <w:gridSpan w:val="5"/>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jc w:val="right"/>
              <w:ind w:right="1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6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jc w:val="right"/>
              <w:ind w:right="14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during the day at prices ranging from $1.99 to $2.04. The weighted-average price is reported above. The reporting person hereby undertakes to provide upon request to the SEC staff, the issuer or a security holder of the issuer full information regarding the number of shares and prices at which the transactions were effected.</w:t>
      </w:r>
    </w:p>
    <w:p>
      <w:pPr>
        <w:spacing w:after="0" w:line="7" w:lineRule="exact"/>
        <w:rPr>
          <w:rFonts w:ascii="Times New Roman" w:cs="Times New Roman" w:eastAsia="Times New Roman" w:hAnsi="Times New Roman"/>
          <w:sz w:val="13"/>
          <w:szCs w:val="13"/>
          <w:color w:val="008000"/>
        </w:rPr>
      </w:pPr>
    </w:p>
    <w:p>
      <w:pPr>
        <w:ind w:left="40" w:right="2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during the day at prices ranging from $1.91 to $1.99. The weighted-average price is reported above. The reporting person hereby undertakes to provide upon request to the SEC staff, the issuer or a security holder of the issuer full information regarding the number of shares and prices at which the transactions were effected.</w:t>
      </w:r>
    </w:p>
    <w:p>
      <w:pPr>
        <w:spacing w:after="0" w:line="7" w:lineRule="exact"/>
        <w:rPr>
          <w:rFonts w:ascii="Times New Roman" w:cs="Times New Roman" w:eastAsia="Times New Roman" w:hAnsi="Times New Roman"/>
          <w:sz w:val="13"/>
          <w:szCs w:val="13"/>
          <w:color w:val="008000"/>
        </w:rPr>
      </w:pPr>
    </w:p>
    <w:p>
      <w:pPr>
        <w:ind w:left="40" w:right="2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during the day at prices ranging from $1.95 to $2.11. The weighted-average price is reported above. The reporting person hereby undertakes to provide upon request to the SEC staff, the issuer or a security holder of the issuer full information regarding the number of shares and prices at which the transactions were effected.</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/Warren Heit,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2433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243330" cy="8255"/>
                    </a:xfrm>
                    <a:prstGeom prst="rect">
                      <a:avLst/>
                    </a:prstGeom>
                    <a:noFill/>
                  </pic:spPr>
                </pic:pic>
              </a:graphicData>
            </a:graphic>
          </wp:anchor>
        </w:drawing>
      </w:r>
    </w:p>
    <w:p>
      <w:pPr>
        <w:spacing w:after="0" w:line="11" w:lineRule="exact"/>
        <w:rPr>
          <w:sz w:val="24"/>
          <w:szCs w:val="24"/>
          <w:color w:val="auto"/>
        </w:rPr>
      </w:pPr>
    </w:p>
    <w:p>
      <w:pPr>
        <w:ind w:left="6580"/>
        <w:spacing w:after="0"/>
        <w:tabs>
          <w:tab w:leader="none" w:pos="8760" w:val="left"/>
        </w:tabs>
        <w:rPr>
          <w:sz w:val="20"/>
          <w:szCs w:val="20"/>
          <w:color w:val="auto"/>
        </w:rPr>
      </w:pPr>
      <w:r>
        <w:rPr>
          <w:rFonts w:ascii="Times New Roman" w:cs="Times New Roman" w:eastAsia="Times New Roman" w:hAnsi="Times New Roman"/>
          <w:sz w:val="17"/>
          <w:szCs w:val="17"/>
          <w:color w:val="0000FF"/>
        </w:rPr>
        <w:t>fact for MARCUS</w:t>
      </w:r>
      <w:r>
        <w:rPr>
          <w:sz w:val="20"/>
          <w:szCs w:val="20"/>
          <w:color w:val="auto"/>
        </w:rPr>
        <w:tab/>
      </w:r>
      <w:r>
        <w:rPr>
          <w:rFonts w:ascii="Times New Roman" w:cs="Times New Roman" w:eastAsia="Times New Roman" w:hAnsi="Times New Roman"/>
          <w:sz w:val="17"/>
          <w:szCs w:val="17"/>
          <w:color w:val="0000FF"/>
        </w:rPr>
        <w:t>03/24/2023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8128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812800"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-12700</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LAWRENCE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60198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01980" cy="8255"/>
                    </a:xfrm>
                    <a:prstGeom prst="rect">
                      <a:avLst/>
                    </a:prstGeom>
                    <a:noFill/>
                  </pic:spPr>
                </pic:pic>
              </a:graphicData>
            </a:graphic>
          </wp:anchor>
        </w:drawing>
      </w:r>
    </w:p>
    <w:p>
      <w:pPr>
        <w:spacing w:after="0" w:line="40"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793" w:gutter="0" w:footer="0" w:header="0"/>
          <w:type w:val="continuous"/>
        </w:sectPr>
      </w:pPr>
    </w:p>
    <w:bookmarkStart w:id="1" w:name="page2"/>
    <w:bookmarkEnd w:id="1"/>
    <w:p>
      <w:pPr>
        <w:ind w:right="3539"/>
        <w:spacing w:after="0" w:line="373" w:lineRule="auto"/>
        <w:rPr>
          <w:sz w:val="20"/>
          <w:szCs w:val="20"/>
          <w:color w:val="auto"/>
        </w:rPr>
      </w:pPr>
      <w:r>
        <w:rPr>
          <w:rFonts w:ascii="Courier New" w:cs="Courier New" w:eastAsia="Courier New" w:hAnsi="Courier New"/>
          <w:sz w:val="17"/>
          <w:szCs w:val="17"/>
          <w:color w:val="auto"/>
        </w:rPr>
        <w:t>LIMITED POWER OF ATTORNEY FOR REPORTING UNDER SECTION 16(a) OF THE SECURITIES EXCHANGE ACT OF 1934, AS AMENDED</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MARCUS LAWRENCE - CIK # 0001248294</w:t>
      </w:r>
    </w:p>
    <w:p>
      <w:pPr>
        <w:spacing w:after="0" w:line="207" w:lineRule="exact"/>
        <w:rPr>
          <w:sz w:val="20"/>
          <w:szCs w:val="20"/>
          <w:color w:val="auto"/>
        </w:rPr>
      </w:pPr>
    </w:p>
    <w:p>
      <w:pPr>
        <w:ind w:right="3539" w:firstLine="520"/>
        <w:spacing w:after="0" w:line="259" w:lineRule="auto"/>
        <w:rPr>
          <w:sz w:val="20"/>
          <w:szCs w:val="20"/>
          <w:color w:val="auto"/>
        </w:rPr>
      </w:pPr>
      <w:r>
        <w:rPr>
          <w:rFonts w:ascii="Courier New" w:cs="Courier New" w:eastAsia="Courier New" w:hAnsi="Courier New"/>
          <w:sz w:val="17"/>
          <w:szCs w:val="17"/>
          <w:color w:val="auto"/>
        </w:rPr>
        <w:t>Know all by these presents, that the undersigned hereby constitutes and appoints Warren Heit, Nitesh Sharan, or Keyvan Mohajer, signing singly, the undersigned's true and lawful attorney-in-fact to:</w:t>
      </w:r>
    </w:p>
    <w:p>
      <w:pPr>
        <w:ind w:right="3539" w:firstLine="526"/>
        <w:spacing w:after="0" w:line="249" w:lineRule="auto"/>
        <w:tabs>
          <w:tab w:leader="none" w:pos="935"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any Form 3, 4, or 5 in accordance with Section 16(a) of the Securities Exchange Act of 1934, as amended, and the rules thereunder;</w:t>
      </w:r>
    </w:p>
    <w:p>
      <w:pPr>
        <w:ind w:right="3019" w:firstLine="526"/>
        <w:spacing w:after="0" w:line="250" w:lineRule="auto"/>
        <w:tabs>
          <w:tab w:leader="none" w:pos="935"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complete and execute any amendment or amendments thereto, and timely file any such form with the United States Securities and Exchange Commission and any stock exchange or similar authority, including completing and executing a Uniform Application for Access Codes to File on Edgar on Form ID; and</w:t>
      </w:r>
    </w:p>
    <w:p>
      <w:pPr>
        <w:spacing w:after="0" w:line="194" w:lineRule="exact"/>
        <w:rPr>
          <w:rFonts w:ascii="Courier New" w:cs="Courier New" w:eastAsia="Courier New" w:hAnsi="Courier New"/>
          <w:sz w:val="17"/>
          <w:szCs w:val="17"/>
          <w:color w:val="auto"/>
        </w:rPr>
      </w:pPr>
    </w:p>
    <w:p>
      <w:pPr>
        <w:ind w:right="2919" w:firstLine="526"/>
        <w:spacing w:after="0" w:line="249" w:lineRule="auto"/>
        <w:tabs>
          <w:tab w:leader="none" w:pos="935"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ind w:right="2819" w:firstLine="520"/>
        <w:spacing w:after="0" w:line="24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The undersigned hereby grants to each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w:t>
      </w:r>
    </w:p>
    <w:p>
      <w:pPr>
        <w:ind w:right="2719"/>
        <w:spacing w:after="0" w:line="24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do or cause to be done by virtue of this power of attorney and the rights and powers herein granted. The undersigned acknowledges that the foregoing attorneys-in-fact, in serving in such capacity at the request of the undersigned, are not assuming, any of the undersigned's responsibilities to comply with Section 16 of the Securities Exchange Act of 1934.</w:t>
      </w:r>
    </w:p>
    <w:p>
      <w:pPr>
        <w:ind w:right="2499" w:firstLine="520"/>
        <w:spacing w:after="0" w:line="24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This Power of Attorney shall remain in full force and effect until the undersigned is no longer required to file Form 3, 4, or 5, or unless earlier revoked by the undersigned in a signed writing delivered to the foregoing attorney-in-fact.</w:t>
      </w:r>
    </w:p>
    <w:p>
      <w:pPr>
        <w:ind w:right="3239" w:firstLine="520"/>
        <w:spacing w:after="0" w:line="333"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IN WITNESS WHEREOF, the undersigned has caused this Power of Attorney to be executed as of this 22 day of April, 2022.</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Lawrence Marcus</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w:t>
      </w:r>
    </w:p>
    <w:p>
      <w:pPr>
        <w:spacing w:after="0" w:line="375"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Lawrence Marcus</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2" Type="http://schemas.openxmlformats.org/officeDocument/2006/relationships/hyperlink" Target="http://www.sec.gov/cgi-bin/browse-edgar?action=getcompany&amp;CIK=0001248294" TargetMode="External"/><Relationship Id="rId13" Type="http://schemas.openxmlformats.org/officeDocument/2006/relationships/hyperlink" Target="http://www.sec.gov/cgi-bin/browse-edgar?action=getcompany&amp;CIK=00018408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2023-03-25T05:03:06Z</dcterms:created>
  <dcterms:modified xsi:type="dcterms:W3CDTF">2023-03-25T05:03:06Z</dcterms:modified>
</cp:coreProperties>
</file>