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9"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5"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337" w:right="359" w:bottom="1440" w:gutter="0" w:footer="0" w:header="0"/>
        </w:sectPr>
      </w:pPr>
    </w:p>
    <w:p>
      <w:pPr>
        <w:spacing w:after="0" w:line="14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For the transition period from________to________</w:t>
      </w:r>
    </w:p>
    <w:p>
      <w:pPr>
        <w:spacing w:after="0" w:line="123" w:lineRule="exact"/>
        <w:rPr>
          <w:sz w:val="24"/>
          <w:szCs w:val="24"/>
          <w:color w:val="auto"/>
        </w:rPr>
      </w:pPr>
    </w:p>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Commission file number: 001-40193</w:t>
      </w:r>
    </w:p>
    <w:p>
      <w:pPr>
        <w:spacing w:after="0" w:line="2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4"/>
          <w:szCs w:val="24"/>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ind w:left="3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82"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86-1286799</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300" w:space="460"/>
            <w:col w:w="3460"/>
          </w:cols>
          <w:pgMar w:left="320" w:top="337" w:right="359" w:bottom="1440" w:gutter="0" w:footer="0" w:header="0"/>
          <w:type w:val="continuous"/>
        </w:sect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left="1771"/>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376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57"/>
        </w:trPr>
        <w:tc>
          <w:tcPr>
            <w:tcW w:w="75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4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right"/>
              <w:ind w:right="1212"/>
              <w:spacing w:after="0"/>
              <w:rPr>
                <w:sz w:val="20"/>
                <w:szCs w:val="20"/>
                <w:color w:val="auto"/>
              </w:rPr>
            </w:pPr>
            <w:r>
              <w:rPr>
                <w:rFonts w:ascii="Times New Roman" w:cs="Times New Roman" w:eastAsia="Times New Roman" w:hAnsi="Times New Roman"/>
                <w:sz w:val="16"/>
                <w:szCs w:val="16"/>
                <w:b w:val="1"/>
                <w:bCs w:val="1"/>
                <w:color w:val="auto"/>
              </w:rPr>
              <w:t>(408) 441-3200</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63"/>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00" w:type="dxa"/>
            <w:vAlign w:val="bottom"/>
          </w:tcPr>
          <w:p>
            <w:pPr>
              <w:spacing w:after="0"/>
              <w:rPr>
                <w:sz w:val="22"/>
                <w:szCs w:val="22"/>
                <w:color w:val="auto"/>
              </w:rPr>
            </w:pPr>
          </w:p>
        </w:tc>
      </w:tr>
      <w:tr>
        <w:trPr>
          <w:trHeight w:val="304"/>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7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3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Borders>
              <w:top w:val="single" w:sz="8" w:color="auto"/>
            </w:tcBorders>
          </w:tcPr>
          <w:p>
            <w:pPr>
              <w:spacing w:after="0"/>
              <w:rPr>
                <w:sz w:val="21"/>
                <w:szCs w:val="21"/>
                <w:color w:val="auto"/>
              </w:rPr>
            </w:pPr>
          </w:p>
        </w:tc>
      </w:tr>
      <w:tr>
        <w:trPr>
          <w:trHeight w:val="175"/>
        </w:trPr>
        <w:tc>
          <w:tcPr>
            <w:tcW w:w="376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376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SOUN</w:t>
            </w:r>
          </w:p>
        </w:tc>
        <w:tc>
          <w:tcPr>
            <w:tcW w:w="3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3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r>
      <w:tr>
        <w:trPr>
          <w:trHeight w:val="270"/>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29"/>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SOUNW</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ind w:right="160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660"/>
              <w:spacing w:after="0"/>
              <w:rPr>
                <w:sz w:val="20"/>
                <w:szCs w:val="20"/>
                <w:color w:val="auto"/>
              </w:rPr>
            </w:pPr>
            <w:r>
              <w:rPr>
                <w:rFonts w:ascii="Wingdings" w:cs="Wingdings" w:eastAsia="Wingdings" w:hAnsi="Wingdings"/>
                <w:sz w:val="18"/>
                <w:szCs w:val="18"/>
                <w:b w:val="1"/>
                <w:bCs w:val="1"/>
                <w:color w:val="auto"/>
              </w:rPr>
              <w:t>x</w:t>
            </w:r>
          </w:p>
        </w:tc>
        <w:tc>
          <w:tcPr>
            <w:tcW w:w="47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7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2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7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4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8"/>
          <w:szCs w:val="18"/>
          <w:color w:val="auto"/>
        </w:rPr>
        <w:t>☒</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2024, based on the closing price of $3.95 for shares of the Registrant’s Class A common stock, was approximately $1,169.2 million.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6, 2025, there were 366,426,264 shares of the Company’s Class A common stock, $0.0001 par value per share, issued and outstanding, and 32,535,408 shares of the Company’s Class B common stock, $0.0001 par value per share, issued and outstanding.</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to the extent not set forth herein, is incorporated herein by reference from the registrant's definitive proxy statement relating to the Annual Meeting of Shareholders to be held in 2025, which definitive proxy statement shall be filed with the Securities and Exchange Commission within 120 days after the end of the fiscal year to which this Annual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9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Cybersecurity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
        </w:trPr>
        <w:tc>
          <w:tcPr>
            <w:tcW w:w="1040" w:type="dxa"/>
            <w:vAlign w:val="bottom"/>
            <w:shd w:val="clear" w:color="auto" w:fill="CCEEFF"/>
          </w:tcPr>
          <w:p>
            <w:pPr>
              <w:spacing w:after="0" w:line="20" w:lineRule="exact"/>
              <w:rPr>
                <w:sz w:val="1"/>
                <w:szCs w:val="1"/>
                <w:color w:val="auto"/>
              </w:rPr>
            </w:pPr>
          </w:p>
        </w:tc>
        <w:tc>
          <w:tcPr>
            <w:tcW w:w="9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This Annual Report on Form 10-K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207" w:lineRule="exact"/>
        <w:rPr>
          <w:sz w:val="20"/>
          <w:szCs w:val="20"/>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including launching new product offerings and expanding information and technology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in this Annual Report.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should thoroughly read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of this Annual Report. Except as required by law, we undertake no obligation to update or revise publicly any forward-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statements, whether as a result of new information, future events or otherwise, after the date on which the statements are made or to reflect the occurrence of unanticipated events. You should read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192 patents granted and over 109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 Custom, branded voice assistants are allowing companies to improve their customer interactions at every touchpoint.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Voice AI will be the next major technology disruption in computing.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needed to have a website. After the mobile ecosystem became mature, every company needed to have a mobile strategy. We note that some very successful companies were created purely on the mobile ecosystem.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we believe that voice will be the preferred or the only way to interact with these devices.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2005,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SoundHound’s technology represents the evolution of several disruptive breakthroughs in voice-AI and sound recognition developed over almost two decades. Using innovative audio and music identification technology, in 2009, our founders launched the SoundHound music identification app. Since its inception, the app has received over 300 million downloads.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After we went public in 2022, SoundHound rapidly introduced innovation to the market with Smart Ordering, Dynamic Interaction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SoundHound Chat AI, and Smart Answering, among other products (see "Products and Technology" hereafter).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Vision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 typical reaction to SoundHound’s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human capabilities and brings value and delight via an ecosystem of billions of products enhanced by innovation and monetization opportunities.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 In addition, users can follow up and ask it to refine the criteria such as “remove Korean and Vietnamese, sort by rating then by price, and only show the ones that are good for kids and have a patio.”</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Additionally, through SoundHound's AI-driven restaurant voice ordering solution, Smart Ordering, automated voice technology can be deployed by any restaurant to take food and drink orders over the phone, via menu kiosks or at the drive-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thru. Its sophisticated technology learns the menu of each business and can answer questions, accept modifications and even upsell, helping the restaurant process more orders quickly and efficiently.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to our platform. It means product creators can not only use Voice AI to make their product better; they can also generate incremental recurring revenues from customer interactions.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SoundHound’s momentum in the Voice AI market can, in large part, be attributed to our large number of technology breakthroughs.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CaiNET and CaiLAN Expert Domain Selections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CaiNET software uses machine learning to enhance how domains work together to better handle complex queries including natural language processing, predictive analytics, and building language models, or translation of speech.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proprietary CaiLAN software expertly arbitrates responses so users get better answers from the right domain such as for use with natural language processing, predictive analytics, and building language models, or translation of speech.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technologies are anchored by three important innovations: Speech-to-Meaning, Deep Meaning Understanding and Collective AI.</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 AI is an architecture that gives potential to SoundHound to improve the understanding capability of its platform exponentially based on linear contributions.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Ordering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Dynamic Interaction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 Chat AI</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launched SoundHound Chat AI, which we believe will usher in a new phase of voice-enabled, conversational AI by combining the power of software engineering and machine learning generative AI.</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Answering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high quality TTS helps companies create a unique voice that differentiates them from the competition. Brands can fully express their personality by choosing the gender, tone, and personality that will become their vocal identity.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Edge and Cloud Connectivity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Cloud we equip your voice assistant with real-time data from the cloud, deliver the most relevant responses with no CPU or memory restrictions, and retain ownership of customer relationships with access to data and analytics.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we believe offer dated technologies.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recent popularization of Generative AI and Large Language Models in early 2023, we view this as an inflection point for Conversational AI, with a clear intersection between technology readiness and subsequent demand and adoption. Such intersections are rare, and SoundHound is in a unique position to create tremendous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impact of Generative AI and Large Language Models to the field of Conversational AI is similar to the impact of Deep Neural Networks to Machine Learning: Better quality models can be created faster and with fewer tedious engineering requirements. And we view the market impact of this to be transformative, similar to the mobile ecosystem disruption of the last decade. Fast movers like us will create tremendous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fully own and which is significantly better than other solutions in the market. We achieved that goal and unveiled the result in 2015, launching it as the Houndify platform in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 continues to expand the capabilities that make us well-positioned to serve the needs of customers globally. We have grown our solution from a single language capability to 25 languages.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and subscriptions, over time we expect our revenues from monetization pillars to increase meaningfully in the future.</w:t>
      </w:r>
    </w:p>
    <w:p>
      <w:pPr>
        <w:spacing w:after="0" w:line="172" w:lineRule="exact"/>
        <w:rPr>
          <w:sz w:val="20"/>
          <w:szCs w:val="20"/>
          <w:color w:val="auto"/>
        </w:rPr>
      </w:pPr>
    </w:p>
    <w:p>
      <w:pPr>
        <w:ind w:left="660" w:hanging="328"/>
        <w:spacing w:after="0" w:line="286"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 volume, usage, or duration. SoundHound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collects royalties when our platform is integrated into a product such as a car, smart TV, or IoT.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 Examples include when SoundHound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service or food ordering for restaurants or content management, appointments, or voice commerce, we generate subscription revenue from the service providers.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 services from both pillar one and pillar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users of a voice-enabled product access the voice-enabled monetization, this creates new leads and transactions. SoundHound generates monetization revenue for generating these leads and transactions, and will share revenue with the product creators.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we expect the cycle will perpetually continue to expand and create an ecosystem with a compound impact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SoundHound’s criteria for adoption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our product will be adopted because customers typically choose the best technology and want to own their brand and control their data. We strive to provide our customers with the best technology, and we can provide a white label solution giving our customers control of their brands. In some industries you may have to choose between technology and brand control. In our case, we aim to offer our customers the best of both, enabling them to offer disruptive technologies to their users while maintaining control of their brand and user experience.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 path to monetization.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offer an ecosystem with our expert domain selections that seamlessly arbitrates between LLMs and real time domains and limits "AI hallucinations", along with definable privacy controls, which are becoming increasingly important in the industry of Voice AI. We also offer edge, cloud and hybrid solutions, which means our technology can optionally run without a cloud connection for increased flexibility and privacy. Our focus is on delivering the most advanced Voice AI in the world and thus allowing our partners to differentiate and innovate their overall experiences for their brands. Additionally, there is no conflict of interest between us and our partners and customers as we do not compete with them (as some other Voice AI vendors do).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platform to access the ever-growing set of domains, but the product creators can innovate on top of platform and create value for the end users in their own 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have required more than ten years of research and development activities to fine tune our technology for commercial use. We continue to explore different innovation strategies to strengthen our capabilities.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customers and partners. We collect feedback directly from them to garner insights that help drive the business and product. We also work with analysts and higher education institutions to conduct studies, test and validate technology performance, providing key proof points for those considering our products. In parallel, marketing and communications drive our brand equity and narrative through ongoing announcements, campaigns, events, speaking opportunities, and public relations efforts.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search engines and many other digital channels.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markets and verticals, we see significant opportunities to grow into new ones. Increased sales and marketing efforts will enable us to capitalize on the tremendous momentum we are building and we expect to continue expanding resources to grow our personnel and leadership team focused on sales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intellectual property portfolio includes over 192 patents granted and over 109 patents pending worldwide. These patents cover areas such as speech recognition, natural language understanding, machine learning, human interfaces, and others, including monetization and advertising.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 of our 301 patents granted and pending,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SoundHound, our success is driven by the quality of our people, who we believe are among the best and brightest in the industry. We strive to create an environment that supports employee success and a culture where everyone has a voice in driving innovation.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842 full-time employees, of which approximately 54% were in the United States and 46% were in our international locations. We have not experienced work stoppages and believe our employee relations are good.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Experience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focus on delivering a great employee experience, anchored by meaningful work, career opportunities and well-being, to continue to attract and retain high quality talent. We support employee well-being from multiple dimensions, including economic, health, development, and lifestyle with a comprehensive suite of compensation, benefits and flexible work options.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vast majority of SoundHound’s employees, productivity is not tied to being in an office and collaboration can happen between people anywhere. SoundHound’s modern approach to work gives our employees more flexibility to choose where and how to work. Depending on their role, many of our employees can choose their office location, as well as work from home some or all of the time. We believe this allows us to engage with a wider pool of talent and retain employees who want or need more flexibility.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consumer privacy, anti-corruption, export controls and AI-related regulations.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investors.soundhound.com</w:t>
      </w:r>
      <w:r>
        <w:rPr>
          <w:rFonts w:ascii="Times New Roman" w:cs="Times New Roman" w:eastAsia="Times New Roman" w:hAnsi="Times New Roman"/>
          <w:sz w:val="18"/>
          <w:szCs w:val="18"/>
          <w:color w:val="auto"/>
        </w:rPr>
        <w:t>. Access to copies of our Annual Reports on Form 10-K, Quarterly Reports on Form 10-Q, Current Reports on Form 8-K, and our Proxy Statements, and any amendments to these reports, is available via a link through our investor relations website, free of charge, after we file or furnish them with the SEC and they are available on the SEC's website. We also utilize our investor relations website to webcast our earnings calls and provide notifications of news or announcements regarding our business updates, financial performance and other items that may be material or of interest to our investors, including SEC filings, investor events, press releases and earnings releases. Further, corporate governance information, including our certificate of incorporation, bylaws, governance guidelines, board committee charters, and code of ethics, is also available on our investor relations website.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Annual Report, including our financial statements, the notes thereto and the section entitled “Management’s Discussion and Analysis of Financial Condition and Results of Operations.”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investment. Additional risks and uncertainties not presently known to us or that we currently deem immaterial may also impair our business operations and the market price of our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 factors described below are a summary of the principal risk factors associated with an investment in us. These are not the only risks we face. You should carefully consider these risk factors and the other reports and documents filed by us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Financial Condition</w:t>
      </w:r>
    </w:p>
    <w:p>
      <w:pPr>
        <w:spacing w:after="0" w:line="229"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substantial net losses and negative operating cash flows since inception and may never achieve or maintain profitability or generate positive cash flows;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continue planned business operations but may not be able to obtain such capital when desired on favorable terms, if at all, or without dilution to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materially and adversely affected if it loses any of its largest customers due to concentration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rapidly changing and we may be unable to compete successfully;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Voice AI market or the global economy more generally could have adverse effects on our results of operations;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skilled employees and 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privacy incidents or breaches may damage client relations and adversely affect our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domestic and international laws, rules, policies and other obligations, including data protection and anticorruption;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services or services from data center hosting facilities or public clouds could impair the delivery of services and harm our business;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telecommunications and internet service providers, including connectivity to our cloud software, and any failure by these service providers to provide reliable services could cause us to lose customers and subject us to claims for credits or damages, among other things;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rely on third-party telecommunications and internet service providers to provide them with access and connectivity to our cloud software, and changes in how telecommunication and internet service providers handle and charge for access to telecommunications and the internet could materially harm our customer relationships, business, financial condition and operations results;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enhance our brand or reputation as an industry leader, our operating results may be adversely affected;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SYNQ3, Amelia and any potential future acquisitions or strategic transactions may not be accretive and may subject us to various risks that could adversely affect our business and for which we may not achieve the anticipated benefit of such a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which may result in material misstatements of our consolidated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statements or cause us to fail to meet its periodic reporting obligations and the trading price of our stock could be negatively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 and Technology</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use of open source technology could impose limitations on our ability to commercialize our software;</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claimed in the past and may claim in the future that we are infringing their intellectual property, and we could be exposed to significant litigation or licensing expenses or be prevented from selling our products or making our technologies available to our customers if such claims are successful;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our proprietary technology and intellectual property could adversely affect our business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Dual Class Common Stock Structure</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stock price and trading volume may fluctuate significantly;</w:t>
      </w:r>
    </w:p>
    <w:p>
      <w:pPr>
        <w:spacing w:after="0" w:line="225"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and divert management’s attention, and the increases in legal, accounting and compliance expenses may be greater than we anticipate;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 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U.S. and International Taxation</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use its net operating loss carryforwards and certain other tax attributes may be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Business and Financial Condition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and provision of AI-powered solutions could lead to operational or reputational damage, competitive harm, legal and regulatory risk and additional costs.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Use and provision of AI, including generative AI, is a core part of our business. The use of generative AI, a relatively 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output, unintended biases and other discriminatory or unexpected results, errors or inadequacies, any of which may not be easily detectable. Accordingly, while AI-powered applications may help provide more tailored or personalized user experiences, if the content, analyses or recommendations that AI-powered solutions assist in producing on our products and services are, or are perceived to be, deficient, inaccurate, biased, unethical or otherwise flawed, our reputation, competitive position and business may be materially and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AI-powered platform innovations and features.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cybersecurity breaches or incidents that implicate the personal data of users of AI-powered applications. To the extent that we do not have sufficient rights to use the data or other material or content used in or produced by the generative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AI-powered solutions in our products, services and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example, in Europe, the European Parliament formally enacted the European Union’s Artificial Intelligence Act (the “AI Act”). The AI Act establishes, among other things, a risk-based governance framework for regulating AI systems operating in the European Union. This framework seeks to categorize AI systems, based on the risks associated with such AI systems’ intended purposes, as creating unacceptable or high risks, with all other AI systems being considered low risk. While the AI Act has only recently been enacted, there is a risk that our current or future AI-powered software or applications may obligate us to comply with the applicable requirements of the AI Act, which may impose additional costs on us, increase our risk of liability or adversely affect our business. For example, the AI Act would prohibit certain uses of AI systems and place numerous obligations on providers and deployers of permitted AI systems, with heightened requirements based on AI systems that are considered high risk. If enacted in this form or a similar form, this regulatory framework is expected to have a material impact on the way AI is regulated in the European Union and beyond,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SoundHound operates is highly competitive and rapidly changing and SoundHound may be unable to compete successfully.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SoundHound’s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tariffs, consumer confidence, fuel costs, fuel availability, environmental impact, union strikes,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 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has been and is continuing to develop new cloud-connected and embedded products and technologies. The design and development of new cloud-connected and embedded products and technologies and the addition of new languages will involve significant expense. SoundHound’s research and development costs have greatly increased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SoundHound’s customers may adversely affect its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could be materially and adversely affected if it loses any of its largest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one customer accounted for 14% of SoundHound's total revenues. During the years ended December 31, 2023 and 2022, two and three customers accounted for the following approximate percentages of SoundHound’s total revenues during the respective applicable period: 62% and 67%. Accounts receivable balances due from one customer totaled 23% of the Company’s consolidated accounts receivable balance at December 31, 2024. Accounts receivable balances due from three customers collectively totaled 87% of the Company’s consolidated accounts receivable balance at December 31, 2023. The unbilled receivables balances from two customers collectively totaled 74% of the Company’s consolidated unbilled receivables balance at December 31, 2024. The unbilled receivables balances from three customers collectively totaled 86% of the Company’s consolidated unbilled receivables balance at December 31, 2023.</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economic conditions or reduced technology spending may adversely impact SoundHound's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technology and on the economic performance of our current and prospective customers. In general, worldwide economic conditions may remain unstable, including inflation, in particular in connection with the implementation of tariffs in the U.S. and abroad, and these conditions would make it difficult for our customers, prospective customers and us to forecast and plan future business activities accurately, and they could cause our customers or prospective customers to reevaluate their decision to purchase our features. Weak global economic conditions, changes in consumer behavior or a reduction in technology spending even if economic conditions stabilize, could adversely impact our business and results of operations in a number of ways, including longer sales cycles, lower demand or prices for our platform, fewer subscriptions and lower or no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operating results may fluctuate significantly from period to period, and this may cause its stock price to decline.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fulfillment of large customer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SoundHound’s customers to their end-users;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or its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SoundHound’s products in response to competition, market conditions or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raise cash in the market place, including increased borrowing costs as a result of inflation and tariffs;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SoundHound’s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and its customers sell and operate.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depends on skilled employees and could be impacted by a shortage of critical skills.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SoundHound’s growth.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SoundHound’s information security posture;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is not currently aware but would discover through the process of remediating any cybersecurity or data privacy incidents or breaches that may occur.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to incur substantial costs and may require it to change our business practices.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Compliance with data security and personal information protection laws, may result in additional expenses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SoundHound’s customers to lose confidence in its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SoundHound’s reputation;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to litigation, regulatory investigations and to resulting liabilities including reimbursement of customer costs, damages penalties or fines imposed by regulatory agencies;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to incur significant expenses for remediation.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8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SoundHound derived approximately 45%, 85% and 89%,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risks and uncertainties SoundHound faces from its global operations include, but are not limited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GDPR, which imposes compliance obligations on companies who possess and use data of EU residents;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analysis of regulatory, legal and tax issues across various countries, such as different interpretations of antitrust and competition 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SoundHound’s ability to sell or develop its solutions in certain foreign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and other similar outbreaks or events.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plans to expand upon and establish new public cloud deployments in the future to facilitate its platform in the U.S. and certain international markets. SoundHound may partner with one or more third-parties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international subsidiaries employ workers primarily in Canada, Germany, France and India. Operating in international markets requires significant resources and management attention and subjects it to intellectual property,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regulatory, economic and political risks that are different from those in the United States. As SoundHound increases its international sales efforts it will face risks in doing business internationally that could harm its business,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SoundHound’s brand in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SoundHound’s products for specific countries, including translation into foreign languages and associated costs and expenses;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SoundHound’s intellectual property in its locations outside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risks could harm SoundHound’s international operations, increase its operating costs and hinder its ability to grow its international business and, consequently, its overall business and results of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SoundHound’s international operations increases its cost of doing business outside the United States. SoundHound may be unable to keep current with changes in foreign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SoundHound’s operating results and may impact its overall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being lower than anticipated in countries with lower statutory rates or higher than anticipated in countries with higher statutory rates;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has not previously provided for income taxes;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is subject to taxation.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forecasts described in this Annual Report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Annual Report should not be taken as indicative of its future growth.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SoundHound spends significant time and effort on research and development and is unable to generate an adequate return on its investment, its results of operations may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SoundHound’s brand, reputation and ability to attract, retain and serve its customers are dependent in part upon the reliable performance of its products and technologies. If SoundHound is unable to maintain and enhance its brand or reputation as an industry leader, its operating results may be adversely affected.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 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 which eventually adversely affected SoundHound's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we completed our acquisition of SYNQ3 and in August 2024, we completed our acquisition of Amelia and we continue to actively evaluate opportunities to grow and enhance our business and technologies. In the event we engage in an acquisition or other strategic transaction, including by making an investment in another company, we may need to acquire additional financing.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8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financial or product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which may result in reorganizations and reductions in force;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intangible assets and goodwill that we recorded in connection with our acquisitions, including our SYNQ3 and Amelia acquisitions, become impaired, we may have to take significant charges against earnings, which would have a negative impact on our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Under generally accepted accounting principles in the United States, we must assess, at least annually and potentially more frequently, whether the value of indefinite-lived intangible assets and goodwill have been impaired. Intangible assets and goodwill will be assessed for impairment in the event of an impairment indicator. Any reduction or impairment of the value of intangible assets and goodwill will result in a charge against earnings, which could materially adversely affect our results of operations and shareholders’ equity in future periods.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expose us to risks that could adversely affect our business, and we may not achieve the anticipated benefits of acquisitions of businesses or technologies.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uniform procedures, controls and policies with respect to our financial accounting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or the inability to realize expected synergies and cost-savings;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geographically dispersed operations, including risks associated with entering foreign markets in which we have no or limited prior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or business relative to our expectations and the price we paid;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near-term impacts on financial results after an acquisition, including acquisition-related earnings charges and contingent acquisition liabilities related to earnout payments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and strategic partners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terminated employees and shareholders of acquired companies or other third parties related to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incurrence of additional debt obligations or expenses, or use of substantial portions of our cash;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that dilute the ownership of our stockholders (which in the case of certain of our prior acquisitions were significant);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company resources from existing operations of the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intangible assets as a result of technological advancements, or worse-than-expected performance of acquired companies;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or exposure to, historical liabilities of the acquired business, including unknown contingent or similar liabilities, including product liability, that are difficult to identify or accurately quantify;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sales and marketing, research and development, finance, legal, and information technologies. There can be no assurance that any of the acquisitions we may make will be successful or will be, or will remain, profitable or accretive. Our failure to successfully address the foregoing risks may prevent us from achieving the anticipated benefits from any acquisition in a reasonable time frame, or at all.</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acquisitions, and in particular, our acquisition of SYNQ3 and Amelia, may result in significant accounting charges that adversely affect the financial results of our company.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our company may be adversely affected by cash expenses and non-cash accounting charges incurred in connection with our acquisitions. In addition to the anticipated cash charges, costs associated with the amortization of intangible assets are expected. The price of our common stock could decline to the extent our financial results are materially affected by the foregoing charges or if the foregoing charges are larger than anticipated.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acquisitions may result in unexpected consequences to our business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recently acquired businesses will generally be subject to risks similar to those to which we are subject to in our existing operations, we may not have discovered all risks applicable to these businesses during the due diligence process. Some of these risks could produce unexpected and unwanted consequences for us. Undiscovered risks may result in us incurring financial liabilities, which could be material and have a negative impact on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our recent acquisitions could adversely affect the value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recent acquisitions will depend, in part, on our ability to:</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SYNQ3’s and Amelia's customer bases and capitalize on our cross-selling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cost savings from reduced back-office and infrastructure expenses, eliminate duplicative company and management structure costs;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combined businesses efficiently, achieve the strategic operating objectives for our business and realize significant cost savings and synergies;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attractive risk-adjusted equity returns from our acquisitions for our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embedded and/or underexploited expansion opportunities offered by our acquisitions that we can expand upon.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to realize the anticipated benefits of our acquisitions we must successfully integrate their businesses in a manner that permits those benefits and cost savings to be realized. Although we expect benefits to result from these acquisitions, there can be no assurance that we will be able to successfully realize these benefits. The challenges involved in this integration will be complex and time consuming and may require a disproportionate amount of resources and management attention and could result in the loss of valuable employees, the disruption of each company’s ongoing business or inconsistencies in standards, controls, procedures, practices, and policies that could adversely impact our operations. If we do not successfully manage these and related issues and challenges, we may not achieve the anticipated benefits of these acquisitions and our revenue, expenses, operating results, financial condition and stock price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has generated substantial net losses and negative operating cash flows since its inception and may continue to do so for the foreseeable future.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SoundHound has generated substantial net losses and negative cash flows from operating activities. SoundHound may continue to have net losses and negative operating cash flows as SoundHound continues to invest in its development activities, and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SoundHound’s net losses and accumulated deficit could increase significantly and the price of shares of its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may require additional capital to continue its planned business operations but may not be able to obtain such capital when desired on favorable terms, if at all, or without dilution to its stockholders.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the total unrestricted cash and cash equivalents on hand as of December 31, 2024 was $198.2 million, SoundHound may require additional capital to continue its planned business operations. SoundHound anticipates that current cash, cash equivalents, cash provided by operating activities and funds available through SoundHound’s at-the-market offering program (ATM program), will not be sufficient to meet its future capital needs. SoundHound will need additional financing to execute on its current or future business strategies, including to:</w:t>
      </w:r>
    </w:p>
    <w:p>
      <w:pPr>
        <w:spacing w:after="0" w:line="180"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software engineers, sales and marketing professionals, and other personnel as needed following implementation of the restructuring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SoundHound’s operating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SoundHound raises additional funds through the issuance of equity, including its ATM Program,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cannot assure you that additional financing will be available on terms favorable to SoundHound, or at all, particularly in light of inflationary pressures and resulting increases in the cost of borrowing.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any of SoundHound’s key management team members or other employees were to leave, SoundHound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as needed (with consideration to our restructuring plan)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 over financial reporting and may identify additional material weaknesses in the future, which may result in material misstatements of the Company’s consolidated financial statements or cause the Company to fail to meet its periodic reporting obligations and the trading price of our stock could be negatively affected.</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internal control over financial reporting.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 rules and regulations,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Failure to achieve and maintain effective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 This could result in significant expenses to remediate any internal control deficiencies and lead to a decline in our stock price.</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identified material weaknesses in internal control over financial reporting as of December 31, 2024.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including the SYNQ3 and Amelia entities which were acquired during 2024, not designing and maintaining effective controls related to substantially all accounts and disclosures. These material weaknesses contributed to the following additional material weaknesses as of December 31, 2024:</w:t>
      </w:r>
    </w:p>
    <w:p>
      <w:pPr>
        <w:spacing w:after="0" w:line="228"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 and acquisitions.</w:t>
      </w: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immaterial errors related to SYNQ3 and Amelia acquisitions during the year ended December 31, 2024 and immaterial errors in various accounts during the interim and annual periods during 2023 and 2024.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to provide reliable financial reports and to assist in the effective prevention or detection of material misstatements due to error or fraud. Any inability to provide reliable financial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reports or prevent or detect material misstatements due to error or fraud could harm our business. We regularly review and update our internal control over financial reporting, disclosure controls and procedures, and corporate governance policies. In addition, we are required under the rules and regulations of the SEC regarding compliance with SOX to report annually on the effectiveness of our internal control over financial reporting. Any system of internal controls, however well designed and operated, is based in part on certain assumptions and can provide only reasonable, not absolute, assurances that the objectives of the system are met.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are in the process of addressing our material weaknesses as disclosed herein, elements of our remediation plan can only be accomplished over time and we can offer no assurance that these initiatives will ultimately have the intended effects. Any failure to maintain effective internal control over financial reporting could adversely impact our ability to report our financial results on a timely and accurate basis. If our financial statements are not accurate, investors may not have a complete understanding of our operations or may lose confidence in our reported financial information. Likewise, if our financial statements are not filed on a timely basis as required by the SEC and The NASDAQ Stock Market, we could face severe consequences from those authorities. In either case, it could result in a material adverse effect on our business or have a negative effect on the trading price of our common stock. Further, if we fail to remedy these deficiencies (or any other future deficiencies) or maintain effective internal control over financial reporting, we could be subject to regulatory scrutiny, civil or criminal penalties or shareholder litigation. We can give no assurance that the measures we have taken and plan to take in the future will remediate the material weaknesses identified or that any additional material weaknesses or restatements of our financial statements will not arise in the future due to a failure to implement and maintain adequate internal control over financial reporting or circumvention of those controls.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 the future, 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our stock price.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wildfire, flood, hurricane or significant power outage or other similar events, such as infectious disease outbreaks or pandemic events, could have an adverse effect on our business and operating results, by impacting, among other things, the demand for our services, our ability to achieve or maintain profitability and our ability to raise additional capital in the future. Our corporate headquarters are located in the San Francisco Bay Area of California, a region known for seismic and wildfire activities. Customer data could be lost, significant recovery time could be required to resume operations and our financial condition and operating results could be adversely affected in the event of a major natural disaster or catastrophic event.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SoundHound’s Intellectual Property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use of open source technology could impose limitations on its ability to commercialize its software.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Unauthorized use of SoundHound’s proprietary technology and intellectual property could adversely affect its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SoundHound’s Class A Common Stock and the Securities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stock price and trading volume has fluctuated significantly and may continue to fluctuate significantly in the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and trading volume of SoundHound’s Class A Common Stock has fluctuated widely and may continue to fluctuate widely, depending on many factors, some of which may be beyond our control,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our ability to make payments on or service our indebtedness and our ability to obtain financing as needed;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qualified personnel, particularly in light of our recent restructuring;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losses, or those of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our Class A Common Stock by large or influential investors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the AI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our operating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 trading volume for SoundHound’s Class A Common Stock would amplify the effect of the above factors on stock price volatility.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over the last few years, the stock market more broadly has experienced price and volume fluctuations, including due to factors relating to the outbreak of COVID-19, inflationary pressures, the wars in Ukraine and in Gaza and the imposition and/or threat of tariffs,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these outside effects,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could cause SoundHound to incur substantial costs and could divert the time and attention of its management and other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SoundHound’s resources and divert management’s attention, and the increases in legal, accounting and compliance expenses may be greater than SoundHound anticipates.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and a large accelerated filer, we will continue to incur significant legal, accounting and other expenses that SoundHound did not incur as a private company. SoundHound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has incurred and expects to continue to incur significant expenses and devote substantial management effort toward ensuring compliance with the requirements of Section 404 of the Sarbanes-Oxley Act. SoundHound has hired and will continue to need to hire additional accounting and financial staff, including as a result of our acquisitions in 2024, and engage outside consultants, all with appropriate public company experience and technical accounting knowledge and maintain an internal audit function, which has and will increase its operating expenses.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SoundHound could incur additional compensation costs in the event that it decides to pay cash compensation closer to that of other publicly listed companies, which would increase its general and administrative expenses and could materially and adversely affect its profitability. SoundHound will evaluate these rules and regulations, and cannot predict or estimate the amount of additional costs SoundHound may incur or the timing of such costs.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 may not have adequate personnel with the appropriate level of knowledge, experience and training in the accounting policies, practices or internal control over financial reporting required of public companies. SoundHound’s management will need to continually assess its staffing and training procedures to improve its internal control over financial reporting. For example, SoundHound did not timely file its Form 10-Q for the quarter ended March 31, 2021 and had to file extensions for its Form 10-Q for the quarter ended September 30, 2023 and 2023 Form 10-K. Unless the matters discussed in this risk factor and elsewhere in this Annual Report are mitigated, the risk exists that SoundHound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will be required to expand its employee base and hire additional employees to support its operations as a public company which will increase our operating costs in future periods.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SoundHound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 has a dual class common stock structure and the holders of SoundHound Class B Common Stock have ten votes per share. SoundHound Founders own shares of Class B Common Stock representing approximately 48% of the voting power of the outstanding capital stock of SoundHound as of December 31, 2024.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Second Amended &amp; Restated Certificate of Incorporation of the Company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Charter, Amended &amp; Restated Bylaws of the Company (the "Amended Bylaws"), and Delaware law contain provisions that could depress the trading price of our common stock by acting to discourage, delay, or prevent a change of control of SoundHound or changes in SoundHound that our management or stockholders may deem advantageous. Among other things, the Amended Charter and Amended Bylaws include the following provisions: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SoundHound’s ability to enter into certain business combination transactions within a three (3) year period following the adoption of the Amended Charter.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SoundHound’s future profitability.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materially affect SoundHound’s future effective tax rates include but are not limited to:</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operating results before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legislation has had no effect on SoundHound’s provision for income taxes because SoundHound has incurred annual losses in the U.S. to date and management set up a full valuation allowance against its U.S. federal and states deferred tax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ability to use its net operating loss carryforwards and certain other tax attributes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SoundHound had $548.4 million of U.S. federal and $208.1 million of state net operating loss carryforwards available to reduce future taxable income. The federal and state net operating loss carryforwards will start to expire in 2025 and 2028, respectively, with the exception of $403.3 million federal net operating loss carryforwards and $11.0 million state net operating loss carryforwards, which can be carried forward indefinitely. It is possible that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SoundHound acknowledges the increasing importance of cybersecurity in its operations and recognizes the potential risks and threats associated with cyber incidents. The Company is committed to maintaining the confidentiality, integrity, and availability of its information systems and data. However, no system can be completely immune to cyber threats. We face a number of cybersecurity risks in connection with our business. To date, such risks have not materially affected our business, including threats to and breaches of our data systems, malware and computer virus attacks.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information provides an overview of our approach to managing cybersecurity risks. The Company assesses, identifies and manages cybersecurity related risks. Cybersecurity related risks are evaluated to assess top risks to the enterprise on a bi-annual basis. SoundHound has implemented a comprehensive cybersecurity program designed to identify, assess, and manage cyber risks.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program includes, but is not limited to:</w:t>
      </w:r>
    </w:p>
    <w:p>
      <w:pPr>
        <w:spacing w:after="0" w:line="1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risk assessments and vulnerability assessments.</w:t>
      </w:r>
    </w:p>
    <w:p>
      <w:pPr>
        <w:ind w:left="320" w:hanging="312"/>
        <w:spacing w:after="0" w:line="234"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industry-accepted cybersecurity controls and best practices.</w:t>
      </w:r>
    </w:p>
    <w:p>
      <w:pPr>
        <w:ind w:left="320" w:hanging="312"/>
        <w:spacing w:after="0" w:line="234"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to enhance the company's overall cybersecurity posture.</w:t>
      </w: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and incident response plans to detect and mitigate potential threats promptly.</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such as policies related to encryption standards, antivirus protection, remote access, multi factor authentication, confidential information and the use of the internet, social media, email and wireless devices. These policies go through an annual internal review process and are approved by appropriate members of management.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continued to expand investments in IT security, including additional end-user training, using layered defenses, identifying and protecting critical assets, strengthening monitoring and alerting, and engaging experts. We regularly test defenses by performing simulations and drills at both a technical level and by reviewing our operational policies and procedures. We review our operational policies and procedures with third party experts on an annual basis as part of our annual audit process. We also maintain cyber insurance coverage.</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assessing our own cybersecurity preparedness, we also consider and evaluate cybersecurity risks associated with use of third-party service providers. Our Vendor Management Team conducts an annual review of third-party hosted applications with a specific focus on any sensitive data shared with third parties. The internal business owners of the hosted applications are required to document user access reviews at least annually and provide from the vendor a System and Organization Controls (SOC) 1 or SOC 2 report.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SoundHound will report any cybersecurity incidents determined to be material. Material aspects of the nature, scope and timing of the incident, and the impact or reasonably likely impact of the incident on the Company, including on SoundHound’s financial condition and results of operations will be disclosed.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oversees risks from cybersecurity threats as part of its broader risk oversight responsibilities. The board recognizes the importance of cybersecurity in safeguarding the company’s assets and operations.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SoundHound has a dedicated Information Security Management committee responsible for overseeing risks from cybersecurity threats. The committee’s charter outlines its specific responsibilities related to cybersecurity risk oversight, and assists senior management in fulfilling its oversight responsibilities by creating, implementing, overseeing and maintaining SoundHound’s Information Security Management System. The purpose of the ISMS is to protect the Company’s information systems and assets, taking into account the potential for external threats, internal threats, and threats arising from transactions with trusted third parties and vendors. The board of directors is informed of cybersecurity risks, at least annually, through established processes, including periodic briefings, reports, and updates on the evolving landscape of cybersecurity threats.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SoundHound designates the Information Security Management Committee as responsible for assessing and managing cybersecurity risks. Committee members possess professional experience or backgrounds presenting relevant experience or capacity to address those matters within the scope of the Committee’s responsibility, including senior executives, department leaders, and subject matter experts. Committee members are familiar, or have the ability to quickly gain familiarity, with major technology platforms employed by the Company; have knowledge of technological ecosystems and challenges confronted in current or emerging business environments; have the capacity to understand new or emerging technologies and cyber security threats; are familiar, or have the ability to quickly gain familiarity, with information security principles, privacy regulations, standards, and guidelines; and possess experience relating to enterprise risk management and process.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view cybersecurity as a shared responsibility. All employees are required to complete cybersecurity training as part of onboarding, on an annual basis and have access to more frequent cybersecurity training online. We also require employees in certain roles to complete additional role-based, specialized cybersecurity training. The designated persons or committees actively monitor cybersecurity incidents through processes that monitor the prevention, detection, mitigation and remediation of cybersecurity incidents, including continuous assessment and adaptation to emerging threats.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2026. In addition to our headquarters, we lease offices in Toronto, Paris and various other locations in the U.S.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Consolidated Financial Statements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“SOUN.” Our Class B common stock is neither listed nor traded. Our listed redeemable warrants are listed on the Nasdaq Global Market under the symbol “SOUNW.”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According to the records of our transfer agent, there were 74 holders of record of our Class A common stock, 3 holders of record of our Class B common stock and 7 holders of record of our listed redeemable warrants on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2024 relating to all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vMerge w:val="restart"/>
          </w:tcPr>
          <w:p>
            <w:pPr>
              <w:spacing w:after="0"/>
              <w:rPr>
                <w:sz w:val="16"/>
                <w:szCs w:val="16"/>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w:t>
            </w:r>
          </w:p>
        </w:tc>
        <w:tc>
          <w:tcPr>
            <w:tcW w:w="16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Issued Upon</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Granted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Price of</w:t>
            </w: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189"/>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 (in</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Outstanding (in</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Future Issuance</w:t>
            </w:r>
          </w:p>
        </w:tc>
        <w:tc>
          <w:tcPr>
            <w:tcW w:w="0" w:type="dxa"/>
            <w:vAlign w:val="bottom"/>
          </w:tcPr>
          <w:p>
            <w:pPr>
              <w:spacing w:after="0"/>
              <w:rPr>
                <w:sz w:val="1"/>
                <w:szCs w:val="1"/>
                <w:color w:val="auto"/>
              </w:rPr>
            </w:pPr>
          </w:p>
        </w:tc>
      </w:tr>
      <w:tr>
        <w:trPr>
          <w:trHeight w:val="229"/>
        </w:trPr>
        <w:tc>
          <w:tcPr>
            <w:tcW w:w="5040" w:type="dxa"/>
            <w:vAlign w:val="bottom"/>
            <w:vMerge w:val="continue"/>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Exchange Act Rule 14a-3(b), the disclosure for this item will be included in our annual report to be provided to the Company's stockholders in connection with the Annual Meeting of Shareholders to be held in 2025, which annual report shall be filed with the Securities and Exchange Commission within 120 days after the end of the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already been disclosed in a prior Quarterly Report on Form 10-Q or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consolidated financial statements and the related notes thereto. The fiscal years presented are the periods ended December 31, 2024 (“2024”) and December 31, 2023 (“2023”). Information concerning the fiscal year ended December 31, 2022 (“2022”) and a comparison of 2023 and 2022 may be found under “Item 7. Management’s Discussion and Analysis of Financial Condition and Results of Operations” in the Company’s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2023, filed with the SEC on March 1, 2024.</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192 patents granted and over 109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your technology is placed in a car, smart speaker or an appliance, for example.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6, 2024, we completed the acquisition of Amelia, a privately-held conversational AI software company involved in the development and delivery of AI and automation solutions and related services to improve customer experience and optimize business outcomes. We expect Amelia will bring together decades of experience in conversational AI, and highly complementary product portfolios, to offer best-in-class, scalable customer service support to a vast spectrum of businesses. These include some of the very largest multinational enterprise brands, top 15 global banks, and Fortune 500 organizations, with the combined company spanning nearly 200 marquee customers. We believe the acquisition of Amelia is expected to strengthen SoundHound’s position in voice and conversational AI and allow us to enter new industries such as healthcare, insurance, financial services, energy and retail, expanding our market reach. Refer to the "Liquidity and Capital Resources" section for discussion on the purchase price and the Acquisition's impact on SoundHound's liquidity.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certain significant costs relating to the SYNQ3 and Amelia Acquisitions, such as legal, accounting, financial advisory and other professional services fees, as well as other customary payments. Refer to "Item 1A. Risk Factors" in our Form 10-K for a discussion regarding the risks associated with the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ind w:left="66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spacing w:after="0" w:line="172" w:lineRule="exact"/>
        <w:rPr>
          <w:sz w:val="20"/>
          <w:szCs w:val="20"/>
          <w:color w:val="auto"/>
        </w:rPr>
      </w:pPr>
    </w:p>
    <w:p>
      <w:pPr>
        <w:jc w:val="both"/>
        <w:ind w:left="660" w:hanging="328"/>
        <w:spacing w:after="0" w:line="25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and Amelia which have synergistic businesses to ours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and Amelia, we may look to acquire other companies in the industry to develop synergies with our existing business.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to include 25 languages. We view opportunities for conversational Voice AI to be global in reach, and we expect our growth to be fueled across multiple geographies.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distinct professional services are recognized as the services are performed or when the services are complete depending on the arrangement.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“Amelia Software Platform”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solutions. Professional services are also offered and included within professional services revenue. The revenues from Amelia Software Platform are included within Service Subscriptions, and are recognized point in time or over time depending on the arrangement.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$83.3 million as of December 31, 2024. Given the applicable contract terms, $48.9 million is expected to be recognized as revenue within one year, $32.1 million is expected to be recognized between 2 to 5 years and the remainder of $2.3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consolidated financial statements included within this Annual Report on Form 10-K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and other acquisition as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and Amelia acquisitions. The contingent consideration was determined to be liability classified and is remeasured as of each reporting period with a corresponding change in fair value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Restructuring expenses consisted of employee severance payments, employee benefits and share-based compensation related to reduced headcount from our restructuring plan ("Restructuring Plan") announced in January 2023. The Restructuring Plan was complete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debt represents the loss associated with the repayment of the Amelia Debt in December 2024, the repayment of the Senior Secured Term Loan Credit Agreement with ACP Post OAK Credit II LLC (the "Term Loan") in June 2024 and the repayment of the 2021 note payable ("SVB March 2021 Note") and 2021 convertible note ("SCI June 2021 Note") in April 2023. See Note 10 of our notes to the consolidated financial statements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We expect the impact of the discounts from debt issuance costs to the interest expense will decrease due to the repayment of Amelia Debt in December 2024 and the repayment of Term Loan in June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change in fair value related to our derivative liability, interest income and other income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2024, we had $548.4 million of U.S. federal and $208.1 million of state net operating loss carryforwards available to reduce future taxable income. The federal and state net operating loss carryforwards will start to expire in 2025 and 2028, respectively, with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exception of $403.3 million federal net operating loss carryforwards and $11.0 million state net operating loss carryforwards, which can be carried forward indefinitely.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$21.4 million and $13.3 million, respectively, as of December 31, 2024. The federal credits will expire starting in 2029 if not utilized. The state credits can be carried forward indefinitely. We also had Canadian SR&amp;ED tax credits of $1.6 million, which expire starting in 2038 if not utilized.</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0"/>
                <w:szCs w:val="20"/>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5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57"/>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5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57"/>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4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426,046</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311,565</w:t>
            </w:r>
          </w:p>
        </w:tc>
        <w:tc>
          <w:tcPr>
            <w:tcW w:w="10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3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(272,745)</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1768 %</w:t>
            </w:r>
          </w:p>
        </w:tc>
      </w:tr>
      <w:tr>
        <w:trPr>
          <w:trHeight w:val="25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r>
      <w:tr>
        <w:trPr>
          <w:trHeight w:val="250"/>
        </w:trPr>
        <w:tc>
          <w:tcPr>
            <w:tcW w:w="4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5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56"/>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12 to our consolidated financial statements included within this report for more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3"/>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2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11,307</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34,566</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6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Pr>
          <w:p>
            <w:pPr>
              <w:spacing w:after="0"/>
              <w:rPr>
                <w:sz w:val="20"/>
                <w:szCs w:val="20"/>
                <w:color w:val="auto"/>
              </w:rPr>
            </w:pP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1"/>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0"/>
                <w:szCs w:val="20"/>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by 85% in 2024 compared to 2023. Service subscription revenue increased to $56.3 million, primarily based in the Americas, and was driven by the contribution of revenue from acquisitions. This was offset by a decrease in product royalties revenue, primarily in the Asia region, due to the minimum guarantee licensing or point in time revenue relating to Houndify Edge recognized in the previous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revenues increased by $32.0 million, or 283%, in 2024 compared to 2023. Gross margin decreased to 49% in 2024 compared to 75% in 2023 primarily due to the acquisitions of Amelia and SYNQ3, which included a mix of lower margin call center agent business from SYNQ3 and amortization of acquired intangible assets. In the past, our gross margin has fluctuated and may continue to fluctuate from quarter to quarter due to revenue contributions from varying product mixes. However, we expect to gradually improve gross margins in the mid-term, especially as it relates the integration of Amelia and SYNQ3.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$10.2 million, or 54%, from $29.1 million in 2024 compared to $18.9 million in 2023, primarily due to an increase in 2024 of $7.8 million in personnel-related cost, $0.9 million in advertising expense, $0.8 million in consulting fees, $0.8 million in legal and professional fees, $0.4 million in travel expense, and $0.3 million in office expense. The increase was partially offset by reduction of $0.9 million in information technology and facility expenses. Included in the sales and marketing expense is an increase of $4.3 million arising from the Amelia acquisition and $0.7 million arising from the SYNQ3 acquisition, stemming from increased personnel-related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$19.1 million, or 37%, in 2024 compared to 2023, primarily due to an increase in 2024 of $14.0 million in personnel-related cost, $6.4 million in cloud computing, $0.6 million in consulting fees, and $0.2 million in travel expense. The increase was partially offset by reduction of $1.8 million in information technology and facility expenses, and $0.3 million in legal expense. Included in the research and development expense is an increase of $2.3 million arising from the Amelia acquisition and $3.6 million arising from the SYNQ3 acquisition, stemming from increased personnel-related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$25.0 million, or 88%, in 2024 compared to 2023, primarily due to an increase in 2024 of $11.9 million in legal and professional fees, $10.1 million in personnel-related cost, $2.7 million in information technology and facility expenses, $0.9 million in office expense, $0.6 million in consulting fees, $0.5 million in cloud computing, $0.2 million in bad debt expense, and $0.1 million in travel expense. The SYNQ3 and Amelia Acquisitions led to increases in personnel-related costs and office expenses. This increase was partially offset by reduction of $0.9 million in property-related expense, $0.7 million in equipment rental expense, and $0.4 million in insurance expense. Included in the general and administrative expense is an increase of $3.0 million arising from the Amelia acquisition and $1.2 million arising from the SYNQ3 acquisition, stemming from increased personnel-related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Acquisition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driven by the movements in our stock price and changes in the assessed probability of achieving certain future revenue targets, was a loss of $222.7 million for the year ended December 31, 2024. The Company's year-end stock price increase resulted in an increase in its fair value of contingent acquisition liabilities where future Contingent Earnout Consideration and Contingent Holdback Consideration are marked-to-market on a quarterly basis, significantly impacting net loss and EPS during the year ended December 31, 2024. The fluctuation is non-operating and non-cash in nature. We will continue to review our estimates on a quarterly basis over the remaining earnout period until 2026. See Note 12 to our consolidated financial statements included within this report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cost of revenues and amortization of intangible assets in the Company’s consolidated statement of operations and comprehensive loss. All intangible assets are amortized on a straight-line basis over their estimated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vMerge w:val="continue"/>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restructuring expenses resulting from the Restructuring Plan recorded in the year ended December 31, 2024 as the Restructuring Plan was complete as of December 31, 2023, compared to $4.6 million of expenses incurred in the year ended December 31, 2023. Refer to "Liquidity and Capital Resources"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$15.6 million increase in loss on extinguishment of debt during the year ended December 31, 2024 was attributable to a loss on the repayment of Amelia Debt in December 2024 and the repayment of Term Loan in June 2024. See Note 10 to our consolidated financial statements included within this report for more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decreased by $4.6 million, or 27%, in 2024 compared to 2023. The decrease in interest expense was primarily attributable to the early repayment of Term Loan in June, 2024 and the interest expense from on our SVB March 2021 Note and SCI June 2021 Note in the year ended December 31, 2023, which were terminated at the time that the Term Loan was obtained in April 2023. The decrease in interest expense was partially offset by the increased interest expense of $2.0 million from Amelia Debt in the year ended December 31, 2024. We expect interest expense will decrease as a result of the extinguishment of Term Loan and Amelia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other income (expense), net by type ($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1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Pr>
          <w:p>
            <w:pPr>
              <w:spacing w:after="0"/>
              <w:rPr>
                <w:sz w:val="20"/>
                <w:szCs w:val="20"/>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7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4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8"/>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by $5.5 million, or 192%, in 2024 compared to 2023. The increase was primarily attributable to interest earned on greater money market and treasury bond balances during 2024 as we engaged in significant transactions that increased our liquidity. Refer to "Liquidity and Capital Resources" for a discussion of the changes in our business that led to an increase in cash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Equity Line of Credit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losses on changes in the fair value of the derivative liability associated with the ELOC (as defined below) of $1.9 million for the year ended December 31, 2023. There was no change in fair value of the derivative liability associated with the ELOC for the year ended December 31, 2024 as we sold the entirety of the 25,000,000 shares under the ELOC during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gain on bargain purchase of $1.2 million was recorded within other income (expense), net in the consolidated statements of operations and comprehensive loss in the year ended December 31, 2024 as a result of a favorable fair value of identifiable net assets acquired from an immaterial acquisition at the date of acquisition as compared with the purchase price. See Note 3 to our consolidated financial statements included within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spacing w:after="0"/>
              <w:rPr>
                <w:sz w:val="22"/>
                <w:szCs w:val="22"/>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Provision (benefit) for income taxes decreased by $13.2 million, or 336%, in 2024 compared to 2023. This decrease was primarily attributed to increased tax benefit from acquisitions.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2024 was $198.2 million. Although we have incurred recurring losses each year since its inception, we expect we will be able to fund our operations for at least the next twelve months. We believe we will meet longer-term expected future cash requirements and obligations through a combination of cash flows from operating activities, available cash balances and expected cash proceeds from the future at-the-market equity program. See Note 23 to our consolidated financial statements included within this report for more information on the cash proceeds from the at-the-market equity program launched subsequent to December 31, 2024. Our consolidated financial statements have been prepared assuming that we will continue as a going concern, which contemplates, among other things, the realization of assets and satisfaction of liabilities in the normal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as well as acquisition related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material cash requirements for future periods: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service provider agreement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64,000</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w:t>
            </w:r>
          </w:p>
        </w:tc>
        <w:tc>
          <w:tcPr>
            <w:tcW w:w="3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material cash requirements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16,208</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66,687</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the Equity Distribution Agreement with Citigroup Global Markets Inc., Barclays Capital Inc., Wedbush Securities Inc., Northland Securities, Inc. and Ladenburg Thalmann &amp; Co. Inc. on April 9, 2024 with regards to an at-the-market equity program. Under this program, we were able to offer and sell up to $150.0 million of shares of our Class A Common Stock from time to time through the managers. Sales of Class A Common Stock under the Equity Distribution Agreement were made at market prices by any method that is deemed to be an “at the market offering” as defined in Rule 415 under the Securities Act. The managers were entitled to commission at a fixed rate of 2.5% of the gross sales price per share for their services in acting as agents in the sale of our Class A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sold a total of 31,694,198 shares of our Class A common stock under the Equity Distribution Agreement, at a weighted-average price of $4.73 per share and raised $150.0 million of gross proceeds. After deducting approximately $3.7 million, of commissions and offering costs incurred by us, the net proceeds from sales of Class A common stock was $146.2 million during the year ended December 31, 2024. As of December 31, 2024, we had no remaining capacity to sell our Class A common stock under the Equity Distribution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Equity Distribution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12, 2024, the Company entered into an Execute Equity Distribution Agreement (the “Execute Equity Distribution Agreement”) with Barclays Capital Inc., Piper Sandler &amp; Co., D.A. Davidson &amp; Co., H.C. Wainwright &amp; Co., LLC, and Joseph Gunnar &amp; Co., LLC with respect to an at-the-market equity program under which we were able to offer and sell up to $120.0 million of shares of our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sold a total of 16,224,989 shares of our Class A common stock under the Execute Equity Distribution Agreement, at a weighted-average price of $7.40 per share and raised $120.0 million of gross proceeds. After deducting approximately $3.0 million of commissions and offering costs incurred by us, the net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sales of Class A common stock was $117.0 million during the year ended December 31, 2024. As of December 31, 2024, the Company had no remaining capacity to sell the Company's Class A common stock under the Execute Equity Distribution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We also issued 2,033,156 restricted shares of our Class A Common Stock subject to time and performance-based vesting conditions.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$2.1 million in acquisition related expenses, of which $1.0 million were incurred during the year ended December 31, 2024 and recorded as general and administration expenses in its consolidated statements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is being withheld for a period of 15 months (the “Holdback Amount”). We determined that there are two components to the Holdback Amount related to deferred consideration and contingent consideration, each comprised of cash and shares.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Holdback Consideration as a liability on the consolidated balance sheet. As of the SYNQ3 Acquisition Date, the Contingent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our consolidated statement of operations and comprehensive loss. For the year ended December 31, 2024, we recognized a loss of $3.7 million related to the Contingent Holdback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consolidated balance sheets and will subsequently remeasure the liability at each reporting date with changes in fair value recognized as a component of operating expense in our consolidated statement of operations and comprehensive loss. As of the SYNQ3 Acquisition Date, the Contingent SYNQ3 Earnout Consideration was estimated to be $1.7 million in aggregate and to be settled in $0.2 million cash and the remainder in shares of our Class A Common Stock. For the year ended December 31, 2024, we recognized a loss of $7.0 million related to the Contingent SYNQ3 Earnout Consideration, reflected in the change in fair value of contingent acquisition liabilities in the consolidated statement of operations and comprehensive loss. As of December 31, 2024,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2024 revenue target was not met but we assessed the 2025 and 2026 revenue target were probable of being met, and no earnout consideration was issued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year ended December 31, 2024, we recorded measurement period adjustments to decrease the deferred revenue by $0.1 million as the revenue recognition criteria had been met at the acquisition date and to increase the accrued liabilities by $1.8 million resulting from a pre-acquisition legal settlement, and to decrease the deferred tax liability assumed by $0.2 million. Refer to Note 8 to these consolidated financial statements for more information on the legal proceedings. These measurement period adjustments resulted in a decrease of $0.1 million in deferred cash consideration, $0.6 million in deferred equity consideration, and $0.4 million in contingent holdback consideration in accordance with the merger agreement. As a result of the adjusted acquisition-date fair value of assets acquired and liabilities assumed, we recorded an increase of $0.2 million to the goodwill recognized. The measurement period adjustments were recorded in the consolidated financial statements as of and for the year ended December 31, 2024 and were made to reflect facts and circumstances that existed as of the SYNQ3 Acquisition Date. The purchase price allocation has been finalized as of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preliminary purchase consideration was $98.6 million.</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See Note 10 to our consolidated financial statements included within this report for more information on the Amelia Debt.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Amelia Acquisition Date, we issued and deposited 2,149,530 shares of our Class A Common Stock into and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This derivative did not have a material impact to the financial statements for the year ended December 31, 2024. Upon the expiration of the escrow period, any remaining shares in the escrow account will be released to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pay up to 16,822,429 in shares of Class A Common Stock to the selling shareholders based on achievement of certain revenue targets in fiscal years 2025 and 2026 (the “Contingent Amelia Earnout Consideration”). We accounted for the Contingent Amelia Earnout Consideration as a liability within contingent acquisition liabilities on our consolidated balance sheet and will subsequently remeasure the liability at each reporting date with changes in fair value recognized as a component of operating expense in our consolidated statement of operations and comprehensive loss. As of the Amelia Acquisition Date, the Contingent Amelia Earnout Consideration had an estimated fair value of $66.3 million and will be settled in shares of our Class A Common Stock. For the year ended December 31, 2024, we recognized a $211.9 million loss related to the Contingent Amelia Earnout Consideration,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Amalia Earnout Consideration. As of December 31, 2024, we assessed the 2025 and 2026 revenue target were probable of being met.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December 31, 2024 primarily due to the final assessment of the fair values of the intangible assets, contingent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Amelia Acquisition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we recorded measurement period adjustments to increase the cash consideration by $12.8 thousand, to decrease the accounts receivable by $0.2 million, increase the accrued liabilities by $0.9 million due to additional payroll taxes identified, to decrease the non-current income tax liabilities by $1.8 million due to the change of pre-acquisition tax exposures subsequent to the acquisition. As a result of the adjusted acquisition-date fair value of cash consideration, assets acquired and liabilities assumed, we recorded a decrease of $0.7 million to the goodwill recognized. The measurement period adjustments were recorded in the consolidated financial statements as of and for the year ended December 31, 2024 and were made to reflect facts and circumstances that existed as of the Amelia Acquisition Date. In addition to the measurement period adjustments, we also recorded adjustments to correct certain errors in the preliminary purchase price allocation that existed as of the acquisition date during the year ended December 31, 2024, which decreased the contingent earnout consideration by $5.3 million, decreased the accounts payable by $3.7 million, decreased the accrued liabilities by $1.2 million, increased deferred revenue by $0.3 million and increased the deferred tax liabilities by $0.7 million. As a result of the adjusted acquisition-date fair value of contingent earnout consideration recognized, assets acquired and liabilities assumed, we recorded a decrease of $9.3 million to the goodwill recognized. The identified error related to the contingent earnout consideration had an immaterial impact to the change in fair value from the acquisition date through September 30, 2024, which would have been recorded in change in fair value of contingent acquisition liabilities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preliminary purchase consideration of $1.0 million. As part of the acquisition, we acquired net assets of $2.2 million, including intangible assets of $2.6 million, and recognized a preliminary gain on bargain purchase of $1.2 million within other income (expense), net in the consolidated statements of operations and comprehensive loss during the year ended December 31, 2024,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December 31,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adjustments had been completed as of the acquisition date. We expect to finalize the purchase price allocation within 12 months from the acquisition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$0.1 million in acquisition related expenses during the year ended December 31, 2024 and recorded as general and administration expenses in its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28, 2023, we entered into the Sales Agreement with Cantor Fitzgerald &amp; Co., H.C. Wainwright &amp; Co., LLC, and D.A. Davidson &amp; Co., pursuant to which we were able to offer and sell up to $150.0 million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agreed to reimburse the sales agents for certain specified expenses, including the reasonable and documented fees and disbursements of its legal counsel in an amount of $75 thousand in the aggregate in connection with the execution of the Sales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sold a total of 37,907,219 shares of our Class A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us, the net proceeds from sales of Class A common stock was $133.8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“Term Loan Closing Date”), we entered into a Senior Secured Term Loan Credit Agreement (the “Credit Agreement”) with ACP Post Oak Credit II LLC, as Administrative Agent and Collateral Agent for the Lenders (the “Agent”), and the lenders from time to time party thereto (the “Lenders”). The Credit Agreement provided for a term loan facility in an aggregate principal amount of up to $100.0 million, the entirety of which was funded on the Term Loan Closing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interest rate was approximately 14.0%. Subject to certain exceptions as set forth in the Credit Agreement, interest on the Term Loan is payable quarterly in arrears on the last business day of each fiscal quarter. The Term Loan was set to mature on April 14, 2027 (the “Maturity Date”). The Credit Agreement provided for no scheduled principal payments prior to the Maturity Date. Refer to Note 10 of the consolidated financial statements for further information regarding the Credit Agreement, and amortization of the debt issuance cost and debt discount.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2024, we entered into a letter agreement (the “Payoff Letter”) to prepay in full all indebtedness and other amounts outstanding and owing under the Credit Agreement. In connection with the Term Loan prepayment, we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and on August 7, 2024, we paid $70.0 million in cash to pay down a portion of the outstanding principal balance and issued 2,943,917 shares of Class A common stock to settle certain fees associated with the Amelia Debt. The remaining outstanding balance of $39.7 million had a maturity date of June 30, 2026 (the “Maturity Date”) and provided, at our election, for payment of a portion of interest in cash or in kind ("PIK"), in which case interest would be capitalized and added to the outstanding principal amount, with principal and accrued interest due at the Maturity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we entered into a letter agreement (the “Amelia Debt Payoff Letter”) to prepay in full all indebtedness and other amounts outstanding and owing under the Amelia Debt Credit Agreement. In connection with the Amelia Debt prepayment, we paid a total of $39.8 million on December 4, 2024, which consisted of the remaining principal amount outstanding of $39.8 million and transaction expenses of $42 thousand, resulting in a loss on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of $42 thousand. Refer to Note 10 of the consolidated financial statements for further information regarding the Amelia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(ELOC)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we entered into a common stock purchase agreement (the “Common Stock Purchase Agreement”) and related registration rights agreement (the “CFPI Registration Rights Agreement”) with CF Principal Investments LLC (the “Counterparty”). Pursuant to the Common Stock Purchase Agreement, we had the right to sell to the Counterparty up to the lesser of (i) 25,000,000 shares of Class A Common Stock and (ii) the Exchange Cap (as defined in the Common Stock Purchase Agreement), subject to certain limitations and conditions set forth in the Common Stock Purchase Agreement (the "ELOC Shares"). On February 14, 2023, our Registration Statement on Form S-1 registering the resale of the ELOC Shares (the "ELOC Registration Statement") was declared effective. On March 31, 2023, a post-effective amendment to the ELOC Registration Statement was declared effective. During the year ended December 31, 2023, we sold the entirety of the 25,000,000 shares under the ELOC program for aggregate proceeds of approximately $71.7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around January 20, 2023, we entered into Preferred Stock Purchase Agreements with certain investors (the "Investors"), pursuant to which we issued and sold to the Investors an aggregate of 835,011 shares of our newly designated Series A Convertible Preferred Stock for an aggregate issue price of approximately $25.0 million.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share of Series A Preferred Stock was convertible, at the option of the holder, into such number of shares of Class A Common Stock equal to the liquidation preference per share ("Liquidation Preference") at the time of conversion divided by $1.00 (the “Conversion Price”). In addition, each share of Series A Preferred Stock would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year ended December 31,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all the Series A Preferred Stock have been converted to Class A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were entitled to cumulative dividends payable for such share at the rate of 14% per annum, compounding semi-annually to Liquidation Preference on January 1 and July 1 of each year. Total cumulative dividends attributable to Series A Preferred Stock for the year ended December 31, 2024 were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8, Note 10 and Note 16 to our consolidated financial statements included within this Annual Report on Form 10-K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9456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(68,265)</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4"/>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168,237</w:t>
            </w:r>
          </w:p>
        </w:tc>
      </w:tr>
      <w:tr>
        <w:trPr>
          <w:trHeight w:val="270"/>
        </w:trPr>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99,560</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95" w:lineRule="exact"/>
        <w:rPr>
          <w:sz w:val="20"/>
          <w:szCs w:val="20"/>
          <w:color w:val="auto"/>
        </w:rPr>
      </w:pPr>
    </w:p>
    <w:p>
      <w:pPr>
        <w:sectPr>
          <w:pgSz w:w="11900" w:h="16838" w:orient="portrait"/>
          <w:cols w:equalWidth="0" w:num="2">
            <w:col w:w="7460" w:space="720"/>
            <w:col w:w="3060"/>
          </w:cols>
          <w:pgMar w:left="320" w:top="337" w:right="339" w:bottom="1440" w:gutter="0" w:footer="0" w:header="0"/>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$108.9 million during 2024 compared to $68.3 million during 2023.The $40.6 million decrease in cash used in operating activities was primarily due to our increased net loss of $261.7 million, a net decrease in changes in operating assets and liabilities of $15.8 million, an increase in deferred income taxes of $12.2 million resulting from the tax benefit from acquisitions, a decrease in amortization of debt issuance cost of $3.8 million, a decrease in loss on change in fair value of ELOC program of $1.9 million, and a decrease in non-cash lease amortization of $0.7 million, a net increase in other non-cash loss of $0.7 million, and an increase in foreign currency gain from remeasurement of $0.2 million. This was partially offset by an increase of $222.7 million in change in the fair value of contingent acquisition liabilities, $14.8 million in loss on early extinguishment of debt, $13.7 million in depreciation and amortization, and $5.2 million in stock-based compensation. The main driver for the increased operating cash outflow was the acquisitions closed during 2024, which resulted in the higher operating expenses, such as personnel related costs and acquisition related costs, compared to the prior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$12.4 million during 2024 compared to $0.4 million during 2023. The $12.0 million increase in cash used in investing activities was primarily driven by the payments related to acquisitions of $11.7 million and an increase in purchases of property and equipment of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$210.9 million during 2024 compared to $168.2 million during 2023. The $42.7 million increase in cash provided by financing activities was primarily due to the $384.5 million increase in net proceeds from sales of Class A Common Stock under the Sales Agreement, Equity Distribution Agreement and Execute Equity Distribution Agreement, and an increase of $29.7 million in proceeds from exercise of stock options and employee stock purchase plan. This was partially offset by the $215.4 million of the repayment of Term Loan and Amelia Debt during the year ended December 31, 2024 compared to the $35.0 million of the repayment of SVB March 2021 Note and the SCI June 2021 Note during the year ended December 31, 2023, $71.6 million decrease in net proceeds from sales of Class A Common Stock under the ELOC program during the year ended December 31, 2023, a decrease of $85.1 million in net proceeds from the issuance of Term Loan, a decrease of $24.9 million in net proceeds from the one-time issuance of Series A Preferred Stock, and a decrease of $9.4 million in net proceeds from the issuance of common stock during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judgement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revenue recognition, derivative liabilities, warrant liabilities, stock-based compensation, business combinations, contingent consideration, goodwill, and intangible assets with definite lives, have the greatest potential impact on our consolidated financial statements. These areas are key components of our results of operations and are based on complex rules requiring us to make judgments and estimates, and consequently, we consider these to be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with customers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primarily derive revenue from the following performance obligations: (1) hosted services, (2) professional services, (3) monetization, and (4) licensing. We apply significant judgement in identifying and evaluating any terms and conditions in contracts which may impact 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and Amelia software platform over the contract period without taking possession of the software.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are categorized as hosted services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and other professional services, are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represents variable consideration with the constrained estimate. Therefore, we recognize the related revenues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it does not set the price. Based on these factors, we report revenue on a net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license voice and Amelia's software solutions that are embedded in customers' products or services. Licensing revenue is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usage-based arrangements with a per unit pricing or on fixed considerations. The Company records licensing revenue relating to usage-based royalty arrangements in the same period in which the underlying usage occurs. Licensing revenue on fixed considerations including fixed fee and minimum guarantee from usage-based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80"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certain agreements to sell common stock with counterparties to further support our growth strategy through initiatives such as accretive acquisitions and internal investments, to bolster working capital and for general corporate purposes. We evaluate our common stock purchase agreements to determine whether they are indexed to our own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and therefore whether they should be accounted for as derivatives with changes in fair value as other income (expense), net in the consolidated statement of operations and comprehensive loss in the period in which they occur. We subsequently assess the changes in the fair value of the derivative liability and record these changes through profit or loss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expense, net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 We use the Black-Scholes option-pricing model to determine the fair value of stock options and ESPP shares. The Black-Scholes option-pricing model requires the use of highly subjective and complex assumptions to determine the fair value of the awards, including the expected term of the award and the price volatility of the underlying stock. We calculate the fair value of the awards by using the Black-Scholes option-pricing model with the following assumptions:</w:t>
      </w:r>
    </w:p>
    <w:p>
      <w:pPr>
        <w:spacing w:after="0" w:line="18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We estimate volatility for the awards by evaluating the average historical volatility of a peer group of companies for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the award grant for a term that is approximately equal to the awards’ expected term.</w:t>
      </w:r>
    </w:p>
    <w:p>
      <w:pPr>
        <w:spacing w:after="0" w:line="15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awards represents the period that the stock-based awards are expected to be outstanding. We have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use the midpoint between the stock options’ vesting term and contractual expiration period to compute the expected term, as we do not have sufficient historical information to develop reasonable expectations about future exercise patterns and post-vesting employment termination behavior. For the valuation of ESPP shares, we use the period of time from the valuation date to the purchase date.</w:t>
      </w:r>
    </w:p>
    <w:p>
      <w:pPr>
        <w:spacing w:after="0" w:line="18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equal to the awards' expected term at the grant date.</w:t>
      </w:r>
    </w:p>
    <w:p>
      <w:pPr>
        <w:spacing w:after="0" w:line="158"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zero.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Contingent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whichever comes first, any subsequent adjustments are recorded to our consolidated statements of operations in the period they are identified.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expenses are recognized separately from the business combination and expensed as incurred.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 the estimated fair value of contingent consideration as a liability in the consolidated balance sheet. We 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 goodwill for impairment annually on October 1st unless a triggering event requires an analysis sooner. There was no goodwill impairment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of our notes to the consolidated financial statements included within this Annual Report on Form 10-K for information regarding recent accounting pronouncements that are of significance, or potential significance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presented in U.S. dollars, which is also the functional currency for our foreign operations. Where transactions may be denominated in foreign currencies, we are subject to market risk with respect to fluctuations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value of currencies. During the years ended December 31, 2024 and December 31, 2023, we recorded the exchange rate losses of approximately $0.7 million and $0.5 million, respectively. We do not believe that an immediate 10% increase or decrease in the relative value of the U.S. dollar to other currencies would have a material effect on operating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7"/>
        </w:trPr>
        <w:tc>
          <w:tcPr>
            <w:tcW w:w="20" w:type="dxa"/>
            <w:vAlign w:val="bottom"/>
            <w:shd w:val="clear" w:color="auto" w:fill="CCEEFF"/>
          </w:tcPr>
          <w:p>
            <w:pPr>
              <w:spacing w:after="0"/>
              <w:rPr>
                <w:sz w:val="20"/>
                <w:szCs w:val="20"/>
                <w:color w:val="auto"/>
              </w:rPr>
            </w:pPr>
          </w:p>
        </w:tc>
        <w:tc>
          <w:tcPr>
            <w:tcW w:w="98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(PricewaterhouseCoopers LLP, PCAOB ID:238)</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r>
      <w:tr>
        <w:trPr>
          <w:trHeight w:val="189"/>
        </w:trPr>
        <w:tc>
          <w:tcPr>
            <w:tcW w:w="20" w:type="dxa"/>
            <w:vAlign w:val="bottom"/>
            <w:tcBorders>
              <w:top w:val="single" w:sz="8" w:color="CCEEFF"/>
            </w:tcBorders>
          </w:tcPr>
          <w:p>
            <w:pPr>
              <w:spacing w:after="0"/>
              <w:rPr>
                <w:sz w:val="16"/>
                <w:szCs w:val="16"/>
                <w:color w:val="auto"/>
              </w:rPr>
            </w:pPr>
          </w:p>
        </w:tc>
        <w:tc>
          <w:tcPr>
            <w:tcW w:w="776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(Armanino LLP, PCAOB ID: 32)</w:t>
            </w:r>
          </w:p>
        </w:tc>
        <w:tc>
          <w:tcPr>
            <w:tcW w:w="2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780" w:type="dxa"/>
            <w:vAlign w:val="bottom"/>
            <w:tcBorders>
              <w:bottom w:val="single" w:sz="8" w:color="CCEEFF"/>
            </w:tcBorders>
            <w:gridSpan w:val="7"/>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r>
      <w:tr>
        <w:trPr>
          <w:trHeight w:val="189"/>
        </w:trPr>
        <w:tc>
          <w:tcPr>
            <w:tcW w:w="20" w:type="dxa"/>
            <w:vAlign w:val="bottom"/>
          </w:tcPr>
          <w:p>
            <w:pPr>
              <w:spacing w:after="0"/>
              <w:rPr>
                <w:sz w:val="16"/>
                <w:szCs w:val="16"/>
                <w:color w:val="auto"/>
              </w:rPr>
            </w:pPr>
          </w:p>
        </w:tc>
        <w:tc>
          <w:tcPr>
            <w:tcW w:w="98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7"/>
        </w:trPr>
        <w:tc>
          <w:tcPr>
            <w:tcW w:w="20" w:type="dxa"/>
            <w:vAlign w:val="bottom"/>
            <w:shd w:val="clear" w:color="auto" w:fill="CCEEFF"/>
          </w:tcPr>
          <w:p>
            <w:pPr>
              <w:spacing w:after="0"/>
              <w:rPr>
                <w:sz w:val="20"/>
                <w:szCs w:val="20"/>
                <w:color w:val="auto"/>
              </w:rPr>
            </w:pPr>
          </w:p>
        </w:tc>
        <w:tc>
          <w:tcPr>
            <w:tcW w:w="98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r>
              <w:rPr>
                <w:rFonts w:ascii="Times New Roman" w:cs="Times New Roman" w:eastAsia="Times New Roman" w:hAnsi="Times New Roman"/>
                <w:sz w:val="18"/>
                <w:szCs w:val="18"/>
                <w:color w:val="000000"/>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r>
      <w:tr>
        <w:trPr>
          <w:trHeight w:val="189"/>
        </w:trPr>
        <w:tc>
          <w:tcPr>
            <w:tcW w:w="20" w:type="dxa"/>
            <w:vAlign w:val="bottom"/>
            <w:tcBorders>
              <w:top w:val="single" w:sz="8" w:color="CCEEFF"/>
            </w:tcBorders>
          </w:tcPr>
          <w:p>
            <w:pPr>
              <w:spacing w:after="0"/>
              <w:rPr>
                <w:sz w:val="16"/>
                <w:szCs w:val="16"/>
                <w:color w:val="auto"/>
              </w:rPr>
            </w:pPr>
          </w:p>
        </w:tc>
        <w:tc>
          <w:tcPr>
            <w:tcW w:w="744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440" w:type="dxa"/>
            <w:vAlign w:val="bottom"/>
            <w:tcBorders>
              <w:top w:val="single" w:sz="8" w:color="CCEEFF"/>
            </w:tcBorders>
            <w:gridSpan w:val="2"/>
          </w:tcPr>
          <w:p>
            <w:pPr>
              <w:spacing w:after="0"/>
              <w:rPr>
                <w:sz w:val="16"/>
                <w:szCs w:val="16"/>
                <w:color w:val="auto"/>
              </w:rPr>
            </w:pPr>
          </w:p>
        </w:tc>
        <w:tc>
          <w:tcPr>
            <w:tcW w:w="10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75</w:t>
            </w:r>
          </w:p>
        </w:tc>
      </w:tr>
      <w:tr>
        <w:trPr>
          <w:trHeight w:val="48"/>
        </w:trPr>
        <w:tc>
          <w:tcPr>
            <w:tcW w:w="2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98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080"/>
          </w:cols>
          <w:pgMar w:left="320" w:top="337" w:right="49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163"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SoundHound AI, Inc.</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42" w:lineRule="exact"/>
        <w:rPr>
          <w:sz w:val="20"/>
          <w:szCs w:val="20"/>
          <w:color w:val="auto"/>
        </w:rPr>
      </w:pPr>
    </w:p>
    <w:p>
      <w:pPr>
        <w:spacing w:after="0" w:line="229" w:lineRule="auto"/>
        <w:rPr>
          <w:sz w:val="20"/>
          <w:szCs w:val="20"/>
          <w:color w:val="auto"/>
        </w:rPr>
      </w:pPr>
      <w:r>
        <w:rPr>
          <w:rFonts w:ascii="Georgia" w:cs="Georgia" w:eastAsia="Georgia" w:hAnsi="Georgia"/>
          <w:sz w:val="18"/>
          <w:szCs w:val="18"/>
          <w:color w:val="auto"/>
        </w:rPr>
        <w:t>We have audited the accompanying consolidated balance sheets of SoundHound AI, Inc. and its subsidiaries (the "Company") as of December 31, 2024 and 2023, and the related consolidated statements of operations and comprehensive loss, of redeemable convertible preferred stock</w:t>
      </w:r>
    </w:p>
    <w:p>
      <w:pPr>
        <w:spacing w:after="0" w:line="1"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 xml:space="preserve">and stockholders' equity (deficit) and of cash flows for the years then ended, including the related notes (collectively referred to as the "consolidated financial statements"). We also have audited the Company's internal control over financial reporting as of December 31,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4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2024, based on criteria established in </w:t>
      </w:r>
      <w:r>
        <w:rPr>
          <w:rFonts w:ascii="Georgia" w:cs="Georgia" w:eastAsia="Georgia" w:hAnsi="Georgia"/>
          <w:sz w:val="18"/>
          <w:szCs w:val="18"/>
          <w:i w:val="1"/>
          <w:iCs w:val="1"/>
          <w:color w:val="auto"/>
        </w:rPr>
        <w:t>Internal Control -</w:t>
      </w:r>
      <w:r>
        <w:rPr>
          <w:rFonts w:ascii="Georgia" w:cs="Georgia" w:eastAsia="Georgia" w:hAnsi="Georgia"/>
          <w:sz w:val="18"/>
          <w:szCs w:val="18"/>
          <w:color w:val="auto"/>
        </w:rPr>
        <w:t xml:space="preserve"> </w:t>
      </w:r>
      <w:r>
        <w:rPr>
          <w:rFonts w:ascii="Georgia" w:cs="Georgia" w:eastAsia="Georgia" w:hAnsi="Georgia"/>
          <w:sz w:val="18"/>
          <w:szCs w:val="18"/>
          <w:i w:val="1"/>
          <w:iCs w:val="1"/>
          <w:color w:val="auto"/>
        </w:rPr>
        <w:t xml:space="preserve">Integrated Framework </w:t>
      </w:r>
      <w:r>
        <w:rPr>
          <w:rFonts w:ascii="Georgia" w:cs="Georgia" w:eastAsia="Georgia" w:hAnsi="Georgia"/>
          <w:sz w:val="18"/>
          <w:szCs w:val="18"/>
          <w:color w:val="auto"/>
        </w:rPr>
        <w:t>(2013) issued by the COSO because material weaknesses in internal control over financial reporting existed as of that</w:t>
      </w:r>
      <w:r>
        <w:rPr>
          <w:rFonts w:ascii="Georgia" w:cs="Georgia" w:eastAsia="Georgia" w:hAnsi="Georgia"/>
          <w:sz w:val="18"/>
          <w:szCs w:val="18"/>
          <w:i w:val="1"/>
          <w:iCs w:val="1"/>
          <w:color w:val="auto"/>
        </w:rPr>
        <w:t xml:space="preserve"> </w:t>
      </w:r>
      <w:r>
        <w:rPr>
          <w:rFonts w:ascii="Georgia" w:cs="Georgia" w:eastAsia="Georgia" w:hAnsi="Georgia"/>
          <w:sz w:val="18"/>
          <w:szCs w:val="18"/>
          <w:color w:val="auto"/>
        </w:rPr>
        <w:t>date related to the Company not designing and maintaining (i) an effective control environment due to insufficient oversight of activities related to internal control over financial reporting due to lack of an appropriate level of experience and training commensurate with the</w:t>
      </w:r>
    </w:p>
    <w:p>
      <w:pPr>
        <w:spacing w:after="0" w:line="4" w:lineRule="exact"/>
        <w:rPr>
          <w:sz w:val="20"/>
          <w:szCs w:val="20"/>
          <w:color w:val="auto"/>
        </w:rPr>
      </w:pPr>
    </w:p>
    <w:p>
      <w:pPr>
        <w:ind w:right="320"/>
        <w:spacing w:after="0" w:line="243" w:lineRule="auto"/>
        <w:rPr>
          <w:sz w:val="20"/>
          <w:szCs w:val="20"/>
          <w:color w:val="auto"/>
        </w:rPr>
      </w:pPr>
      <w:r>
        <w:rPr>
          <w:rFonts w:ascii="Georgia" w:cs="Georgia" w:eastAsia="Georgia" w:hAnsi="Georgia"/>
          <w:sz w:val="17"/>
          <w:szCs w:val="17"/>
          <w:color w:val="auto"/>
        </w:rPr>
        <w:t>Company’s financial reporting requirements, (ii) effective controls to respond to changes to the risks of material misstatement to financial reporting which resulted in the Company, including the SYNQ3 and Amelia entities which were acquired during 2024, not designing and</w:t>
      </w:r>
    </w:p>
    <w:p>
      <w:pPr>
        <w:ind w:right="120"/>
        <w:spacing w:after="0" w:line="251" w:lineRule="auto"/>
        <w:rPr>
          <w:sz w:val="20"/>
          <w:szCs w:val="20"/>
          <w:color w:val="auto"/>
        </w:rPr>
      </w:pPr>
      <w:r>
        <w:rPr>
          <w:rFonts w:ascii="Georgia" w:cs="Georgia" w:eastAsia="Georgia" w:hAnsi="Georgia"/>
          <w:sz w:val="17"/>
          <w:szCs w:val="17"/>
          <w:color w:val="auto"/>
        </w:rPr>
        <w:t>maintaining effective controls related to substantially all accounts and disclosures, (iii) effective controls to identify and appropriately account for certain non-routine, unusual or complex transactions, including accounting for complex financing transactions and acquisitions,</w:t>
      </w:r>
    </w:p>
    <w:p>
      <w:pPr>
        <w:spacing w:after="0" w:line="1" w:lineRule="exact"/>
        <w:rPr>
          <w:sz w:val="20"/>
          <w:szCs w:val="20"/>
          <w:color w:val="auto"/>
        </w:rPr>
      </w:pPr>
    </w:p>
    <w:p>
      <w:pPr>
        <w:ind w:right="100" w:firstLine="8"/>
        <w:spacing w:after="0" w:line="237" w:lineRule="auto"/>
        <w:tabs>
          <w:tab w:leader="none" w:pos="320" w:val="left"/>
        </w:tabs>
        <w:numPr>
          <w:ilvl w:val="0"/>
          <w:numId w:val="36"/>
        </w:numPr>
        <w:rPr>
          <w:rFonts w:ascii="Georgia" w:cs="Georgia" w:eastAsia="Georgia" w:hAnsi="Georgia"/>
          <w:sz w:val="18"/>
          <w:szCs w:val="18"/>
          <w:color w:val="auto"/>
        </w:rPr>
      </w:pPr>
      <w:r>
        <w:rPr>
          <w:rFonts w:ascii="Georgia" w:cs="Georgia" w:eastAsia="Georgia" w:hAnsi="Georgia"/>
          <w:sz w:val="18"/>
          <w:szCs w:val="18"/>
          <w:color w:val="auto"/>
        </w:rPr>
        <w:t>effective controls to verify appropriate segregation of duties, including assessment of incompatible duties and addressing conflicts on a timely basis, and (v) effective controls over certain information technology general controls over information systems that are relevant to the preparation of the Company’s financial statements, including not maintaining user access controls, program change management controls, and computer operations controls.</w:t>
      </w:r>
    </w:p>
    <w:p>
      <w:pPr>
        <w:spacing w:after="0" w:line="24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231"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4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45" w:lineRule="exact"/>
        <w:rPr>
          <w:sz w:val="20"/>
          <w:szCs w:val="20"/>
          <w:color w:val="auto"/>
        </w:rPr>
      </w:pPr>
    </w:p>
    <w:p>
      <w:pPr>
        <w:ind w:right="320"/>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7"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42" w:lineRule="exact"/>
        <w:rPr>
          <w:sz w:val="20"/>
          <w:szCs w:val="20"/>
          <w:color w:val="auto"/>
        </w:rPr>
      </w:pPr>
    </w:p>
    <w:p>
      <w:pPr>
        <w:ind w:right="20"/>
        <w:spacing w:after="0" w:line="243" w:lineRule="auto"/>
        <w:rPr>
          <w:sz w:val="20"/>
          <w:szCs w:val="20"/>
          <w:color w:val="auto"/>
        </w:rPr>
      </w:pPr>
      <w:r>
        <w:rPr>
          <w:rFonts w:ascii="Georgia" w:cs="Georgia" w:eastAsia="Georgia" w:hAnsi="Georgia"/>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w:t>
      </w:r>
    </w:p>
    <w:p>
      <w:pPr>
        <w:ind w:right="80"/>
        <w:spacing w:after="0" w:line="237" w:lineRule="auto"/>
        <w:rPr>
          <w:sz w:val="20"/>
          <w:szCs w:val="20"/>
          <w:color w:val="auto"/>
        </w:rPr>
      </w:pPr>
      <w:r>
        <w:rPr>
          <w:rFonts w:ascii="Georgia" w:cs="Georgia" w:eastAsia="Georgia" w:hAnsi="Georgia"/>
          <w:sz w:val="18"/>
          <w:szCs w:val="18"/>
          <w:color w:val="auto"/>
        </w:rPr>
        <w:t>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w:t>
      </w:r>
    </w:p>
    <w:p>
      <w:pPr>
        <w:spacing w:after="0" w:line="242"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As described in Notes 2 and 4 to the consolidated financial statements, the Company derives its revenue primarily from the following performance obligations: (1) hosted services, (2) professional services, (3) monetization and (4) licensing. Contracts are accounted for by management when the parties have approved and committed to the contract, the rights of the parties and payment terms are identifiable, the contract has commercial substance and collectability of consideration is probable. Revenues are generally recognized upon the transfer of control of promised products or services provided to customers, reflecting the amount of consideration the Company expects to receive for those products or services. Management applies significant judgment in identifying and evaluating terms and conditions in contracts which impact revenue recognition. The Company’s consolidated revenues for the year ended December 31, 2024 were $84.7 million.</w:t>
      </w:r>
    </w:p>
    <w:p>
      <w:pPr>
        <w:spacing w:after="0" w:line="233"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recognition is a critical audit matter are (i) the significant judgment by management in identifying and evaluating terms and conditions in contracts with customers which impact revenue recognition and (ii) a high degree of auditor judgment, subjectivity and effort in performing procedures and evaluating audit evidence relating to revenue recognition. As described in the “Opinions on the Financial Statements and Internal Control over Financial Reporting” section, material weaknesses were identified related to this matter.</w:t>
      </w:r>
    </w:p>
    <w:p>
      <w:pPr>
        <w:spacing w:after="0" w:line="246"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 material weaknesses identified; (ii) obtaining an understanding of management’s process for identifying and evaluating terms and conditions in contracts, including evaluating management’s determination of the impact of those terms and conditions on revenue recognition; (iii) testing, on a sample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basis, (a) the completeness and accuracy of management’s identification and evaluation of terms and conditions by examining contracts and</w:t>
      </w:r>
    </w:p>
    <w:p>
      <w:pPr>
        <w:ind w:right="20" w:firstLine="8"/>
        <w:spacing w:after="0" w:line="237" w:lineRule="auto"/>
        <w:tabs>
          <w:tab w:leader="none" w:pos="279" w:val="left"/>
        </w:tabs>
        <w:numPr>
          <w:ilvl w:val="0"/>
          <w:numId w:val="37"/>
        </w:numPr>
        <w:rPr>
          <w:rFonts w:ascii="Georgia" w:cs="Georgia" w:eastAsia="Georgia" w:hAnsi="Georgia"/>
          <w:sz w:val="18"/>
          <w:szCs w:val="18"/>
          <w:color w:val="auto"/>
        </w:rPr>
      </w:pPr>
      <w:r>
        <w:rPr>
          <w:rFonts w:ascii="Georgia" w:cs="Georgia" w:eastAsia="Georgia" w:hAnsi="Georgia"/>
          <w:sz w:val="18"/>
          <w:szCs w:val="18"/>
          <w:color w:val="auto"/>
        </w:rPr>
        <w:t>revenue transactions by obtaining and inspecting source documents, such as contracts, purchase orders, invoices, proof of delivery, and subsequent cash receipts; (iv) testing, on a sample basis, the timing of recognition of revenue transactions; and (v) testing, on a sample basis, the determination of the standalone selling price of performance obligations and testing the completeness and accuracy of the underlying data used by management in determining standalone selling price of performance obligations.</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Acquisition of Amelia Holdings, Inc. – Valuation of Developed Technology and Customer Relationships</w:t>
      </w:r>
    </w:p>
    <w:p>
      <w:pPr>
        <w:spacing w:after="0" w:line="242" w:lineRule="exact"/>
        <w:rPr>
          <w:sz w:val="20"/>
          <w:szCs w:val="20"/>
          <w:color w:val="auto"/>
        </w:rPr>
      </w:pPr>
    </w:p>
    <w:p>
      <w:pPr>
        <w:ind w:right="20"/>
        <w:spacing w:after="0" w:line="243" w:lineRule="auto"/>
        <w:rPr>
          <w:sz w:val="20"/>
          <w:szCs w:val="20"/>
          <w:color w:val="auto"/>
        </w:rPr>
      </w:pPr>
      <w:r>
        <w:rPr>
          <w:rFonts w:ascii="Georgia" w:cs="Georgia" w:eastAsia="Georgia" w:hAnsi="Georgia"/>
          <w:sz w:val="17"/>
          <w:szCs w:val="17"/>
          <w:color w:val="auto"/>
        </w:rPr>
        <w:t>As described in Notes 2 and 3 to the consolidated financial statements, on August 6, 2024, the Company completed the acquisition of Amelia Holdings, Inc. (Amelia) for total consideration of $98.6 million. Of the acquired intangible assets, $98.9 million of developed technology and</w:t>
      </w:r>
    </w:p>
    <w:p>
      <w:pPr>
        <w:ind w:right="20"/>
        <w:spacing w:after="0" w:line="237" w:lineRule="auto"/>
        <w:rPr>
          <w:sz w:val="20"/>
          <w:szCs w:val="20"/>
          <w:color w:val="auto"/>
        </w:rPr>
      </w:pPr>
      <w:r>
        <w:rPr>
          <w:rFonts w:ascii="Georgia" w:cs="Georgia" w:eastAsia="Georgia" w:hAnsi="Georgia"/>
          <w:sz w:val="18"/>
          <w:szCs w:val="18"/>
          <w:color w:val="auto"/>
        </w:rPr>
        <w:t>$68.6 million of customer relationships were recorded. Fair value of the acquired intangible assets was determined using an income approach, specifically the multi-period excess earnings method or the with-and-without method, depending on the nature of the respective asset.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the discount rate, revenue growth rates, and prospective financial information for cost of sales and fixed and variable operating expenses.</w:t>
      </w:r>
    </w:p>
    <w:p>
      <w:pPr>
        <w:spacing w:after="0" w:line="246"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valuation of the developed technology and customer relationships acquired in the acquisition of Amelia are (i) the significant judgment by management when developing the fair value estimate of the developed technology and customer relationships acquired; (ii) a high degree of auditor judgment, subjectivity and effort in performing procedures and evaluating management’s significant assumptions related to revenue growth rates, prospective financial information for cost of sales, research and development expenses and other operating expenses, the discount rate, the technological</w:t>
      </w:r>
    </w:p>
    <w:p>
      <w:pPr>
        <w:spacing w:after="0" w:line="3" w:lineRule="exact"/>
        <w:rPr>
          <w:sz w:val="20"/>
          <w:szCs w:val="20"/>
          <w:color w:val="auto"/>
        </w:rPr>
      </w:pPr>
    </w:p>
    <w:p>
      <w:pPr>
        <w:ind w:right="20"/>
        <w:spacing w:after="0" w:line="229" w:lineRule="auto"/>
        <w:rPr>
          <w:sz w:val="20"/>
          <w:szCs w:val="20"/>
          <w:color w:val="auto"/>
        </w:rPr>
      </w:pPr>
      <w:r>
        <w:rPr>
          <w:rFonts w:ascii="Georgia" w:cs="Georgia" w:eastAsia="Georgia" w:hAnsi="Georgia"/>
          <w:sz w:val="18"/>
          <w:szCs w:val="18"/>
          <w:color w:val="auto"/>
        </w:rPr>
        <w:t>obsolescence rate, and contributory asset charges for developed technology, and the discount rate, revenue growth rates, and prospective financial information for cost of sales and fixed and variable operating expenses for customer relationships; and (iii) the audit effort involved</w:t>
      </w:r>
    </w:p>
    <w:p>
      <w:pPr>
        <w:spacing w:after="0" w:line="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use of professionals with specialized skill and knowledge. As described in the “Opinions on the Financial Statements and Internal Control over Financial Reporting” section, material weaknesses were identified related to this matter.</w:t>
      </w:r>
    </w:p>
    <w:p>
      <w:pPr>
        <w:spacing w:after="0" w:line="244"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among others (i) evaluating and determining the nature and extent of audit procedures performed and evidence obtained that are responsive to the material weaknesses identified; (ii) reading the purchase agreement;</w:t>
      </w:r>
    </w:p>
    <w:p>
      <w:pPr>
        <w:ind w:left="340" w:hanging="332"/>
        <w:spacing w:after="0"/>
        <w:tabs>
          <w:tab w:leader="none" w:pos="340"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testing management’s process for developing the fair value estimate of the developed technology and customer relationships acquired;</w:t>
      </w:r>
    </w:p>
    <w:p>
      <w:pPr>
        <w:ind w:right="120" w:firstLine="8"/>
        <w:spacing w:after="0" w:line="236" w:lineRule="auto"/>
        <w:tabs>
          <w:tab w:leader="none" w:pos="320" w:val="left"/>
        </w:tabs>
        <w:numPr>
          <w:ilvl w:val="0"/>
          <w:numId w:val="38"/>
        </w:numPr>
        <w:rPr>
          <w:rFonts w:ascii="Georgia" w:cs="Georgia" w:eastAsia="Georgia" w:hAnsi="Georgia"/>
          <w:sz w:val="18"/>
          <w:szCs w:val="18"/>
          <w:color w:val="auto"/>
        </w:rPr>
      </w:pPr>
      <w:r>
        <w:rPr>
          <w:rFonts w:ascii="Georgia" w:cs="Georgia" w:eastAsia="Georgia" w:hAnsi="Georgia"/>
          <w:sz w:val="18"/>
          <w:szCs w:val="18"/>
          <w:color w:val="auto"/>
        </w:rPr>
        <w:t>evaluating the appropriateness of the multi-period excess earnings and with-and-without methods used by management; (v) testing the completeness and accuracy of the underlying data used in the multi-period excess earnings and with-and-without methods; and (vi) evaluating the reasonableness of the significant assumptions used by management related to revenue growth rates, prospective financial information for cost of sales, research and development expenses and other operating expenses, the discount rate, the technological obsolescence rate, and contributory asset charges for developed technology, and the discount rate, revenue growth rates, and prospective financial information for cost of sales and fixed and variable operating expenses for customer relationships. Evaluating management’s assumptions related to revenue growth rates, prospective financial information for cost of sales, fixed and variable operating expenses, research and development expenses and other operating expenses involved considering (i) the current and past performance of the Amelia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with-and-without methods; and (ii) evaluating the reasonableness of the discount rate, the technological obsolescence rate, and contributory asset charges assumptions for developed technology and the discount rate assumption for customer relationships.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1" w:lineRule="auto"/>
        <w:rPr>
          <w:sz w:val="20"/>
          <w:szCs w:val="20"/>
          <w:color w:val="auto"/>
        </w:rPr>
      </w:pPr>
      <w:r>
        <w:rPr>
          <w:rFonts w:ascii="Georgia" w:cs="Georgia" w:eastAsia="Georgia" w:hAnsi="Georgia"/>
          <w:sz w:val="18"/>
          <w:szCs w:val="18"/>
          <w:color w:val="auto"/>
        </w:rPr>
        <w:t>San Francisco, California</w:t>
      </w:r>
    </w:p>
    <w:p>
      <w:pPr>
        <w:spacing w:after="0"/>
        <w:rPr>
          <w:sz w:val="20"/>
          <w:szCs w:val="20"/>
          <w:color w:val="auto"/>
        </w:rPr>
      </w:pPr>
      <w:r>
        <w:rPr>
          <w:rFonts w:ascii="Georgia" w:cs="Georgia" w:eastAsia="Georgia" w:hAnsi="Georgia"/>
          <w:sz w:val="18"/>
          <w:szCs w:val="18"/>
          <w:color w:val="auto"/>
        </w:rPr>
        <w:t>March 11, 2025</w:t>
      </w:r>
    </w:p>
    <w:p>
      <w:pPr>
        <w:spacing w:after="0" w:line="146"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2023.</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SoundHound AI,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on the Financial Statements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and comprehensive loss, of redeemable convertible preferred stock and stockholders’ deficit, and of cash flows of SoundHound AI, Inc. (the "Company") for the year ended December 31, 2022, including the related notes (collectively, referred to as the “consolidated financial statements”).</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results of operations and cash flows of the Company for the year ended December 31, 2022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3"/>
          <w:szCs w:val="23"/>
          <w:color w:val="auto"/>
          <w:vertAlign w:val="superscript"/>
        </w:rPr>
        <w:t>LLP</w:t>
      </w: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 In 2023, we became the predecessor auditor.</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March 28, 2023, except for the effects of the tables reflecting the impact of the revisions as of and for the year ended December 31, 2022 discussed in Note 22 to the consolidated financial statements appearing under Item 8 of the Company’s 2023 Annual Report on Form 10-K, as to which the date is March 1, 2024, and except for the effects of segment reporting discussed in Note 21 to the consolidated financial statements appearing under Item 8 of the Company’s 2024 Annual Report on Form 10-K, as to which the date is March 11, 2025.</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6"/>
        </w:trPr>
        <w:tc>
          <w:tcPr>
            <w:tcW w:w="8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2"/>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198,240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95,260</w:t>
            </w:r>
          </w:p>
        </w:tc>
      </w:tr>
      <w:tr>
        <w:trPr>
          <w:trHeight w:val="167"/>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 of allowances of $726 and $203 as of December 31, 2024 and 2023, respectively</w:t>
            </w: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4,050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 assets and unbilled revenue, net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26,645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11,780</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255,520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113,542</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13,775</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4,692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5,210</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1,515</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101,704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174,943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revenue, non-current,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16,492</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577</w:t>
            </w:r>
          </w:p>
        </w:tc>
      </w:tr>
      <w:tr>
        <w:trPr>
          <w:trHeight w:val="169"/>
        </w:trPr>
        <w:tc>
          <w:tcPr>
            <w:tcW w:w="8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151,122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53"/>
        </w:trPr>
        <w:tc>
          <w:tcPr>
            <w:tcW w:w="8180" w:type="dxa"/>
            <w:vAlign w:val="bottom"/>
          </w:tcPr>
          <w:p>
            <w:pPr>
              <w:ind w:left="264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 (DEFICIT)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5,559</w:t>
            </w:r>
          </w:p>
        </w:tc>
        <w:tc>
          <w:tcPr>
            <w:tcW w:w="10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1,653</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26,291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13,884</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2,637</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tax liability</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1,618</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23,876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4,310</w:t>
            </w:r>
          </w:p>
        </w:tc>
      </w:tr>
      <w:tr>
        <w:trPr>
          <w:trHeight w:val="154"/>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67,742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24,223</w:t>
            </w:r>
          </w:p>
        </w:tc>
      </w:tr>
      <w:tr>
        <w:trPr>
          <w:trHeight w:val="270"/>
        </w:trPr>
        <w:tc>
          <w:tcPr>
            <w:tcW w:w="8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3,089</w:t>
            </w: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4,910</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84,312</w:t>
            </w: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286,898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2,453</w:t>
            </w: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3,967</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371,300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122,954</w:t>
            </w:r>
          </w:p>
        </w:tc>
      </w:tr>
      <w:tr>
        <w:trPr>
          <w:trHeight w:val="13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 (deficit):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Series A Preferred Stock, $0.0001 par value; 1,000,000 shares authorized; 0 and 475,005 shares issued and outstanding, aggregate liquidation preference of $— and $16,227 as of</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December 31, 2024 and December 31, 2023,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14,187</w:t>
            </w:r>
          </w:p>
        </w:tc>
      </w:tr>
      <w:tr>
        <w:trPr>
          <w:trHeight w:val="148"/>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A Common Stock, $0.0001 par value; 455,000,000 shares authorized; 361,096,457 and 216,943,349 shares issued and outstanding as of December 31, 2024 and 2023,</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0"/>
        </w:trPr>
        <w:tc>
          <w:tcPr>
            <w:tcW w:w="8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9"/>
              </w:rPr>
              <w:t>Class B Common Stock, $0.0001 par value; 44,000,000 shares authorized; 32,535,408 and 37,485,408 shares issued and outstanding as of December 31, 2024 and 2023, respectively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1,125,470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606,135</w:t>
            </w: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(943,060)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(592,379)</w:t>
            </w:r>
          </w:p>
        </w:tc>
      </w:tr>
      <w:tr>
        <w:trPr>
          <w:trHeight w:val="15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182,653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28,168</w:t>
            </w:r>
          </w:p>
        </w:tc>
      </w:tr>
      <w:tr>
        <w:trPr>
          <w:trHeight w:val="169"/>
        </w:trPr>
        <w:tc>
          <w:tcPr>
            <w:tcW w:w="8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151,122</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13335</wp:posOffset>
            </wp:positionV>
            <wp:extent cx="2948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76,392</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426,046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136,801</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(105,672)</w:t>
            </w:r>
          </w:p>
        </w:tc>
      </w:tr>
      <w:tr>
        <w:trPr>
          <w:trHeight w:val="257"/>
        </w:trPr>
        <w:tc>
          <w:tcPr>
            <w:tcW w:w="6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5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(113,824)</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(350,675)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338,462,574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229,264,904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157,317,695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1200" w:type="dxa"/>
            <w:vAlign w:val="bottom"/>
          </w:tcPr>
          <w:p>
            <w:pPr>
              <w:spacing w:after="0"/>
              <w:rPr>
                <w:sz w:val="24"/>
                <w:szCs w:val="24"/>
                <w:color w:val="auto"/>
              </w:rPr>
            </w:pPr>
          </w:p>
        </w:tc>
        <w:tc>
          <w:tcPr>
            <w:tcW w:w="152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Legacy SoundHound</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1520" w:type="dxa"/>
            <w:vAlign w:val="bottom"/>
            <w:tcBorders>
              <w:right w:val="single" w:sz="8" w:color="auto"/>
            </w:tcBorders>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Redeemable Convertible</w:t>
            </w:r>
          </w:p>
        </w:tc>
        <w:tc>
          <w:tcPr>
            <w:tcW w:w="60" w:type="dxa"/>
            <w:vAlign w:val="bottom"/>
          </w:tcPr>
          <w:p>
            <w:pPr>
              <w:spacing w:after="0"/>
              <w:rPr>
                <w:sz w:val="5"/>
                <w:szCs w:val="5"/>
                <w:color w:val="auto"/>
              </w:rPr>
            </w:pPr>
          </w:p>
        </w:tc>
        <w:tc>
          <w:tcPr>
            <w:tcW w:w="14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Legacy SoundHound</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Series A Preferred</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Class B Common</w:t>
            </w: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1520" w:type="dxa"/>
            <w:vAlign w:val="bottom"/>
            <w:tcBorders>
              <w:right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7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201"/>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1080" w:type="dxa"/>
            <w:vAlign w:val="bottom"/>
            <w:tcBorders>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Class A Common Stock</w:t>
            </w:r>
          </w:p>
        </w:tc>
        <w:tc>
          <w:tcPr>
            <w:tcW w:w="10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401"/>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9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1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$ 279,503</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68,258,556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w w:val="91"/>
              </w:rPr>
              <w:t>$1</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43,491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(386,729)</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 (343,237)</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upon exercise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2,582,535</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w:t>
            </w:r>
          </w:p>
        </w:tc>
        <w:tc>
          <w:tcPr>
            <w:tcW w:w="0" w:type="dxa"/>
            <w:vAlign w:val="bottom"/>
          </w:tcPr>
          <w:p>
            <w:pPr>
              <w:spacing w:after="0"/>
              <w:rPr>
                <w:sz w:val="1"/>
                <w:szCs w:val="1"/>
                <w:color w:val="auto"/>
              </w:rPr>
            </w:pPr>
          </w:p>
        </w:tc>
      </w:tr>
      <w:tr>
        <w:trPr>
          <w:trHeight w:val="29"/>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exercise of</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673,416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Conversion of</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2,046,827</w:t>
            </w:r>
          </w:p>
        </w:tc>
        <w:tc>
          <w:tcPr>
            <w:tcW w:w="80" w:type="dxa"/>
            <w:vAlign w:val="bottom"/>
          </w:tcPr>
          <w:p>
            <w:pPr>
              <w:spacing w:after="0"/>
              <w:rPr>
                <w:sz w:val="13"/>
                <w:szCs w:val="13"/>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20,239</w:t>
            </w:r>
          </w:p>
        </w:tc>
        <w:tc>
          <w:tcPr>
            <w:tcW w:w="0" w:type="dxa"/>
            <w:vAlign w:val="bottom"/>
          </w:tcPr>
          <w:p>
            <w:pPr>
              <w:spacing w:after="0"/>
              <w:rPr>
                <w:sz w:val="1"/>
                <w:szCs w:val="1"/>
                <w:color w:val="auto"/>
              </w:rPr>
            </w:pPr>
          </w:p>
        </w:tc>
      </w:tr>
      <w:tr>
        <w:trPr>
          <w:trHeight w:val="174"/>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convertible note</w:t>
            </w:r>
          </w:p>
        </w:tc>
        <w:tc>
          <w:tcPr>
            <w:tcW w:w="840" w:type="dxa"/>
            <w:vAlign w:val="bottom"/>
            <w:gridSpan w:val="2"/>
            <w:vMerge w:val="continue"/>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reverse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recapitalization,</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net of costs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(106,949,326)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(279,503)</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(73,561,334)</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140,114,060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40,396,600</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279,486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279,503</w:t>
            </w:r>
          </w:p>
        </w:tc>
        <w:tc>
          <w:tcPr>
            <w:tcW w:w="0" w:type="dxa"/>
            <w:vAlign w:val="bottom"/>
          </w:tcPr>
          <w:p>
            <w:pPr>
              <w:spacing w:after="0"/>
              <w:rPr>
                <w:sz w:val="1"/>
                <w:szCs w:val="1"/>
                <w:color w:val="auto"/>
              </w:rPr>
            </w:pPr>
          </w:p>
        </w:tc>
      </w:tr>
      <w:tr>
        <w:trPr>
          <w:trHeight w:val="173"/>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PIPE financing</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11,300,000</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86,585</w:t>
            </w:r>
          </w:p>
        </w:tc>
        <w:tc>
          <w:tcPr>
            <w:tcW w:w="0" w:type="dxa"/>
            <w:vAlign w:val="bottom"/>
          </w:tcPr>
          <w:p>
            <w:pPr>
              <w:spacing w:after="0"/>
              <w:rPr>
                <w:sz w:val="1"/>
                <w:szCs w:val="1"/>
                <w:color w:val="auto"/>
              </w:rPr>
            </w:pPr>
          </w:p>
        </w:tc>
      </w:tr>
      <w:tr>
        <w:trPr>
          <w:trHeight w:val="29"/>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of Class A</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pursuant to the</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Business</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4,693,050</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Combination</w:t>
            </w:r>
          </w:p>
        </w:tc>
        <w:tc>
          <w:tcPr>
            <w:tcW w:w="840" w:type="dxa"/>
            <w:vAlign w:val="bottom"/>
            <w:gridSpan w:val="2"/>
            <w:vMerge w:val="continue"/>
            <w:shd w:val="clear" w:color="auto" w:fill="CCEEFF"/>
          </w:tcPr>
          <w:p>
            <w:pPr>
              <w:spacing w:after="0"/>
              <w:rPr>
                <w:sz w:val="15"/>
                <w:szCs w:val="15"/>
                <w:color w:val="auto"/>
              </w:rPr>
            </w:pPr>
          </w:p>
        </w:tc>
        <w:tc>
          <w:tcPr>
            <w:tcW w:w="68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of Class A</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upon conversion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of Class B</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661,192</w:t>
            </w:r>
          </w:p>
        </w:tc>
        <w:tc>
          <w:tcPr>
            <w:tcW w:w="8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(661,192)</w:t>
            </w:r>
          </w:p>
        </w:tc>
        <w:tc>
          <w:tcPr>
            <w:tcW w:w="8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40" w:type="dxa"/>
            <w:vAlign w:val="bottom"/>
            <w:gridSpan w:val="2"/>
            <w:vMerge w:val="continue"/>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of Class A</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upon exercise of</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1,013,171</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Issuance of Class A</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upon vesting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2,516,191</w:t>
            </w:r>
          </w:p>
        </w:tc>
        <w:tc>
          <w:tcPr>
            <w:tcW w:w="8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40" w:type="dxa"/>
            <w:vAlign w:val="bottom"/>
            <w:gridSpan w:val="2"/>
            <w:vMerge w:val="continue"/>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Stock-based</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28,792</w:t>
            </w: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40" w:type="dxa"/>
            <w:vAlign w:val="bottom"/>
            <w:gridSpan w:val="2"/>
            <w:vMerge w:val="continue"/>
            <w:shd w:val="clear" w:color="auto" w:fill="CCEEFF"/>
          </w:tcPr>
          <w:p>
            <w:pPr>
              <w:spacing w:after="0"/>
              <w:rPr>
                <w:sz w:val="15"/>
                <w:szCs w:val="15"/>
                <w:color w:val="auto"/>
              </w:rPr>
            </w:pPr>
          </w:p>
        </w:tc>
        <w:tc>
          <w:tcPr>
            <w:tcW w:w="68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(116,713)</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(116,713)</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160,297,664</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39,735,408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466,857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(503,442)</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(36,565)</w:t>
            </w:r>
          </w:p>
        </w:tc>
        <w:tc>
          <w:tcPr>
            <w:tcW w:w="0" w:type="dxa"/>
            <w:vAlign w:val="bottom"/>
          </w:tcPr>
          <w:p>
            <w:pPr>
              <w:spacing w:after="0"/>
              <w:rPr>
                <w:sz w:val="1"/>
                <w:szCs w:val="1"/>
                <w:color w:val="auto"/>
              </w:rPr>
            </w:pPr>
          </w:p>
        </w:tc>
      </w:tr>
      <w:tr>
        <w:trPr>
          <w:trHeight w:val="157"/>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under the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ELOC program</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25,000,000</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73,766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144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Legacy SoundHound</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44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1440" w:type="dxa"/>
            <w:vAlign w:val="bottom"/>
            <w:tcBorders>
              <w:right w:val="single" w:sz="8" w:color="auto"/>
            </w:tcBorders>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 w:type="dxa"/>
            <w:vAlign w:val="bottom"/>
          </w:tcPr>
          <w:p>
            <w:pPr>
              <w:spacing w:after="0"/>
              <w:rPr>
                <w:sz w:val="5"/>
                <w:szCs w:val="5"/>
                <w:color w:val="auto"/>
              </w:rPr>
            </w:pPr>
          </w:p>
        </w:tc>
        <w:tc>
          <w:tcPr>
            <w:tcW w:w="13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Legacy SoundHound</w:t>
            </w: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Series A Preferred</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Class B Common</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1440" w:type="dxa"/>
            <w:vAlign w:val="bottom"/>
            <w:tcBorders>
              <w:right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7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9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417"/>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3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Class A Common Stock</w:t>
            </w:r>
          </w:p>
        </w:tc>
        <w:tc>
          <w:tcPr>
            <w:tcW w:w="80" w:type="dxa"/>
            <w:vAlign w:val="bottom"/>
          </w:tcPr>
          <w:p>
            <w:pPr>
              <w:spacing w:after="0"/>
              <w:rPr>
                <w:sz w:val="14"/>
                <w:szCs w:val="14"/>
                <w:color w:val="auto"/>
              </w:rPr>
            </w:pPr>
          </w:p>
        </w:tc>
        <w:tc>
          <w:tcPr>
            <w:tcW w:w="78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3"/>
                <w:szCs w:val="13"/>
                <w:b w:val="1"/>
                <w:bCs w:val="1"/>
                <w:color w:val="auto"/>
                <w:w w:val="89"/>
              </w:rPr>
              <w:t>Stock</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9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1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ELOC program fee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settled in</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under the Sales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Agreement, net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of issuance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costs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5,805,995</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12,411</w:t>
            </w: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12,412</w:t>
            </w: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Series</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 Preferred</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835,011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24,942</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24,942</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upon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conversion of</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Class B</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2,250,000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upon</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 of</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Series A</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Preferred Stock</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(360,006)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11,597,654</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10,754</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upon exercise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of stock options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3,585,829</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shares</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upon vesting of</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stock</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units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7,678,184</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warrants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Issuances of ESPP</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478,023</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27,931</w:t>
            </w: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27,931</w:t>
            </w:r>
          </w:p>
        </w:tc>
        <w:tc>
          <w:tcPr>
            <w:tcW w:w="0" w:type="dxa"/>
            <w:vAlign w:val="bottom"/>
          </w:tcPr>
          <w:p>
            <w:pPr>
              <w:spacing w:after="0"/>
              <w:rPr>
                <w:sz w:val="1"/>
                <w:szCs w:val="1"/>
                <w:color w:val="auto"/>
              </w:rPr>
            </w:pPr>
          </w:p>
        </w:tc>
      </w:tr>
      <w:tr>
        <w:trPr>
          <w:trHeight w:val="30"/>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0" w:type="dxa"/>
            <w:vAlign w:val="bottom"/>
          </w:tcPr>
          <w:p>
            <w:pPr>
              <w:spacing w:after="0"/>
              <w:rPr>
                <w:sz w:val="1"/>
                <w:szCs w:val="1"/>
                <w:color w:val="auto"/>
              </w:rPr>
            </w:pPr>
          </w:p>
        </w:tc>
      </w:tr>
      <w:tr>
        <w:trPr>
          <w:trHeight w:val="157"/>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comprehensive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30"/>
        </w:trPr>
        <w:tc>
          <w:tcPr>
            <w:tcW w:w="1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$ 14,187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216,943,349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37,485,408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606,135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(592,379)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28,168</w:t>
            </w:r>
          </w:p>
        </w:tc>
        <w:tc>
          <w:tcPr>
            <w:tcW w:w="0" w:type="dxa"/>
            <w:vAlign w:val="bottom"/>
          </w:tcPr>
          <w:p>
            <w:pPr>
              <w:spacing w:after="0"/>
              <w:rPr>
                <w:sz w:val="1"/>
                <w:szCs w:val="1"/>
                <w:color w:val="auto"/>
              </w:rPr>
            </w:pPr>
          </w:p>
        </w:tc>
      </w:tr>
      <w:tr>
        <w:trPr>
          <w:trHeight w:val="30"/>
        </w:trPr>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502920</wp:posOffset>
            </wp:positionV>
            <wp:extent cx="8890" cy="6737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Legacy SoundHound</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Redeemable Convertible</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Legacy SoundHound</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Series A Preferred</w:t>
            </w: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B Common</w:t>
            </w:r>
          </w:p>
        </w:tc>
        <w:tc>
          <w:tcPr>
            <w:tcW w:w="7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54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00" w:type="dxa"/>
            <w:vAlign w:val="bottom"/>
          </w:tcPr>
          <w:p>
            <w:pPr>
              <w:spacing w:after="0"/>
              <w:rPr>
                <w:sz w:val="14"/>
                <w:szCs w:val="14"/>
                <w:color w:val="auto"/>
              </w:rPr>
            </w:pPr>
          </w:p>
        </w:tc>
        <w:tc>
          <w:tcPr>
            <w:tcW w:w="1220" w:type="dxa"/>
            <w:vAlign w:val="bottom"/>
            <w:tcBorders>
              <w:bottom w:val="single" w:sz="8" w:color="auto"/>
            </w:tcBorders>
            <w:gridSpan w:val="2"/>
          </w:tcPr>
          <w:p>
            <w:pPr>
              <w:ind w:left="460"/>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3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A Common Stock</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ind w:left="4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80" w:type="dxa"/>
            <w:vAlign w:val="bottom"/>
            <w:tcBorders>
              <w:bottom w:val="single" w:sz="8" w:color="auto"/>
            </w:tcBorders>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80"/>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18415</wp:posOffset>
            </wp:positionV>
            <wp:extent cx="64122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Issuance of Class</w:t>
      </w:r>
    </w:p>
    <w:p>
      <w:pPr>
        <w:spacing w:after="0" w:line="13" w:lineRule="exact"/>
        <w:rPr>
          <w:sz w:val="20"/>
          <w:szCs w:val="20"/>
          <w:color w:val="auto"/>
        </w:rPr>
      </w:pPr>
    </w:p>
    <w:p>
      <w:pPr>
        <w:ind w:left="200" w:right="10200" w:firstLine="6"/>
        <w:spacing w:after="0" w:line="242" w:lineRule="auto"/>
        <w:tabs>
          <w:tab w:leader="none" w:pos="322"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stock under the Sales Agreement, Equity Distribution Agreement and Execute Equity Distribution Agreement, net of issuance</w:t>
      </w:r>
    </w:p>
    <w:tbl>
      <w:tblPr>
        <w:tblLayout w:type="fixed"/>
        <w:tblInd w:w="0" w:type="dxa"/>
        <w:tblCellMar>
          <w:top w:w="0" w:type="dxa"/>
          <w:left w:w="0" w:type="dxa"/>
          <w:bottom w:w="0" w:type="dxa"/>
          <w:right w:w="0" w:type="dxa"/>
        </w:tblCellMar>
      </w:tblPr>
      <w:tr>
        <w:trPr>
          <w:trHeight w:val="164"/>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costs</w:t>
            </w: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85,826,406</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396,685</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396,694</w:t>
            </w:r>
          </w:p>
        </w:tc>
      </w:tr>
      <w:tr>
        <w:trPr>
          <w:trHeight w:val="29"/>
        </w:trPr>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 upon</w:t>
            </w: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 of</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4"/>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SYNQ3</w:t>
            </w:r>
          </w:p>
        </w:tc>
        <w:tc>
          <w:tcPr>
            <w:tcW w:w="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5,794,187</w:t>
            </w:r>
          </w:p>
        </w:tc>
        <w:tc>
          <w:tcPr>
            <w:tcW w:w="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9,875</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9,876</w:t>
            </w:r>
          </w:p>
        </w:tc>
      </w:tr>
      <w:tr>
        <w:trPr>
          <w:trHeight w:val="157"/>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shares of Class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subject</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 repurchase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 connection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with</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4"/>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SYNQ3</w:t>
            </w: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2,033,156</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 for</w:t>
            </w: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9"/>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incentive</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4"/>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awards</w:t>
            </w:r>
          </w:p>
        </w:tc>
        <w:tc>
          <w:tcPr>
            <w:tcW w:w="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17,750,154</w:t>
            </w:r>
          </w:p>
        </w:tc>
        <w:tc>
          <w:tcPr>
            <w:tcW w:w="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29,685</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29,685</w:t>
            </w:r>
          </w:p>
        </w:tc>
      </w:tr>
      <w:tr>
        <w:trPr>
          <w:trHeight w:val="157"/>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upon</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conversion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Class B</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4"/>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4,950,000</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(4,950,000)</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 upon</w:t>
            </w: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 of</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9"/>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Series A</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Preferred</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4"/>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w:t>
            </w:r>
          </w:p>
        </w:tc>
        <w:tc>
          <w:tcPr>
            <w:tcW w:w="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(475,005)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(14,187)</w:t>
            </w: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16,624,215</w:t>
            </w:r>
          </w:p>
        </w:tc>
        <w:tc>
          <w:tcPr>
            <w:tcW w:w="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14,186</w:t>
            </w:r>
          </w:p>
        </w:tc>
        <w:tc>
          <w:tcPr>
            <w:tcW w:w="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 in</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connection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with the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exercise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4"/>
        </w:trPr>
        <w:tc>
          <w:tcPr>
            <w:tcW w:w="12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warrants</w:t>
            </w:r>
          </w:p>
        </w:tc>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2,272,023</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23</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30"/>
        </w:trPr>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9"/>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 common</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 upon</w:t>
            </w: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8"/>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 of</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4"/>
        </w:trPr>
        <w:tc>
          <w:tcPr>
            <w:tcW w:w="1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Amelia</w:t>
            </w: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5,959,050</w:t>
            </w:r>
          </w:p>
        </w:tc>
        <w:tc>
          <w:tcPr>
            <w:tcW w:w="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23,919</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23,920</w:t>
            </w:r>
          </w:p>
        </w:tc>
      </w:tr>
      <w:tr>
        <w:trPr>
          <w:trHeight w:val="30"/>
        </w:trPr>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14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Legacy SoundHound</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20" w:type="dxa"/>
            <w:vAlign w:val="bottom"/>
            <w:gridSpan w:val="3"/>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120" w:type="dxa"/>
            <w:vAlign w:val="bottom"/>
            <w:gridSpan w:val="3"/>
            <w:vMerge w:val="restart"/>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Legacy SoundHound</w:t>
            </w:r>
          </w:p>
        </w:tc>
        <w:tc>
          <w:tcPr>
            <w:tcW w:w="11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w:t>
            </w: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w w:val="95"/>
              </w:rPr>
              <w:t>Class B Common</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5"/>
            <w:vMerge w:val="continue"/>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1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auto"/>
            </w:tcBorders>
            <w:gridSpan w:val="4"/>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860" w:type="dxa"/>
            <w:vAlign w:val="bottom"/>
            <w:tcBorders>
              <w:bottom w:val="single" w:sz="8" w:color="auto"/>
            </w:tcBorders>
            <w:gridSpan w:val="3"/>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A Common Stock</w:t>
            </w:r>
          </w:p>
        </w:tc>
        <w:tc>
          <w:tcPr>
            <w:tcW w:w="80" w:type="dxa"/>
            <w:vAlign w:val="bottom"/>
          </w:tcPr>
          <w:p>
            <w:pPr>
              <w:spacing w:after="0"/>
              <w:rPr>
                <w:sz w:val="14"/>
                <w:szCs w:val="14"/>
                <w:color w:val="auto"/>
              </w:rPr>
            </w:pPr>
          </w:p>
        </w:tc>
        <w:tc>
          <w:tcPr>
            <w:tcW w:w="110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Issuance of Class A</w:t>
            </w: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1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 settle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obligations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under Amelia</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3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2,943,917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33,145</w:t>
            </w:r>
          </w:p>
        </w:tc>
        <w:tc>
          <w:tcPr>
            <w:tcW w:w="0" w:type="dxa"/>
            <w:vAlign w:val="bottom"/>
          </w:tcPr>
          <w:p>
            <w:pPr>
              <w:spacing w:after="0"/>
              <w:rPr>
                <w:sz w:val="1"/>
                <w:szCs w:val="1"/>
                <w:color w:val="auto"/>
              </w:rPr>
            </w:pPr>
          </w:p>
        </w:tc>
      </w:tr>
      <w:tr>
        <w:trPr>
          <w:trHeight w:val="173"/>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3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(350,681)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(350,681)</w:t>
            </w: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comprehensive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income</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Balances as of</w:t>
            </w: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361,096,457</w:t>
            </w:r>
          </w:p>
        </w:tc>
        <w:tc>
          <w:tcPr>
            <w:tcW w:w="80" w:type="dxa"/>
            <w:vAlign w:val="bottom"/>
          </w:tcPr>
          <w:p>
            <w:pPr>
              <w:spacing w:after="0"/>
              <w:rPr>
                <w:sz w:val="11"/>
                <w:szCs w:val="11"/>
                <w:color w:val="auto"/>
              </w:rPr>
            </w:pPr>
          </w:p>
        </w:tc>
        <w:tc>
          <w:tcPr>
            <w:tcW w:w="2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Pr>
          <w:p>
            <w:pPr>
              <w:spacing w:after="0"/>
              <w:rPr>
                <w:sz w:val="11"/>
                <w:szCs w:val="11"/>
                <w:color w:val="auto"/>
              </w:rPr>
            </w:pPr>
          </w:p>
        </w:tc>
        <w:tc>
          <w:tcPr>
            <w:tcW w:w="38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3"/>
              </w:rPr>
              <w:t>$ 1,125,470</w:t>
            </w:r>
          </w:p>
        </w:tc>
        <w:tc>
          <w:tcPr>
            <w:tcW w:w="80" w:type="dxa"/>
            <w:vAlign w:val="bottom"/>
          </w:tcPr>
          <w:p>
            <w:pPr>
              <w:spacing w:after="0"/>
              <w:rPr>
                <w:sz w:val="11"/>
                <w:szCs w:val="1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   (943,060)</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182,653</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86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19050</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9"/>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8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(350,681)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(116,713)</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28,792</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Loss on change in fair value of ELOC program</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 in fair value of derivative and warrant liability</w:t>
            </w:r>
          </w:p>
        </w:tc>
        <w:tc>
          <w:tcPr>
            <w:tcW w:w="8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Non-cash lease amortization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Foreign currency gain/loss from remeasurement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 in fair value of contingent acquisition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222,670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net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 net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0" w:type="dxa"/>
            <w:vAlign w:val="bottom"/>
          </w:tcPr>
          <w:p>
            <w:pPr>
              <w:spacing w:after="0"/>
              <w:rPr>
                <w:sz w:val="1"/>
                <w:szCs w:val="1"/>
                <w:color w:val="auto"/>
              </w:rPr>
            </w:pPr>
          </w:p>
        </w:tc>
      </w:tr>
      <w:tr>
        <w:trPr>
          <w:trHeight w:val="17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w:t>
            </w:r>
          </w:p>
        </w:tc>
        <w:tc>
          <w:tcPr>
            <w:tcW w:w="8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current assets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7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Contract assets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(8,658)</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non-current assets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7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Accrued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7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w:t>
            </w:r>
          </w:p>
        </w:tc>
        <w:tc>
          <w:tcPr>
            <w:tcW w:w="0" w:type="dxa"/>
            <w:vAlign w:val="bottom"/>
          </w:tcPr>
          <w:p>
            <w:pPr>
              <w:spacing w:after="0"/>
              <w:rPr>
                <w:sz w:val="1"/>
                <w:szCs w:val="1"/>
                <w:color w:val="auto"/>
              </w:rPr>
            </w:pPr>
          </w:p>
        </w:tc>
      </w:tr>
      <w:tr>
        <w:trPr>
          <w:trHeight w:val="17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Deferred revenue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(7,646)</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0" w:type="dxa"/>
            <w:vAlign w:val="bottom"/>
          </w:tcPr>
          <w:p>
            <w:pPr>
              <w:spacing w:after="0"/>
              <w:rPr>
                <w:sz w:val="1"/>
                <w:szCs w:val="1"/>
                <w:color w:val="auto"/>
              </w:rPr>
            </w:pPr>
          </w:p>
        </w:tc>
      </w:tr>
      <w:tr>
        <w:trPr>
          <w:trHeight w:val="166"/>
        </w:trPr>
        <w:tc>
          <w:tcPr>
            <w:tcW w:w="68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(108,878)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(68,265)</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(94,019)</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68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related to acquisitions, net of cash acquired</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the issuance of Series A Preferred Stock, net of issuance costs</w:t>
            </w:r>
          </w:p>
        </w:tc>
        <w:tc>
          <w:tcPr>
            <w:tcW w:w="8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sales of Class A common stock under the ELOC program, net of issuance costs</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71,615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sales of Class A common stock under the Sales Agreement, Equity Distribution Agreement and Execute Equity</w:t>
            </w:r>
          </w:p>
        </w:tc>
        <w:tc>
          <w:tcPr>
            <w:tcW w:w="8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407,270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12,412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Agreement</w:t>
            </w:r>
          </w:p>
        </w:tc>
        <w:tc>
          <w:tcPr>
            <w:tcW w:w="8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 and employee stock purchase plan</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warrants exercised</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8"/>
              </w:rPr>
              <w:t>Payment of financing costs associated with the Sales Agreement, Equity Distribution Agreement and Execute Equity Distribution</w:t>
            </w:r>
          </w:p>
        </w:tc>
        <w:tc>
          <w:tcPr>
            <w:tcW w:w="8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Agreement</w:t>
            </w:r>
          </w:p>
        </w:tc>
        <w:tc>
          <w:tcPr>
            <w:tcW w:w="8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the issuance of debt, net of issuance costs</w:t>
            </w:r>
          </w:p>
        </w:tc>
        <w:tc>
          <w:tcPr>
            <w:tcW w:w="8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the issuance of common stock</w:t>
            </w:r>
          </w:p>
        </w:tc>
        <w:tc>
          <w:tcPr>
            <w:tcW w:w="8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Business Combination and PIPE, net of transaction costs</w:t>
            </w:r>
          </w:p>
        </w:tc>
        <w:tc>
          <w:tcPr>
            <w:tcW w:w="8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90,689</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on notes payable</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(215,373)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(11,545)</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to settle contingent holdback liabilities from SYNQ3 and other acquisitions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0" w:type="dxa"/>
            <w:vAlign w:val="bottom"/>
          </w:tcPr>
          <w:p>
            <w:pPr>
              <w:spacing w:after="0"/>
              <w:rPr>
                <w:sz w:val="1"/>
                <w:szCs w:val="1"/>
                <w:color w:val="auto"/>
              </w:rPr>
            </w:pPr>
          </w:p>
        </w:tc>
      </w:tr>
      <w:tr>
        <w:trPr>
          <w:trHeight w:val="166"/>
        </w:trPr>
        <w:tc>
          <w:tcPr>
            <w:tcW w:w="68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210,906</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168,237</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82,001</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Effects of exchange rate changes on cash</w:t>
            </w:r>
          </w:p>
        </w:tc>
        <w:tc>
          <w:tcPr>
            <w:tcW w:w="8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8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 equivalents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(13,347)</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equivalents, beginning of year</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22,822</w:t>
            </w:r>
          </w:p>
        </w:tc>
        <w:tc>
          <w:tcPr>
            <w:tcW w:w="0" w:type="dxa"/>
            <w:vAlign w:val="bottom"/>
          </w:tcPr>
          <w:p>
            <w:pPr>
              <w:spacing w:after="0"/>
              <w:rPr>
                <w:sz w:val="1"/>
                <w:szCs w:val="1"/>
                <w:color w:val="auto"/>
              </w:rPr>
            </w:pPr>
          </w:p>
        </w:tc>
      </w:tr>
      <w:tr>
        <w:trPr>
          <w:trHeight w:val="166"/>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equivalents, end of year</w:t>
            </w:r>
          </w:p>
        </w:tc>
        <w:tc>
          <w:tcPr>
            <w:tcW w:w="860" w:type="dxa"/>
            <w:vAlign w:val="bottom"/>
            <w:tcBorders>
              <w:top w:val="single" w:sz="8" w:color="auto"/>
            </w:tcBorders>
          </w:tcPr>
          <w:p>
            <w:pPr>
              <w:jc w:val="right"/>
              <w:ind w:right="7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198,916</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109,035</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0" w:type="dxa"/>
            <w:vAlign w:val="bottom"/>
          </w:tcPr>
          <w:p>
            <w:pPr>
              <w:spacing w:after="0"/>
              <w:rPr>
                <w:sz w:val="1"/>
                <w:szCs w:val="1"/>
                <w:color w:val="auto"/>
              </w:rPr>
            </w:pPr>
          </w:p>
        </w:tc>
      </w:tr>
      <w:tr>
        <w:trPr>
          <w:trHeight w:val="30"/>
        </w:trPr>
        <w:tc>
          <w:tcPr>
            <w:tcW w:w="6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 and 2023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86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19050</wp:posOffset>
            </wp:positionV>
            <wp:extent cx="27946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9"/>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Reconciliation to amounts on the consolidated balance sheets: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8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80" w:type="dxa"/>
            <w:vAlign w:val="bottom"/>
            <w:tcBorders>
              <w:bottom w:val="single" w:sz="8" w:color="CCEEFF"/>
            </w:tcBorders>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9,245</w:t>
            </w:r>
          </w:p>
        </w:tc>
        <w:tc>
          <w:tcPr>
            <w:tcW w:w="0" w:type="dxa"/>
            <w:vAlign w:val="bottom"/>
          </w:tcPr>
          <w:p>
            <w:pPr>
              <w:spacing w:after="0"/>
              <w:rPr>
                <w:sz w:val="1"/>
                <w:szCs w:val="1"/>
                <w:color w:val="auto"/>
              </w:rPr>
            </w:pPr>
          </w:p>
        </w:tc>
      </w:tr>
      <w:tr>
        <w:trPr>
          <w:trHeight w:val="173"/>
        </w:trPr>
        <w:tc>
          <w:tcPr>
            <w:tcW w:w="6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portion of restricted cash equivalents</w:t>
            </w:r>
          </w:p>
        </w:tc>
        <w:tc>
          <w:tcPr>
            <w:tcW w:w="8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Non-current portion of restricted cash equivalents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153"/>
        </w:trPr>
        <w:tc>
          <w:tcPr>
            <w:tcW w:w="6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cash, cash equivalents, and restricted cash equivalents shown in the consolidated statements of cash flows</w:t>
            </w:r>
          </w:p>
        </w:tc>
        <w:tc>
          <w:tcPr>
            <w:tcW w:w="880" w:type="dxa"/>
            <w:vAlign w:val="bottom"/>
            <w:tcBorders>
              <w:top w:val="single" w:sz="8" w:color="auto"/>
            </w:tcBorders>
            <w:vMerge w:val="restart"/>
          </w:tcPr>
          <w:p>
            <w:pPr>
              <w:jc w:val="right"/>
              <w:ind w:right="7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198,916</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109,035</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9,475</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6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13335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Series A Preferred Stock to Class A common stock</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Class A Common Stock to settle commitment shares related to the ELOC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40" w:type="dxa"/>
            <w:vAlign w:val="bottom"/>
            <w:vMerge w:val="continue"/>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w:t>
            </w:r>
          </w:p>
        </w:tc>
        <w:tc>
          <w:tcPr>
            <w:tcW w:w="3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Class A Common Stock to settle obligations under Amelia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Class A Common Stock to settle contingent holdback consideration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40" w:type="dxa"/>
            <w:vAlign w:val="bottom"/>
            <w:vMerge w:val="continue"/>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SYNQ3 acquisition</w:t>
            </w: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pursuant to</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 into common stock pursuant to Business Combination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Deferred offering costs reclassified to additional paid-in capital</w:t>
            </w: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4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Fair value of Class A common stock and deferred equity consideration issued to acquire</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SYNQ3 and Amelia</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contingent earnout consideration to acquire SYNQ3 and Amelia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contingent holdback consideration to acquire SYNQ3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deferred cash consideration under other acquisition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2"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certain of the Company's warrants commenced trading on the Nasdaq Global Market (“Nasdaq”) under the symbols “SOUN” and “SOUNW,” respectively, on April 28, 2022. Refer to Note 3 for more information on the Business Combination.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SoundHound was determined to be the accounting acquirer in the Business Combination based on the following facts:</w:t>
      </w:r>
    </w:p>
    <w:p>
      <w:pPr>
        <w:spacing w:after="0" w:line="225" w:lineRule="exact"/>
        <w:rPr>
          <w:sz w:val="20"/>
          <w:szCs w:val="20"/>
          <w:color w:val="auto"/>
        </w:rPr>
      </w:pPr>
    </w:p>
    <w:p>
      <w:pPr>
        <w:ind w:left="760" w:hanging="104"/>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Legacy SoundHound stockholders have a controlling voting interest in the Company;</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7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immediately after the closing of the Business Combination was comprised of five board members, primarily from the board of directors of Legacy SoundHound; and</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7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SoundHound’s management continues to hold executive management roles for the Company following the Business Combination and are responsible for the day-to-day operations.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accordance with guidance applicable to recapitalization transactions,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loss per share related to Legacy SoundHound Preferred Stock and Legacy SoundHound Common Stock prior to the Business Combination have been retroactively restated as shares reflecting the conversion ratio established in the Business Combination.</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Refer to Note 3 for additional information.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$350.7 million for the year ended December 31, 2024. As of December 31, 2024, the Company had an accumulated deficit of $943.1 million. Management expects to continue to incur additional substantial losses in the foreseeable future. The Company has historically funded its operations primarily through equity or debt financings.</w:t>
      </w:r>
    </w:p>
    <w:p>
      <w:pPr>
        <w:spacing w:after="0" w:line="1" w:lineRule="exact"/>
        <w:rPr>
          <w:sz w:val="20"/>
          <w:szCs w:val="20"/>
          <w:color w:val="auto"/>
        </w:rPr>
      </w:pPr>
    </w:p>
    <w:p>
      <w:pPr>
        <w:jc w:val="both"/>
        <w:ind w:left="340"/>
        <w:spacing w:after="0" w:line="236"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December 31, 2024 was $198.2 million. Although the Company has incurred recurring losses each year since its inception, the Company expects it will be able to fund its operations for at least the next twelve months from the date these consolidated financial statements are issued. The Company may seek funding through additional debt or equity financing arrangements, implement incremental expense reduction measures or a combination thereof to continue financing its operations. Refer to Note 23 for information regarding the Company's equity financing activity subsequent to December 31, 2024. The Company's consolidated financial statements have been prepared assuming the Company will continue as a going concern, which contemplates, among other things, the realization of assets and satisfaction of liabilities in the normal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 and Significant Accounting Policies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2024, 2023 and 2022, the Company recognized net losses related to foreign currency transactions and remeasurements of $0.7 million, $0.5 million and $0.7 million, respectively, in the consolidated statements of operations as other expense, net.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Certain accounts in the prior year consolidated financial statements were reclassified to conform with the current year presentation. The reclassification had an immaterial impact on our consolidated balance sheets, consolidated statements of operations and comprehensive loss and consolidated statements of cash flows in the prior year period.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SYNQ3 and Amelia, management revised certain significant estimates during the years ended December 31, 2024, which include, but are not limited to, the recognition and measurement of assumed contingent liabilities and deferred and contingent holdback consideration.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do not bear interest and the Company generally does not require collateral or other security in support of accounts receivable.</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When the Company records customer receivables and contract assets arising from revenue transactions, an allowance is recorded for credit losses for the current expected credit losses ("CECL")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estimates expected credit losses based on relevant information about past events, including historical experience, payment terms, environmental and industry factors, and reasonable and supportable forecasts that affect the collectability of the reported amount. When measuring expected credit losses, we pool assets with similar country risk and credit risk characteristics. Changes in the relevant information may materially affect the estimates of expected credit losses.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is provided using the straight-line method over the estimated useful lives of the respective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31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30"/>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1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3 – 4 years</w:t>
            </w:r>
          </w:p>
        </w:tc>
      </w:tr>
      <w:tr>
        <w:trPr>
          <w:trHeight w:val="229"/>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1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1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5 years</w:t>
            </w:r>
          </w:p>
        </w:tc>
      </w:tr>
      <w:tr>
        <w:trPr>
          <w:trHeight w:val="176"/>
        </w:trPr>
        <w:tc>
          <w:tcPr>
            <w:tcW w:w="81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Leasehold improvements</w:t>
            </w:r>
          </w:p>
        </w:tc>
        <w:tc>
          <w:tcPr>
            <w:tcW w:w="3120" w:type="dxa"/>
            <w:vAlign w:val="bottom"/>
          </w:tcPr>
          <w:p>
            <w:pPr>
              <w:jc w:val="center"/>
              <w:ind w:left="590"/>
              <w:spacing w:after="0" w:line="176" w:lineRule="exact"/>
              <w:rPr>
                <w:sz w:val="20"/>
                <w:szCs w:val="20"/>
                <w:color w:val="auto"/>
              </w:rPr>
            </w:pPr>
            <w:r>
              <w:rPr>
                <w:rFonts w:ascii="Times New Roman" w:cs="Times New Roman" w:eastAsia="Times New Roman" w:hAnsi="Times New Roman"/>
                <w:sz w:val="18"/>
                <w:szCs w:val="18"/>
                <w:color w:val="auto"/>
              </w:rPr>
              <w:t>Lesser of useful life or the term</w:t>
            </w:r>
          </w:p>
        </w:tc>
      </w:tr>
      <w:tr>
        <w:trPr>
          <w:trHeight w:val="234"/>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the lease</w:t>
            </w:r>
          </w:p>
        </w:tc>
      </w:tr>
      <w:tr>
        <w:trPr>
          <w:trHeight w:val="535"/>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tc>
        <w:tc>
          <w:tcPr>
            <w:tcW w:w="312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tc>
        <w:tc>
          <w:tcPr>
            <w:tcW w:w="31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a specific asset or asset group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2024, there have been no such impairments.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its inception. Operating lease liabilities are recognized at the lease commencement date based on the present value of lease payments over the lease term. We generally use our incremental borrowing rate based on the information available at the lease commencement date in determining the present value of future payments, because the implicit rate of the lease is generally not known. Right-of-use ("ROU") assets related to our operating lease liabilities are measured at lease inception based on the initial measurement of the lease liability, plus any prepaid lease payments and less any lease incentives, as applicable. Our lease terms that are used in determining our operating lease liabilities at lease inception may include options to extend or terminate the leases when it is reasonably certain that we will exercise such options. We amortize our ROU assets as operating lease expense generally on a straight-line basis over the lease term and classify both the lease amortization and imputed interest as operating expenses. The Company has lease agreements with lease and non-lease components. The Company elected to not separate lease and non-lease components for its asset class of equipment.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from the date of purchase to be cash equivalents. The Company’s cash equivalents consist of treasury bills and money market funds. The treasury bills are treated as available-for-sale securities. Cash equivalents are measured and reported at fair value using quoted prices in active markets for similar securities. The deposits exceed federally insured limits. Changes in fair value for cash equivalents classified as available for sale securities are recorded to other comprehensive loss.</w:t>
      </w:r>
    </w:p>
    <w:p>
      <w:pPr>
        <w:spacing w:after="0" w:line="1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available-for-sale securities consisted of U.S. treasury bills and government bonds with original maturities of three months or less. As of December 31, 2022, the Company did not have any available-for-sale securities.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Cash</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restricted cash were established according to the requirements under the Credit Agreement (as defined in Note 9) and leases for the Company’s corporate headquarters, data center and sales office and are subject to certain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restrictions. Restricted cash is classified as current or non-current on the consolidated balance sheets based on the expected duration of the restriction. Non-current restricted cash relates to interest that is required to be held in escrow in an amount equal to the minimum required balance defined in the Credit Agreement.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accounts receivable balances due from Customer F accounted for 23% of the Company’s consolidated accounts receivable balance. As of December 31, 2023, accounts receivable balances due from Customer A, C and E accounted for 40%, 32% and 15% of the Company’s consolidated accounts receivable balance, respectively.</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unbilled receivables from Customer A and C accounted for 50% and 24% of the Company’s consolidated unbilled receivables balance, respectively. As of December 31, 2023, unbilled receivables from Customer A, B, and C accounted for 59%, 16% and 11% of the Company’s consolidated unbilled receivables balance, respectively.</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Customer A accounted for 14% of revenue. For the year ended December 31, 2023, Customer A and B accounted for 49% and 13% of revenue, respectively. For the year ended December 31, 2022, Customer A, C and D accounted for 42%, 13%, and 12% of revenue,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Offerings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has entered into certain agreements to sell common stock with counterparties including through the Equity Line of Credit ("ELOC") program and “at-the-market” offering programs pursuant to the Sales Agreement, Equity Distribution Agreement and Execute Equity Distribution Agreements (each as described in Note 14) to further support its growth strategy through initiatives such as accretive acquisitions and internal investments, to bolster working capital, and/or for general corporate purposes. The Company evaluates its common stock purchase agreements to determine whether they should be accounted for as derivatives with changes in fair value as other income (expense), net in the period in which they occur.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equity-classified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to recognize the incremental costs of obtaining a contract including sales commissions as an expense when incurred if the amortization period of such incremental cost would otherwise have been one year or less. Sales commissions are included in sales and marketing expense in the consolidated statements of operations and comprehensive loss.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consolidated statements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 Company has recorded $0.2 million interest expense and penalties related to unrecognized tax benefits through December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requisite service period of the individual grant, generally equal to the vesting period, and uses the straight-line method to recognize stock-based compensation, except for restricted stock unit awards (“RSUs”) with vesting conditions tied to certain performance criteria ("Performance-Based RSUs"). Stock-based compensation costs for Performance-Based RSUs are recognized on a graded-vesting basis over the vesting period based on the most probable outcome of the performance conditions. If the minimum performance targets are not met, no compensation cost is recognized and any recognized compensation cost is reversed, except for awards subject to a market condition, The Company accounts for forfeitures as they occur. The Company uses the Black-Scholes option-pricing model to determine the fair value of stock options and employee stock purchase plan ("ESPP") shares. The Black-Scholes option-pricing model requires the use of highly subjective and complex assumptions to determine the fair value of the awards, including the expected term of the award and the price volatility of the underlying stock. The Company calculates the fair value of the awards granted by using the Black-Scholes option-pricing model with the following assumptions:</w:t>
      </w:r>
    </w:p>
    <w:p>
      <w:pPr>
        <w:spacing w:after="0" w:line="186" w:lineRule="exact"/>
        <w:rPr>
          <w:sz w:val="20"/>
          <w:szCs w:val="20"/>
          <w:color w:val="auto"/>
        </w:rPr>
      </w:pPr>
    </w:p>
    <w:p>
      <w:pPr>
        <w:jc w:val="both"/>
        <w:ind w:left="9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the awards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award grant for a term that is approximately equal to the awards’ expected term.</w:t>
      </w:r>
    </w:p>
    <w:p>
      <w:pPr>
        <w:spacing w:after="0" w:line="158"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awards represents the period that the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 For the valuation of ESPP shares, the Company uses the period of time from the valuation date to the purchase date.</w:t>
      </w:r>
    </w:p>
    <w:p>
      <w:pPr>
        <w:spacing w:after="0" w:line="183" w:lineRule="exact"/>
        <w:rPr>
          <w:sz w:val="20"/>
          <w:szCs w:val="20"/>
          <w:color w:val="auto"/>
        </w:rPr>
      </w:pPr>
    </w:p>
    <w:p>
      <w:pPr>
        <w:jc w:val="both"/>
        <w:ind w:left="9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term that is equal to the awards’ expected term at the grant date.</w:t>
      </w:r>
    </w:p>
    <w:p>
      <w:pPr>
        <w:spacing w:after="0" w:line="158" w:lineRule="exact"/>
        <w:rPr>
          <w:sz w:val="20"/>
          <w:szCs w:val="20"/>
          <w:color w:val="auto"/>
        </w:rPr>
      </w:pPr>
    </w:p>
    <w:p>
      <w:pPr>
        <w:jc w:val="both"/>
        <w:ind w:left="9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or paid dividends to date and does not anticipate declaring dividends.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yield is zero.</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issues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Stock-based compensation related to Performance-Based RSUs is recognized to the extent it is determined that performance is probable of being achieved.</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correlation with market data at the measurement date and for the duration of the instrument’s anticipated life.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328"/>
        <w:spacing w:after="0" w:line="284"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Consideration is given to the risk inherent in the valuation technique and the risk inherent in the inputs to the model.</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assesses its preferred stock instruments at issuance and each reporting period for classification and derivative features requiring bifurcation.</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For stock presented as temporary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temporary equity is not probable of redemption, subsequent adjustment of the amounts presented in temporary equity is unnecessary.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Series A Preferred Stock, stock options, ESPP shares, RSUs and warrants are considered to be potentially dilutive securities. See Note 15 for further information.</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issued Series A Preferred Stock, which accrues cumulative dividends which are either paid in cash or compounding to the liquidation preference at the discretion of the board of directors. The Company accrues dividends as adjustments to net loss before net loss attributable to common stockholders.</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consolidated statements of operations in the period they are identified. Acquisition-related expenses are recognized separately from the business combination and expensed as incurred.</w:t>
      </w:r>
    </w:p>
    <w:p>
      <w:pPr>
        <w:spacing w:after="0" w:line="18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consolidated statements of operations.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in any of the periods presented.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Adopted</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continually assess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Early adoption is permitted. The Company adopted the standard during the year ended December 31, 2024. See Note 21 to our consolidated financial statements included within this report for more information on the increased disclosure for the Company's single reportable segment.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43" w:lineRule="exact"/>
        <w:rPr>
          <w:sz w:val="20"/>
          <w:szCs w:val="20"/>
          <w:color w:val="auto"/>
        </w:rPr>
      </w:pPr>
    </w:p>
    <w:p>
      <w:pPr>
        <w:jc w:val="both"/>
        <w:ind w:left="340"/>
        <w:spacing w:after="0"/>
        <w:rPr>
          <w:sz w:val="20"/>
          <w:szCs w:val="20"/>
          <w:color w:val="auto"/>
        </w:rPr>
      </w:pPr>
      <w:r>
        <w:rPr>
          <w:rFonts w:ascii="Times New Roman" w:cs="Times New Roman" w:eastAsia="Times New Roman" w:hAnsi="Times New Roman"/>
          <w:sz w:val="18"/>
          <w:szCs w:val="18"/>
          <w:color w:val="auto"/>
        </w:rPr>
        <w:t>As discussed in Note 1, on April 26, 2022, the Business Combination was consummated. Pursuant to the Company’s Second Amended and Restated Certificate of Incorporation (the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and the holders of Class B Common Stock are entitled to ten votes per share on all matters submitted to stockholders for their vote or approval. The holders of Class A Common Stock and Class B Common Stock vote together as one class, other than on certain specific matters described in the Company's certificate of incorporation.</w:t>
      </w:r>
    </w:p>
    <w:p>
      <w:pPr>
        <w:spacing w:after="0" w:line="18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An aggregate of 12,767,950 shares of Class A Common Stock sold in ATSP’s initial public offering (the “public shares”) exercised their rights to redemption. The redemption right provided holders the right to have their public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180" w:lineRule="exact"/>
        <w:rPr>
          <w:sz w:val="20"/>
          <w:szCs w:val="20"/>
          <w:color w:val="auto"/>
        </w:rPr>
      </w:pPr>
    </w:p>
    <w:p>
      <w:pPr>
        <w:jc w:val="both"/>
        <w:ind w:left="340"/>
        <w:spacing w:after="0" w:line="274"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9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U.S. GAAP. Under this method of accounting, ATSP was treated as the “acquired” company for financial reporting purposes. The net assets of Legacy SoundHound were stated at historical cost, with no goodwill or other intangible assets recorded.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ATSP trust and cash (net of redemption)</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Investment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transaction costs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(27,668)</w:t>
            </w:r>
          </w:p>
        </w:tc>
      </w:tr>
      <w:tr>
        <w:trPr>
          <w:trHeight w:val="223"/>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Business Combination and PIPE Investment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90,689</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and included in other non-current assets on the consolidated balance sheets. Total transaction expenses were recorded as an offset against proceeds received on the closing of the Business Combination, accounted for as additional paid-in capital.</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amount recorded to additional paid-in-capital was comprised of $86.6 million net proceeds from the PIPE investment and $4.1 million after net redemptions of ATSP shareholders.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conversion of Legacy SoundHound Common Stock and Legacy SoundHound Preferred Stock outstanding</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c>
          <w:tcPr>
            <w:tcW w:w="0" w:type="dxa"/>
            <w:vAlign w:val="bottom"/>
          </w:tcPr>
          <w:p>
            <w:pPr>
              <w:spacing w:after="0"/>
              <w:rPr>
                <w:sz w:val="1"/>
                <w:szCs w:val="1"/>
                <w:color w:val="auto"/>
              </w:rPr>
            </w:pPr>
          </w:p>
        </w:tc>
      </w:tr>
      <w:tr>
        <w:trPr>
          <w:trHeight w:val="176"/>
        </w:trPr>
        <w:tc>
          <w:tcPr>
            <w:tcW w:w="9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 - conversion of Legacy SoundHound Common Stock and Legacy SoundHound Preferred Stock outstanding</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Business Combination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40,396,600</w:t>
            </w:r>
          </w:p>
        </w:tc>
        <w:tc>
          <w:tcPr>
            <w:tcW w:w="0" w:type="dxa"/>
            <w:vAlign w:val="bottom"/>
          </w:tcPr>
          <w:p>
            <w:pPr>
              <w:spacing w:after="0"/>
              <w:rPr>
                <w:sz w:val="1"/>
                <w:szCs w:val="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PIPE Investment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11,300,000</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 issuance to ATSP shareholders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532,050</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 issuance to Legacy SoundHound founders and representatives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w:t>
            </w:r>
          </w:p>
        </w:tc>
        <w:tc>
          <w:tcPr>
            <w:tcW w:w="0" w:type="dxa"/>
            <w:vAlign w:val="bottom"/>
          </w:tcPr>
          <w:p>
            <w:pPr>
              <w:spacing w:after="0"/>
              <w:rPr>
                <w:sz w:val="1"/>
                <w:szCs w:val="1"/>
                <w:color w:val="auto"/>
              </w:rPr>
            </w:pP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0" w:type="dxa"/>
            <w:vAlign w:val="bottom"/>
          </w:tcPr>
          <w:p>
            <w:pPr>
              <w:spacing w:after="0"/>
              <w:rPr>
                <w:sz w:val="1"/>
                <w:szCs w:val="1"/>
                <w:color w:val="auto"/>
              </w:rPr>
            </w:pPr>
          </w:p>
        </w:tc>
      </w:tr>
      <w:tr>
        <w:trPr>
          <w:trHeight w:val="21"/>
        </w:trPr>
        <w:tc>
          <w:tcPr>
            <w:tcW w:w="9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87</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97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SYNQ3 Acquisition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Holdback</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is being withheld for a period of 15 months (the "Holdback Amount"). The Company determined that there are two components to the Holdback Amount related to deferred consideration and contingent consideration, each comprised of cash and shares.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spacing w:after="0" w:line="17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Holdback Consideration as a liability on the consolidated balance sheet. As of the SYNQ3 Acquisition Date, the Contingent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Holdback Consideration to SYNQ3's former stockholders as a result of the net working capital adjustments settled during the year. The Contingent Holdback Consideration will be subsequently remeasured at each reporting date with changes in fair value recognized as a component of operating expense on the Company’s consolidated statement of operations and comprehensive loss. See Note 12 to our consolidated financial statements included within this report for more information on the fair value measurement of shares associated with the holdback.</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SYNQ3 Earnout Consideration</w:t>
      </w:r>
    </w:p>
    <w:p>
      <w:pPr>
        <w:spacing w:after="0" w:line="243" w:lineRule="exact"/>
        <w:rPr>
          <w:sz w:val="20"/>
          <w:szCs w:val="20"/>
          <w:color w:val="auto"/>
        </w:rPr>
      </w:pPr>
    </w:p>
    <w:p>
      <w:pPr>
        <w:jc w:val="both"/>
        <w:ind w:left="340"/>
        <w:spacing w:after="0" w:line="237"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SYNQ3 Acquisition Date, the Contingent SYNQ3 Earnout Consideration was estimated to be $1.7 million in aggregate and to be settled in $0.2 million cash and the remainder in shares of the Company’s Class A Common Stock. See Note 12 to our consolidated financial statements included within this report for more information on the fair value measurement of Contingent SYNQ3 Earnout Consideration. As of December 31, 2024, the 2024 revenue target was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not met but the Company assessed the 2025 and 2026 revenue target were probable of being met, and no earnout consideration was issued during the year ended December 31, 2024.</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5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15 to our consolidated financial statements included within this report for more information on stock-based awards issued in connection with the SYNQ3 Acquisition.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5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purchase price allocation was performed as of January 3, 2024 and allocated to the assets acquired and liabilities assumed based on their respective fair values,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70"/>
        </w:trPr>
        <w:tc>
          <w:tcPr>
            <w:tcW w:w="8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70"/>
        </w:trPr>
        <w:tc>
          <w:tcPr>
            <w:tcW w:w="8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50"/>
        </w:trPr>
        <w:tc>
          <w:tcPr>
            <w:tcW w:w="8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measurement period adjustments to decrease the deferred revenue by $0.1 million as the revenue recognition criteria had been met at the acquisition date, to increase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accrued liabilities by $1.8 million resulting from a pre-acquisition legal settlement, and to decrease the deferred tax liability assumed by $0.2 million. Refer to Note 8 to these consolidated financial statements for more information on the legal proceedings. These measurement period adjustments resulted in a decrease of $0.1 million in deferred cash consideration, $0.6 million in deferred equity consideration, and $0.4 million in contingent holdback consideration in accordance with the merger agreement. As a result of the adjusted acquisition-date fair value of assets acquired and liabilities assumed, the Company recorded an increase of $0.2 million to the goodwill recognized. The measurement period adjustments were recorded in the consolidated financial statements as of and for the year ended December 31, 2024 and were made to reflect facts and circumstances that existed as of the SYNQ3 Acquisition Date. The purchase price allocation has been finalized as of December 31, 2024.</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identifiable intangible assets acquired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20" w:type="dxa"/>
            <w:vAlign w:val="bottom"/>
          </w:tcPr>
          <w:p>
            <w:pPr>
              <w:spacing w:after="0"/>
              <w:rPr>
                <w:sz w:val="19"/>
                <w:szCs w:val="19"/>
                <w:color w:val="auto"/>
              </w:rPr>
            </w:pPr>
          </w:p>
        </w:tc>
        <w:tc>
          <w:tcPr>
            <w:tcW w:w="20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23"/>
        </w:trPr>
        <w:tc>
          <w:tcPr>
            <w:tcW w:w="6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29"/>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30"/>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3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6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incurred $2.1 million in acquisition related expenses, of which $1.0 million was incurred during the year ended December 31, 2024 and recorded as general and administration expenses in its consolidated statements of operations and comprehensive loss.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Amelia Acquisition</w:t>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spacing w:after="0" w:line="18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total preliminary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for a six-month holding period. The Company also paid $8.4 million of cash for seller transaction expenses in connection with the closing of the Amelia Acquisition. The Company agreed to issue up to 16,822,429 shares to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shareholders based on achievement of certain revenue targets in fiscal years 2025 and 2026 (the "Amelia Contingent Earnout Consideration).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preliminary purchase consideration was $98.6 million.</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(“Amelia Debt”). See Note 10 to our consolidated financial statements included within this report for more information on the Amelia Debt.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Escrow Consideration</w:t>
      </w:r>
    </w:p>
    <w:p>
      <w:pPr>
        <w:spacing w:after="0" w:line="21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This derivative did not have a material impact to the financial statements for the year ended December 31, 2024. Upon the expiration of the escrow period, any remaining shares within the escrow account will be released to the selling shareholders.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Amelia Earnout Consideration</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consolidated balance sheets and will subsequently remeasure the liability at each reporting date with changes in fair value recognized as a component of operating expense in the Company’s consolidated statement of operations and comprehensive loss. As of the Amelia Acquisition Date, the Contingent Amelia Earnout Consideration had an estimated fair value of $66.3 million. For the year ended December 31, 2024, the Company recognized a $211.9 million loss related to the Contingent Amelia Earnout Consideration, reflected in the change in fair value of contingent acquisition liabilities in the consolidated statement of operations and comprehensive loss. See Note 12 to our consolidated financial statements included within this report for more information on the fair value measurement of Contingent Amelia Earnout Consideration. As of December 31, 2024, the Company assessed the 2025 and 2026 revenue target were probable of being met.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25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August 6,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SOUNDHOUND AI, INC.</w:t>
            </w: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89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797"/>
        </w:trPr>
        <w:tc>
          <w:tcPr>
            <w:tcW w:w="8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41"/>
        </w:trPr>
        <w:tc>
          <w:tcPr>
            <w:tcW w:w="8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August 6, 2024</w:t>
            </w:r>
          </w:p>
        </w:tc>
      </w:tr>
      <w:tr>
        <w:trPr>
          <w:trHeight w:val="22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in escrow</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w:t>
            </w:r>
          </w:p>
        </w:tc>
      </w:tr>
      <w:tr>
        <w:trPr>
          <w:trHeight w:val="223"/>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r>
      <w:tr>
        <w:trPr>
          <w:trHeight w:val="270"/>
        </w:trPr>
        <w:tc>
          <w:tcPr>
            <w:tcW w:w="8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 - 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23"/>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191,931</w:t>
            </w:r>
          </w:p>
        </w:tc>
      </w:tr>
      <w:tr>
        <w:trPr>
          <w:trHeight w:val="270"/>
        </w:trPr>
        <w:tc>
          <w:tcPr>
            <w:tcW w:w="8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2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8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189,027</w:t>
            </w:r>
          </w:p>
        </w:tc>
      </w:tr>
      <w:tr>
        <w:trPr>
          <w:trHeight w:val="250"/>
        </w:trPr>
        <w:tc>
          <w:tcPr>
            <w:tcW w:w="8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accquired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95,704</w:t>
            </w:r>
          </w:p>
        </w:tc>
      </w:tr>
      <w:tr>
        <w:trPr>
          <w:trHeight w:val="21"/>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measurement period adjustments to increase the cash consideration by $12.8 thousand, to decrease the accounts receivable by $0.2 million, increase the accrued liabilities by $0.9 million due to additional payroll taxes identified, to decrease the non-current income tax liabilities by $1.8 million due to the change of pre-acquisition tax exposures subsequent to the acquisition. As a result of the adjusted acquisition-date fair value of cash consideration, assets acquired and liabilities assumed, the Company recorded a decrease of $0.7 million to the goodwill recognized. The measurement period adjustments were recorded in the consolidated financial statements as of and for the year ended December 31, 2024 and were made to reflect facts and circumstances that existed as of the Amelia Acquisition Date. In addition to the measurement period adjustments, the Company also recorded adjustments to correct certain errors in the preliminary purchase price allocation that existed as of the acquisition date during the year ended December 31, 2024, which decreased the contingent earnout consideration by $5.3 million, decreased the accounts payable by $3.7 million, decreased the accrued liabilities by $1.2 million, increased deferred revenue by $0.3 million and increased the deferred tax liabilities by $0.7 million. As a result of the adjusted acquisition-date fair value of contingent earnout consideration recognized and liabilities assumed, the Company recorded a decrease of $9.3 million to the goodwill recognized. The identified error related to the contingent earnout consideration had an immaterial impact to the change in fair value from the acquisition date through September 30, 2024, which would have been recorded in change in fair value of contingent acquisition liabilities in the consolidated statements of operations and comprehensive loss.</w:t>
      </w:r>
    </w:p>
    <w:p>
      <w:pPr>
        <w:spacing w:after="0" w:line="19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December 31, 2024 primarily due to the final assessment of the fair values of the intangible assets, contingent tax liability assumed, and fair value of the contingent earnout consideration.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Amelia Acquisition Date.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w:t>
      </w:r>
      <w:r>
        <w:rPr>
          <w:rFonts w:ascii="Times New Roman" w:cs="Times New Roman" w:eastAsia="Times New Roman" w:hAnsi="Times New Roman"/>
          <w:sz w:val="18"/>
          <w:szCs w:val="18"/>
          <w:color w:val="232323"/>
        </w:rPr>
        <w:t>zes the preliminary fair values of the identifiable intangible assets acquired</w:t>
      </w:r>
      <w:r>
        <w:rPr>
          <w:rFonts w:ascii="Times New Roman" w:cs="Times New Roman" w:eastAsia="Times New Roman" w:hAnsi="Times New Roman"/>
          <w:sz w:val="18"/>
          <w:szCs w:val="18"/>
          <w:color w:val="auto"/>
        </w:rPr>
        <w:t xml:space="preserve"> (in thousands)</w:t>
      </w:r>
      <w:r>
        <w:rPr>
          <w:rFonts w:ascii="Times New Roman" w:cs="Times New Roman" w:eastAsia="Times New Roman" w:hAnsi="Times New Roman"/>
          <w:sz w:val="18"/>
          <w:szCs w:val="18"/>
          <w:color w:val="232323"/>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9"/>
                <w:szCs w:val="19"/>
                <w:color w:val="auto"/>
              </w:rPr>
            </w:pPr>
          </w:p>
        </w:tc>
        <w:tc>
          <w:tcPr>
            <w:tcW w:w="2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3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23"/>
        </w:trPr>
        <w:tc>
          <w:tcPr>
            <w:tcW w:w="6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r>
      <w:tr>
        <w:trPr>
          <w:trHeight w:val="230"/>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2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67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1"/>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$5.8 million</w:t>
      </w:r>
      <w:r>
        <w:rPr>
          <w:rFonts w:ascii="Times New Roman" w:cs="Times New Roman" w:eastAsia="Times New Roman" w:hAnsi="Times New Roman"/>
          <w:sz w:val="18"/>
          <w:szCs w:val="18"/>
          <w:color w:val="232323"/>
        </w:rPr>
        <w:t xml:space="preserve"> in acquisition related expenses, all of which was incurred during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32323"/>
        </w:rPr>
        <w:t xml:space="preserve"> and recorded as general and administration expenses in its consolidated statements of operations and comprehensive loss.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financial results of SYNQ3 and Amelia are included in these consolidated financial statements from the date of the acquisition. SYNQ3 contributed revenue of $12.0 million and net loss of $7.5 million to the Company for the year ended December 31, 2024. Amelia contributed revenue of $42.0 million and net loss of $8.5 million to the Company for the year ended December 31, 2024.</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business combinations were completed on January 1, 2023, the beginning of the comparable prior annual reporting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2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120" w:type="dxa"/>
            <w:vAlign w:val="bottom"/>
            <w:tcBorders>
              <w:bottom w:val="single" w:sz="8" w:color="auto"/>
            </w:tcBorders>
          </w:tcPr>
          <w:p>
            <w:pPr>
              <w:spacing w:after="0"/>
              <w:rPr>
                <w:sz w:val="19"/>
                <w:szCs w:val="19"/>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143,498</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153,586</w:t>
            </w: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(374,469)</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(158,339)</w:t>
            </w:r>
          </w:p>
        </w:tc>
      </w:tr>
    </w:tbl>
    <w:p>
      <w:pPr>
        <w:spacing w:after="0" w:line="200" w:lineRule="exact"/>
        <w:rPr>
          <w:sz w:val="20"/>
          <w:szCs w:val="20"/>
          <w:color w:val="auto"/>
        </w:rPr>
      </w:pPr>
    </w:p>
    <w:p>
      <w:pPr>
        <w:spacing w:after="0" w:line="33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unaudited pro forma financial information includes the combined historical operating results of the Company, SYNQ3 and Amelia prior to the acquisitions,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the acquired entities, elimination of amortization expense related to previously recognized goodwill held by SYNQ3, and the related tax effects of pro forma adjustments for the period. Given the paydown of Amelia Debt occurred in December 2024, which was shortly after the Amelia Acquisition Date, the interest expenses from Amelia Debt were excluded from the unaudited pro forma financial information.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The unaudited pro forma results are based on the preliminary purchase price allocation and will be updated to reflect the final amounts as the allocation is finalized during the measurement period.</w:t>
      </w:r>
    </w:p>
    <w:p>
      <w:pPr>
        <w:spacing w:after="0" w:line="19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Other Acquisition</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preliminary purchase consideration of $1.0 million. As part of the acquisition, the Company acquired net assets of $2.2 million, including intangible assets of $2.6 million, and recognized a preliminary gain on bargain purchase of $1.2 million within other income (expense), net in the consolidated statements of operations and comprehensive loss during the year ended December 31, 2024,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1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December 31, 2024 primarily due to the final assessment of the fair values of the intangible assets.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w:t>
      </w:r>
      <w:r>
        <w:rPr>
          <w:rFonts w:ascii="Times New Roman" w:cs="Times New Roman" w:eastAsia="Times New Roman" w:hAnsi="Times New Roman"/>
          <w:sz w:val="18"/>
          <w:szCs w:val="18"/>
          <w:color w:val="232323"/>
        </w:rPr>
        <w:t>ummarizes the preliminary fair values of the identifiable intangible assets acquired</w:t>
      </w:r>
      <w:r>
        <w:rPr>
          <w:rFonts w:ascii="Times New Roman" w:cs="Times New Roman" w:eastAsia="Times New Roman" w:hAnsi="Times New Roman"/>
          <w:sz w:val="18"/>
          <w:szCs w:val="18"/>
          <w:color w:val="auto"/>
        </w:rPr>
        <w:t xml:space="preserve"> (in thousands)</w:t>
      </w:r>
      <w:r>
        <w:rPr>
          <w:rFonts w:ascii="Times New Roman" w:cs="Times New Roman" w:eastAsia="Times New Roman" w:hAnsi="Times New Roman"/>
          <w:sz w:val="18"/>
          <w:szCs w:val="18"/>
          <w:color w:val="23232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4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80" w:type="dxa"/>
            <w:vAlign w:val="bottom"/>
          </w:tcPr>
          <w:p>
            <w:pPr>
              <w:spacing w:after="0"/>
              <w:rPr>
                <w:sz w:val="19"/>
                <w:szCs w:val="19"/>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5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0"/>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incurred $0.1 million in acquisition related expenses during the year ended December 31, 2024, and recorded as general and administration expenses in its consolidated statements of operations and comprehensive loss.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consolidated financial statements from the date of the acquisition, and are immaterial. The Company has not separately presented unaudited pro forma results of operations reflecting the acquisition or revenue and operating losses of the acquired entity for the period from acquisition date to December 31, 2024 as the impacts were not material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judgement in identifying and evaluating any terms and conditions in contracts which impact revenue recognition.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and Amelia Software Platform over the contract period without taking possession of the software.</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Hosted services may include up-front services to develop and/or customize the applications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are categorized as hosted service revenue.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8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either input or output measures. During the year ended December 31, 2024, $9.4 million of professional service revenue was recognized over time, with the remaining $0.1 million recognized at a point in time when the performance obligation was fulfilled and control of the service was transferred to the customer. During the year ended December 31, 2023, $7.4 million of professional service revenue was recognized over time, with the remaining $0.9 million recognized at a point in time when the performance obligation was fulfilled and control of the service was transferred to the customer. During the year ended December 31, 2022, $2.2 million of professional service revenue was recognized over time, with the remaining $2.0 million recognized at a point in time when the performance obligation was fulfilled and control of the service was transferred to the customer.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licenses voice and Amelia's software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 contract support is recognized ratably over the licensing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8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2023 and 2022, revenue under each performance obligation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3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5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disaggregated revenue by geographic location*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disaggregated revenue by recognition pattern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and Amelia services,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and Amelia services may include professional services that develop and customize the Houndify platform and Amelia Software Platform to fit customers’ specific needs, and any post-contract support for on-premise solutions. Revenues from Monetization are generated from the SoundHound music identification app and are primarily attributable to user ad impression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disaggregated revenue by service type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31,129</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January 1, 2023, accounts receivable, net of allowances, was $3.4 million, contract assets, net of allowances, were $8.7 million and deferred revenue was $13.4 million.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December 31, 2024 and December 31, 2023 consists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3520" w:type="dxa"/>
            <w:vAlign w:val="bottom"/>
            <w:shd w:val="clear" w:color="auto" w:fill="CCEEFF"/>
          </w:tcPr>
          <w:p>
            <w:pPr>
              <w:spacing w:after="0"/>
              <w:rPr>
                <w:sz w:val="21"/>
                <w:szCs w:val="21"/>
                <w:color w:val="auto"/>
              </w:rPr>
            </w:pPr>
          </w:p>
        </w:tc>
        <w:tc>
          <w:tcPr>
            <w:tcW w:w="42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9"/>
        </w:trPr>
        <w:tc>
          <w:tcPr>
            <w:tcW w:w="3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Unbilled account receivables - current</w:t>
            </w:r>
          </w:p>
        </w:tc>
        <w:tc>
          <w:tcPr>
            <w:tcW w:w="4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0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14"/>
                <w:szCs w:val="14"/>
                <w:color w:val="auto"/>
              </w:rPr>
            </w:pPr>
          </w:p>
        </w:tc>
        <w:tc>
          <w:tcPr>
            <w:tcW w:w="20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5,138</w:t>
            </w:r>
          </w:p>
        </w:tc>
      </w:tr>
      <w:tr>
        <w:trPr>
          <w:trHeight w:val="239"/>
        </w:trPr>
        <w:tc>
          <w:tcPr>
            <w:tcW w:w="3520" w:type="dxa"/>
            <w:vAlign w:val="bottom"/>
          </w:tcPr>
          <w:p>
            <w:pPr>
              <w:spacing w:after="0"/>
              <w:rPr>
                <w:sz w:val="20"/>
                <w:szCs w:val="20"/>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0"/>
        </w:trPr>
        <w:tc>
          <w:tcPr>
            <w:tcW w:w="3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Contract assets - current</w:t>
            </w:r>
          </w:p>
        </w:tc>
        <w:tc>
          <w:tcPr>
            <w:tcW w:w="458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13,204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6,642</w:t>
            </w:r>
          </w:p>
        </w:tc>
      </w:tr>
      <w:tr>
        <w:trPr>
          <w:trHeight w:val="243"/>
        </w:trPr>
        <w:tc>
          <w:tcPr>
            <w:tcW w:w="352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176"/>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Unbilled account receivables - non-current</w:t>
            </w:r>
          </w:p>
        </w:tc>
        <w:tc>
          <w:tcPr>
            <w:tcW w:w="45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3520" w:type="dxa"/>
            <w:vAlign w:val="bottom"/>
          </w:tcPr>
          <w:p>
            <w:pPr>
              <w:spacing w:after="0"/>
              <w:rPr>
                <w:sz w:val="20"/>
                <w:szCs w:val="20"/>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allowance for credit losses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0"/>
        </w:trPr>
        <w:tc>
          <w:tcPr>
            <w:tcW w:w="35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Contract assets - non-current</w:t>
            </w:r>
          </w:p>
        </w:tc>
        <w:tc>
          <w:tcPr>
            <w:tcW w:w="458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11,957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16,492</w:t>
            </w:r>
          </w:p>
        </w:tc>
      </w:tr>
      <w:tr>
        <w:trPr>
          <w:trHeight w:val="243"/>
        </w:trPr>
        <w:tc>
          <w:tcPr>
            <w:tcW w:w="352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allowance for credit losses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bl>
    <w:p>
      <w:pPr>
        <w:spacing w:after="0" w:line="27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asset impairment charges related to contract assets during the periods presented in the consolidated financial statements.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for the years ended December 31, 2024, 2023 and 2022 were $5.1 million, $7.9 million and $6.4 million, respectively.</w:t>
      </w:r>
    </w:p>
    <w:p>
      <w:pPr>
        <w:spacing w:after="0" w:line="16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of December 31, 2024, the aggregate amount of the transaction price allocated to the remaining performance obligations related to customer contracts that were unsatisfied or partially unsatisfied was $83.3 million. Given the applicable contract terms, $48.9 million is expected to be recognized as revenue within one year, $32.1 million is expected to be recognized between 2 to 5 years and the remainder of $2.3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year ended December 31, 2024,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SYNQ3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9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Amelia</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95,704</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101,704</w:t>
            </w:r>
          </w:p>
        </w:tc>
      </w:tr>
      <w:tr>
        <w:trPr>
          <w:trHeight w:val="20"/>
        </w:trPr>
        <w:tc>
          <w:tcPr>
            <w:tcW w:w="9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340"/>
        <w:spacing w:after="0"/>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and Amelia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SYNQ3 and Amelia Acquisitions.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20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5"/>
                <w:szCs w:val="15"/>
                <w:color w:val="auto"/>
              </w:rPr>
            </w:pPr>
          </w:p>
        </w:tc>
        <w:tc>
          <w:tcPr>
            <w:tcW w:w="1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40" w:type="dxa"/>
            <w:vAlign w:val="bottom"/>
          </w:tcPr>
          <w:p>
            <w:pPr>
              <w:spacing w:after="0"/>
              <w:rPr>
                <w:sz w:val="15"/>
                <w:szCs w:val="15"/>
                <w:color w:val="auto"/>
              </w:rPr>
            </w:pP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0" w:type="dxa"/>
            <w:vAlign w:val="bottom"/>
          </w:tcPr>
          <w:p>
            <w:pPr>
              <w:spacing w:after="0"/>
              <w:rPr>
                <w:sz w:val="1"/>
                <w:szCs w:val="1"/>
                <w:color w:val="auto"/>
              </w:rPr>
            </w:pPr>
          </w:p>
        </w:tc>
      </w:tr>
      <w:tr>
        <w:trPr>
          <w:trHeight w:val="238"/>
        </w:trPr>
        <w:tc>
          <w:tcPr>
            <w:tcW w:w="258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$14.8 million for the year ended December 31, 2024. This expense was recorded as $7.7 million within cost of revenues for the year ended December 31, 2024. There was no amortization expense during the year ended December 31,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December 31, 2024, is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5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4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0" w:type="dxa"/>
            <w:vAlign w:val="bottom"/>
          </w:tcPr>
          <w:p>
            <w:pPr>
              <w:spacing w:after="0"/>
              <w:rPr>
                <w:sz w:val="1"/>
                <w:szCs w:val="1"/>
                <w:color w:val="auto"/>
              </w:rPr>
            </w:pPr>
          </w:p>
        </w:tc>
      </w:tr>
      <w:tr>
        <w:trPr>
          <w:trHeight w:val="223"/>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8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174,943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880" w:type="dxa"/>
            <w:vAlign w:val="bottom"/>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property and equipment, net includes assets under finance lease obligations (see Note 16 for additional information) with an aggregate cost of approximately $0.6 million and $0.5 million, respectively, and accumulated depreciation of approximately $0.4 million and $0.1 million, respectively. Depreciation and amortization expense in respect of capitalized property and equipment totaled approximately $1.2 million, $2.3 million and $4.0 million for the years ended December 31, 2024, 2023 and 2022,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ACCRUED LIABILITIES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lender fees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3"/>
        </w:trPr>
        <w:tc>
          <w:tcPr>
            <w:tcW w:w="8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December 31, 2024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9"/>
        </w:trPr>
        <w:tc>
          <w:tcPr>
            <w:tcW w:w="9760" w:type="dxa"/>
            <w:vAlign w:val="bottom"/>
            <w:tcBorders>
              <w:bottom w:val="single" w:sz="8" w:color="CCEEFF"/>
            </w:tcBorders>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2028</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48"/>
        </w:trPr>
        <w:tc>
          <w:tcPr>
            <w:tcW w:w="9760" w:type="dxa"/>
            <w:vAlign w:val="bottom"/>
            <w:tcBorders>
              <w:bottom w:val="single" w:sz="8" w:color="CCEEFF"/>
            </w:tcBorders>
            <w:shd w:val="clear" w:color="auto" w:fill="CCEEFF"/>
          </w:tcPr>
          <w:p>
            <w:pPr>
              <w:jc w:val="right"/>
              <w:ind w:right="911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 the judgment and remanded the case to the District Court to enter judgment in favor of TEBO on both SYNQ3’s claim and TEBO’s counterclaim and to conduct further proceedings as are necessary to determine the damages, attorney fees and costs, if any, to be awarded to TEBO. On January 15, 2025, the Company entered a Settlement Agreement with TEBO. The Settlement Agreement requires SYNQ3 to pay $1.8 million to TEBO in January 2025 to resolve all matters related to the litigation and dispute. Therefore, the Company recorded a liability of $1.8 million under accrued liabilities as of December 31, 2024.</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continues to analyze potential sales tax exposure using a state-by-state assessment. In accordance with ASC 450, Contingencies, the Company estimated and recorded a liability of $3.1 million and $0.2 million as of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10),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consolidated balance sheets.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March 2024, the Company issued 2,269,982 shares of the Company's Class A Common Stock resulting from the cashless exercise in full of the Term Loan Warrants that were outstanding. As of December 31, 2024, all of the Term Loan Warrants had been exercised and no Term Loan Warrants are outstanding.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warrant holders. Upon issuance of a redemption notice by the Company, the warrant holders may, at any time after the redemption notice, exercise the Public Warrants for cash, or on a cashless basis.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December 2024, the Company issued 2,041 shares of the Company's Class A Common Stock resulting from the exercise of Public Warrants and Private Warrants that were outstanding and raised $23.5 thousand in cash proceeds. As of December 31, 2024, there were 3,663,955 Public Warrants and Private Warrants issued and outstanding. There was no exercise during the years ended December 31, 2023 and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 PAYABLE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SNAP June 2020 Note</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 million in cash proceeds. The note had an annual interest rate of 5% and a maturity date of June 26, 2022, if not converted earlier pursuant to conversion terms and change in control events.</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recognized total interest expense of $0.7 million associated with the SNAP June 2020 Note for the year ended December 31, 2022, out of which $0.4 million relates to amortization of the debt discount. The debt discount related to the SNAP June 2020 Note is amortized over the life of the instrument, beginning at note issuance and ending on April 26, 2022, the date on which the note was converted. The Company was amortizing the discounts on an effective interest basis over the period from issuance through the Early Maturity Date. The effective interest rate was 14.3% for the year ended December 31, 2022.</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on the Closing Date, the SNAP June 2020 Note conversion feature was triggered. As a result, on the Closing Date, all outstanding principal of $15.0 million and accrued interest of $1.4 million were converted into 2,046,827 shares of Class A Common Stock. In addition, the remaining debt discount of $0.2 million and related derivative liability with fair value of $4.1 million as of the Closing Date were extinguished.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SVB March 2021 Note</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year ended December 31, 2023, the interest rate was 13.75%. Payments were interest-only for the first twelve months and are now principal and interest through maturity. There was no interest expense recorded during the year ended December 31, 2024. During the years ended December 31, 2023 and December 31, 2022,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recorded $16.0 thousand and $1.0 million related to the amortization of the debt discount in interest expense, respectively.</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SCI June 2021 Note</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year ended December 31, 2023, the interest rate was 13.75%. Payments were interest-only for the first twelve months and principal and interest through maturity. There was no interest expense recorded during the year ended December 31, 2024. During the years ended December 31, 2023 and December 31, 2022, the Company recorded $31 thousand and $0.8 million related to the amortization of the debt discounts in interest expense, respectively.</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resulting in a loss on debt extinguishment of $0.4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Term Loan</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9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 (iii) 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with respect to SOFR loans, and 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$6.0 million in stated interest in the consolidated statements of operations and comprehensive loss for the year ended December 31, 2024, and paid $3.5 million for the period. During the year ended December 31, 2024, the Company recorded $1.5 million in interest expense related to the debt discount.</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Amelia Debt</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which was issued pursuant to the existing Credit Agreement (the “Amelia Debt Credit Agreement”) of Amelia with Monroe Capital Management Advisors, LLC (“Monroe”), as administrative and collateral agent for certain affiliated funds of Monroe, as lenders. In accordance with the terms of the debt assumed,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 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 During the year ended December 31, 2024, the Company recorded and paid $2.0 million in interest expense, of which $0.1 million was paid to settle the PIK that was capitalized and added to the outstanding principal amount.</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December 3, 2024, the Company entered into a letter agreement (the “Amelia Debt Payoff Letter”) to prepay in full all indebtedness and other amounts outstanding and owing under the Amelia Debt Credit Agreement. In connection with the Amelia Debt prepayment, the Company paid a total of $39.8 million on December 4, 2024, which consisted of the remaining principal amount outstanding of $39.8 million and transaction expenses of $42 thousand, resulting in a loss on debt extinguishment of $42 thousand.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debt balances as of December 31, 2024 and December 31,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4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0" w:type="dxa"/>
            <w:vAlign w:val="bottom"/>
          </w:tcPr>
          <w:p>
            <w:pPr>
              <w:spacing w:after="0"/>
              <w:rPr>
                <w:sz w:val="1"/>
                <w:szCs w:val="1"/>
                <w:color w:val="auto"/>
              </w:rPr>
            </w:pPr>
          </w:p>
        </w:tc>
      </w:tr>
      <w:tr>
        <w:trPr>
          <w:trHeight w:val="248"/>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42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Restructuring Plan included a reduction of the Company’s then-current workforce by approximately 40% or 180 positions globally.</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Costs associated with the Restructuring Plan consist of employee severance payments, employee benefits and share-based compensation. The costs associated with the Restructuring Plan were recorded to the restructuring expense line item within our consolidated statements of operations as incurred. During the year ended December 31, 2023, we recorded $4.6 million of restructuring expenses in connection with the Restructuring Plan, of which $1.4 million were cash payments. The Restructuring Plan was substantially complete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43"/>
        </w:trPr>
        <w:tc>
          <w:tcPr>
            <w:tcW w:w="5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80" w:type="dxa"/>
            <w:vAlign w:val="bottom"/>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131,767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6"/>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r>
      <w:tr>
        <w:trPr>
          <w:trHeight w:val="250"/>
        </w:trPr>
        <w:tc>
          <w:tcPr>
            <w:tcW w:w="5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290,974</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43"/>
        </w:trPr>
        <w:tc>
          <w:tcPr>
            <w:tcW w:w="5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80" w:type="dxa"/>
            <w:vAlign w:val="bottom"/>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 Line of Credit</w:t>
            </w:r>
          </w:p>
        </w:tc>
      </w:tr>
      <w:tr>
        <w:trPr>
          <w:trHeight w:val="256"/>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Issuance of ELOC</w:t>
            </w:r>
          </w:p>
        </w:tc>
        <w:tc>
          <w:tcPr>
            <w:tcW w:w="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0"/>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7"/>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57"/>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50"/>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estimated the Level 3 fair value of the liability related to the ELOC using contractual inputs of the commitment shares and reimbursement fees prior to the settlement. The Company determined that the ELOC was not indexed to the Company’s own common stock and, therefore, should be accounted for in accordance with ASC 815: Derivatives. Accordingly, the Company recorded a derivative liability with an initial fair value of $1.1 million based on the upfront commitment fee and the reimbursement amount to the investor as consideration for its irrevocable commitment to purchase up to 25,000,000 shares of the Company's common stock.</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Subsequent changes in the fair value of the derivative liability are dependent upon, among other things, changes in the closing share price of the Company’s common stock, the quantity and purchase price of shares purchased during the reporting period, the unused capacity under the ELOC as of the balance sheet date and the cost of raising other forms of capital. The Company adjusts the previous fair value estimate of the committed equity facility at each reporting period based on changes in the weighted average purchase price of shares purchased during the period, the unused capacity available under the ELOC, expected stock price volatility and other macroeconomic factors which impact the cost of raising comparable forms of capital.</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changes in the fair value of the committed equity facility were an increase of $1.9 million for the year ended December 31, 2023, which is included in other (income) expense, net on the consolidated statements of operations and comprehensive income (loss). The fair value of the liability then is remeasured as of the settlement date equal to the difference between the volume weighted average price at a 3% discount compared to the fair value of the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36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SPAC/PIPE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5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IPO</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83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5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7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term would result in significantly lower (higher) fair value measurements. Significant increases (decreases) in the discount rate would result in significantly lower (higher) fair value measurements.</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expense, net on the consolidated statements of operations and comprehensive loss. The fair value of the embedded derivative was recorded as additional paid-in capital upon extinguishment on the consolidated balance sheet.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remeasurement of the embedded derivative for the year ended December 31, 2022 (in thousands):</w:t>
      </w:r>
    </w:p>
    <w:p>
      <w:pPr>
        <w:spacing w:after="0" w:line="26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w:t>
      </w:r>
    </w:p>
    <w:p>
      <w:pPr>
        <w:spacing w:after="0" w:line="3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666940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34" w:lineRule="exact"/>
        <w:rPr>
          <w:sz w:val="20"/>
          <w:szCs w:val="20"/>
          <w:color w:val="auto"/>
        </w:rPr>
      </w:pPr>
    </w:p>
    <w:p>
      <w:pPr>
        <w:ind w:left="360"/>
        <w:spacing w:after="0"/>
        <w:tabs>
          <w:tab w:leader="none" w:pos="8800" w:val="left"/>
          <w:tab w:leader="none" w:pos="10400" w:val="left"/>
        </w:tabs>
        <w:rPr>
          <w:sz w:val="20"/>
          <w:szCs w:val="20"/>
          <w:color w:val="auto"/>
        </w:rPr>
      </w:pPr>
      <w:r>
        <w:rPr>
          <w:rFonts w:ascii="Times New Roman" w:cs="Times New Roman" w:eastAsia="Times New Roman" w:hAnsi="Times New Roman"/>
          <w:sz w:val="18"/>
          <w:szCs w:val="18"/>
          <w:color w:val="auto"/>
        </w:rPr>
        <w:t>Remeasurement of conversion feature —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(606)</w:t>
      </w:r>
    </w:p>
    <w:p>
      <w:pPr>
        <w:spacing w:after="0" w:line="33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5"/>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3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2"/>
                <w:szCs w:val="2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 of embedded derivative upon conversion of convertible note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and Term Loan Warrant</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variable rate Term Loan approximates aggregate principal amount as the interest rate of the loan approximates market rates.</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issued a Class A Common Stock warrant in connection with the Term Loan (see Note 9 for additional information). The warrant was recorded based on the allocation of its relative fair value of the debt proceeds of $4.1 million. The warrants were classified as equity instruments at inception with a corresponding discount recorded at issuance against the outstanding note payable in connection with the Term Loan. The common stock warrant is not subject to remeasurement at each subsequent balance sheet date due to its classification as an equity instrument as it is considered indexed to the Company’s stock. The Term Loan warrant expires in April 2033.</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Term Loan common stock warrant at issuance using the Black-Scholes option-pricing model using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5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5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All of the Term Loan Warrants had been exercised during the year ended December 31, 2024. No Term Loan Warrants had been exercised during the year ended December 31, 2023.</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Acquisition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Holdback Consideration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Contingent Holdback Consideration measured at fair value, including the effect of measurement period adjustments, on a recurring basis using unobservable inputs (Level 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0"/>
        </w:trPr>
        <w:tc>
          <w:tcPr>
            <w:tcW w:w="9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Holdback Consideration was estimated based upon the value of the Company’s Class A Common Stock price. The fair value of the Contingent Holdback Consideration was initially measured on January 3, 2024, the date on which the Company completed the acquisition of SYNQ3. For the year ended December 31, 2024, the Company recognized a loss of $3.7 million related to the Contingent Holdback Consideration.</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Holdback Consideration has been estimated as of the Closing Date and December 31, 2024, under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years</w:t>
            </w: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Consideration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Company's contingent earnout consideration measured at fair value on a recurring basis using unobservable inputs (Level 3)</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SYNQ3</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Amelia</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66,269</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218,953</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year-end stock price increase resulted in an increase in its fair value of contingent acquisition liabilities where future Contingent Earnout Consideration is marked-to-market on a quarterly basis, significantly impacting net loss and net loss per share during the year ended December 31, 2024. The fluctuation is non-operating and non-cash in nature.</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 loss of $219.0 million related to the contingent earnout consideration, reflected in the change in fair value of contingent acquisition liabilities in the consolidated statement of operations and comprehensive loss.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Contingent SYNQ3 Earnout Consideration acquired from SYNQ3 Acquisition has been estimated as of the Closing Date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with the following assumptions for the unobservable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0.5 - 2.5 years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0.50 - 1.50 years</w:t>
            </w: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Contingent Amelia Earnout Consideration acquired from Amelia Acquisition has been estimated as of the Closing Date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with the following assumptions for the unobservable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stock price</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1.4 - 2.4 years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1.0 - 2.0 years</w:t>
            </w: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Legacy SoundHound Preferred Stock</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Legacy SoundHound Preferred Stock was not mandatorily redeemable. Legacy SoundHound Preferred Stock was contingently redeemable upon a deemed liquidation event which the Company determined was not solely within its control as the Company determined that a deemed liquidation event can only occur with the approval of the board of directors and the preferred shareholders maintained control of the board of directors as of December 31, 2021 and through April 26, 2022, the effective date of the Business Combination, and thus has classified shares of Legacy SoundHound Preferred Stock as temporary equity. Since the occurrence of a deemed liquidation event was not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probable, the carrying values of the shares of legacy SoundHound Preferred Stock were not being accreted to their redemption values.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Legacy SoundHound Preferred Stock authorized, issued and outstanding as of the date of the Business Combination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 Authorized</w:t>
            </w:r>
          </w:p>
        </w:tc>
        <w:tc>
          <w:tcPr>
            <w:tcW w:w="1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20" w:type="dxa"/>
            <w:vAlign w:val="bottom"/>
          </w:tcPr>
          <w:p>
            <w:pPr>
              <w:spacing w:after="0"/>
              <w:rPr>
                <w:sz w:val="17"/>
                <w:szCs w:val="17"/>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33,702,134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C-1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4,436,090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20,258,299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20,258,299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8,418,535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8,418,535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8,418,530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6,922,165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D-3A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20,835,869</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127,785,195</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106,949,326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Upon the closing of the Business Combination, the outstanding shares of Series A, B, C, C-1, D, D-1, D-2, and D-3 preferred stock were converted into 106,949,326 shares of SoundHound AI Class A Common Stock at the exchange ratio of 1-for-1. Shares Authorized and Shares Issued above have been retroactively adjusted to reflect the exchange of 1 share of Legacy SoundHound stock into 5.5562 shares of the Company's Class A or Class B Common Stock. As a result of the conversion of the Legacy SoundHound redeemable convertible preferred stock, the Company reclassified the amount of redeemable convertible preferred stock to additional paid in capital.</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and the preferred stock holders may be granted such rights, powers (including voting powers) and preferences as determined by the Board in its sole discretion, including the right to elect one or more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December 31, 2024, all the Series A Preferred Stock have been converted to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year ended December 31, 2024, the condition of automatic conversion was met and all the remaining Series A Preferred Stock were automatically converted.</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some Investors optionally converted 353,338 shares of preferred stock into 11,375,090 shares of Class A Common Stock. The conversion was pursuant to the original terms of the agreement and therefore the carrying value of Series A Preferred Stock was converted into Class A Common Stock with no gain or loss upon conversion.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COMMON STOCK</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had 250,030,433 shares of Legacy SoundHound common stock authorized for issuance prior to the closing of the Business Combination.</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April 26, 2022, following the Business Combination and pursuant to the Company’s certificate of incorporation, 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holding our Class B Common Stock could gain significant voting control as other holders of Class B Common Stock sell or otherwise convert their shares into Class A Common Stock.</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certain holders of Class B Common Stock optionally converted 4,950,000.00 and 2,250,000.00 shares, respectively, of Class B Common Stock into the same number of shares of Class A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recorded losses on changes in the fair value of the derivative liability associated with the ELOC Program of $1.9 million and $1.1 million respectively, for the years ended December 31, 2023 and 2022 as other income (expense), net on its consolidated statements of operations and comprehensive loss. The Company incurred third-party costs of $0.2 million related to the execution of the Common Stock Purchase Agreement which were recorded as general and administrative expenses in the consolidated statements of operations and comprehensive loss for the year ended December 31, 2023.</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sold the entirety of the 25,000,000 shares for aggregate proceeds of approximately $71.7 million, with the volume weighted average stock price of shares purchased by the Counterparty ranging from $1.75 to $4.26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was able to offer and sell up to $150.0 million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agreed to reimburse the Sales Agents for certain specified expenses, including the reasonable and documented fees and disbursements of its legal counsel in an amount of $75 thousand in the aggregate in connection with the execution of the Sales Agreement.</w:t>
      </w:r>
    </w:p>
    <w:p>
      <w:pPr>
        <w:spacing w:after="0" w:line="1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sold 37,907,219 shares of our Class A common stock under the Sales Agreement, at a weighted-average price of $3.62 per share and raised $137.3 million of gross proceeds, which resulted in complete utilization of the Sales Agreement. After deducting approximately $3.4 million of commissions and offering costs incurred by the Company, the net proceeds from sales of Class A common stock was $133.8 million.</w:t>
      </w:r>
    </w:p>
    <w:p>
      <w:pPr>
        <w:spacing w:after="0" w:line="18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5,805,995 shares of our common stock under the Sales Agreement, at a weighted-average price of $2.19 per share and raised $12.7 million of gross proceeds. The commissions and offering costs borne by the Company during the year were approximately $0.3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which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sold a total of 31,694,198 shares of our Class A common stock under the Equity Distribution Agreement, at a weighted-average price of $4.73 per share and raised $150.0 million of gross proceeds. After deducting approximately $3.7 million of commissions and offering costs incurred by the Company, the net proceeds from sales of Class A common stock was $146.2 million during the year ended December 31, 2024. As of December 31, 2024, the Company had no remaining capacity to sell the Company's Class A common stock under the Equity Distribution Agreement.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Execute Equity Distribution Agreement</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 equity program under which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sold a total of 16,224,989 shares of our Class A common stock under the Execute Equity Distribution Agreement, at a weighted-average price of $7.40 per share and raised $120.0 million of gross proceeds. After deducting approximately $3.0 million of commissions and offering costs incurred by the Company, the net proceeds from sales of Class A common stock was $117.0 million during the year ended December 31, 2024. As of December 31, 2024, the Company had no remaining capacity to sell the Company's Class A common stock under the Execute Equity Distribution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INCENTIVE PLANS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2016 Equity Incentive Plan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2022 Incentive Award Plan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December 31, 2024, the Company had 417,633 shares remaining for issuance under the 2022 Incentive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2022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December 31, 2024, 936,368 shares of Class A Common Stock were issued under the ESPP.</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2024 Employment Inducement Incentive Award Plan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adopted 2024 Employment Inducement Incentive Award Plan (the “2024 Inducement Plan”, collectively, with the 2016 Plan and the 2022 Incentive Plan, the “Plans”) effective August 6, 2024. The Company reserved 6,000,000 shares of Class A Common Stock for the issuance of awards under the 2024 Inducement Plan. As of December 31, 2024, 0 shares were issued under the 2024 Inducement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 Activity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under the Plans was as follows for the years ended December 31, 2024, 2023 and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r>
      <w:tr>
        <w:trPr>
          <w:trHeight w:val="216"/>
        </w:trPr>
        <w:tc>
          <w:tcPr>
            <w:tcW w:w="4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Value (in</w:t>
            </w:r>
          </w:p>
        </w:tc>
      </w:tr>
      <w:tr>
        <w:trPr>
          <w:trHeight w:val="238"/>
        </w:trPr>
        <w:tc>
          <w:tcPr>
            <w:tcW w:w="46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25,420,425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72,806</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5,925,911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3"/>
        </w:trPr>
        <w:tc>
          <w:tcPr>
            <w:tcW w:w="4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5,454,004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85,529</w:t>
            </w:r>
          </w:p>
        </w:tc>
      </w:tr>
      <w:tr>
        <w:trPr>
          <w:trHeight w:val="21"/>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years ended December 31, 2024, 2023 and 2022 that were subject to repurchase.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per option granted was $3.11 during the year ended December 31, 2022. There were no options granted during the years ended December 31, 2024 and 2023. The total fair value of options vested was approximately $3.0 million, $4.5 million and $9.9 million during the years ended December 31, 2024, 2023 and 2022, respectively. The Company recorded stock-based compensation expense related to options of $3.0 million, $4.0 million and $8.7 million for the years ended December 31, 2024, 2023 and 2022.</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related to the unvested stock options was approximately $1.4 million, which we expect to recognize over a weighted-average period of 0.68 years.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The assumptions under the Black-Scholes option-pricing model during the year ended December 31, 2022 were as follows for option awards: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tcBorders>
              <w:bottom w:val="single" w:sz="8" w:color="CCEEFF"/>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Activity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December 31, 2024, performance level of 2024 revenue amount was not met and performance levels of 2025 and 2026 were probable of being met.</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also granted 1,952,000 RSUs that vest over a four-year requisite service period to SYNQ3 employees during the year ended December 31, 2024. Additionally, the Company granted 10,622,133 RSUs to other employees of the Company during the year ended December 31, 2024. As a result, the Company granted total of 14,009,111 RSUs during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for unvested Restricted Stock Units under the Plans was as follows for the years ended December 31, 2024,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0"/>
        </w:trPr>
        <w:tc>
          <w:tcPr>
            <w:tcW w:w="7740" w:type="dxa"/>
            <w:vAlign w:val="bottom"/>
          </w:tcPr>
          <w:p>
            <w:pPr>
              <w:spacing w:after="0"/>
              <w:rPr>
                <w:sz w:val="15"/>
                <w:szCs w:val="15"/>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16,716,383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11,158,301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(7,678,184)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(3,852,909)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16,343,591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14,009,111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(7,322,556)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(1,239,891)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21,790,255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$1.1 million, $1.3 million and $0.4 million related to Performance-Based RSUs during the years ended December 31, 2024, 2023, and 2022, respectively. As of December 31, 2024, the total unrecognized stock-based compensation expense related to the unvested Performance-based RSUs was approximately $8.6 million. There were 1,376,234 Performance-Based RSUs granted during the year ended December 31, 2024.</w:t>
      </w:r>
    </w:p>
    <w:p>
      <w:pPr>
        <w:spacing w:after="0" w:line="18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recorded $0.6 million, $1.5 million and $1.1 million in stock-based compensation expense related to Market-Based RSUs during the year ended December 31, 2024, 2023 and 2022, respectively. As of December 31, 2024, the total unrecognized stock-based compensation expense related to the unvested Market-Based RSUs was approximately $10.7 thousand.</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To derive the fair value of Market-Based RSUs, the Company applies a Monte Carlo simulation to determine the grant date fair value. The assumptions under the Monte Carlo simulation model and the calculated fair value of the Market-Based RSUs granted to employees during the year ended December 31, 2022 were as follows. The Company did not grant Market-Based RSUs during the years ended December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184"/>
        </w:trPr>
        <w:tc>
          <w:tcPr>
            <w:tcW w:w="9120" w:type="dxa"/>
            <w:vAlign w:val="bottom"/>
          </w:tcPr>
          <w:p>
            <w:pPr>
              <w:spacing w:after="0"/>
              <w:rPr>
                <w:sz w:val="16"/>
                <w:szCs w:val="16"/>
                <w:color w:val="auto"/>
              </w:rPr>
            </w:pPr>
          </w:p>
        </w:tc>
        <w:tc>
          <w:tcPr>
            <w:tcW w:w="2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912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5"/>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Drift rate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7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fair value of RSUs that vested was $24.1 million, $25.5 million, and $12.0 million. During the years ended December 31, 2024, 2023, and 2022, the Company recorded $27.2 million, $20.4 million, and $19.0 million of stock-based compensation related to RSUs. As of December 31, 2024, the total unrecognized stock-based compensation expense related to the unvested RSUs with service conditions was approximately $$67.6 million.</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total unrecognized stock-based compensation related to unvested RSUs is $76.2 million and this will vest over a weighted average period of 2.29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 Activity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SYNQ3 Acquisition, a total of 2,033,156 unvested restricted Class A Common Stock shares ("RSAs") were issued, 25% of which are subject to service conditions that vest at the end of each of the upcoming three fiscal years in 3 tranches, and 75% of which is subject to both service and performance-based vesting conditions in three tranches.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December 31, 2024, the performance level of the 2024 revenue amount was not met and performance levels of 2025 and 2026 were probable of being met.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for unvested Restricted Stock Awards was as follows for the year ended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0"/>
        </w:trPr>
        <w:tc>
          <w:tcPr>
            <w:tcW w:w="7740" w:type="dxa"/>
            <w:vAlign w:val="bottom"/>
          </w:tcPr>
          <w:p>
            <w:pPr>
              <w:spacing w:after="0"/>
              <w:rPr>
                <w:sz w:val="15"/>
                <w:szCs w:val="15"/>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2,033,156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stock-based compensation expense of $0.8 million related to RSAs during the year ended December 31, 2024.</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related to the unvested RSAs subject to service-based vesting condition and unvested RSAs subject to performance-based vesting condition was approximately $0.7 million and $2.5 million, respectively, over a weighted average period of 1.76 years. Refer to Note 3 for further information on the SYNQ3 Acquisition.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ESPP Activity</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ESPP shares, the Company uses the Black-Scholes option-pricing model. The assumptions under the Black-Scholes option-pricing model during the years ended December 31, 2024, 2023, and 2022 were as follows for ESPP awards: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2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8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0 %</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84 %</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0.50</w:t>
            </w:r>
          </w:p>
        </w:tc>
        <w:tc>
          <w:tcPr>
            <w:tcW w:w="2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4.40 %</w:t>
            </w: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5.26 %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r>
    </w:tbl>
    <w:p>
      <w:pPr>
        <w:spacing w:after="0" w:line="27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$0.5 million and $0.4 million of stock-based compensation related to its ESPP. There was $0.4 million of unrecognized stock-based compensation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2024, related to the ESPP that is expected to be recognized over an average vesting period of 0.36 years.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 Modifications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Plan (as defined in Note 10), the Company entered into severance arrangements with 166 affected employees. Pursuant to these arrangements, these employees received acceleration of vesting of RSUs and extensions of the post-termination exercise period of stock option awards. All award modifications related to restructuring activities were expensed in the year ended December 31, 2023. The total incremental compensation cost resulting from these modifications is $3.2 million. There were no significant modifications during the years ended December 31, 2024 and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consolidated statements of operations and comprehensive loss for the year ended December 31, 2022.</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consolidated statements of operations and comprehensive loss for the years ended December 31, 2024, 2023 and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2030.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were as follows as of December 31, 2024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60" w:type="dxa"/>
            <w:vAlign w:val="bottom"/>
          </w:tcPr>
          <w:p>
            <w:pPr>
              <w:spacing w:after="0"/>
              <w:rPr>
                <w:sz w:val="17"/>
                <w:szCs w:val="17"/>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were as follows during the years ended December 31, 2024, 2023 and 2022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43"/>
        </w:trPr>
        <w:tc>
          <w:tcPr>
            <w:tcW w:w="4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9"/>
        </w:trPr>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5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leases as of December 31, 2024:</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23"/>
        </w:trPr>
        <w:tc>
          <w:tcPr>
            <w:tcW w:w="792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7920" w:type="dxa"/>
            <w:vAlign w:val="bottom"/>
          </w:tcPr>
          <w:p>
            <w:pPr>
              <w:spacing w:after="0"/>
              <w:rPr>
                <w:sz w:val="20"/>
                <w:szCs w:val="20"/>
                <w:color w:val="auto"/>
              </w:rPr>
            </w:pPr>
          </w:p>
        </w:tc>
        <w:tc>
          <w:tcPr>
            <w:tcW w:w="17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5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r>
    </w:tbl>
    <w:p>
      <w:pPr>
        <w:spacing w:after="0" w:line="30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Company’s rent expense totaled approximately $4.5 million, $5.3 million and $3.9 million during the years ended December 31, 2024, 2023 and 2022,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INCOME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on the consolidated statements of operations and comprehensive loss is comprised of the following for the years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2023 and 2022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43"/>
        </w:trPr>
        <w:tc>
          <w:tcPr>
            <w:tcW w:w="66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9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bargain purchase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1"/>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 thousands)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5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 (in thousands)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338,462,574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229,264,904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157,317,695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diluted net loss per share is equal to the basic earnings per share as the effect of potentially dilutive securities would have been antidilutive.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2024,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52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r>
      <w:tr>
        <w:trPr>
          <w:trHeight w:val="270"/>
        </w:trPr>
        <w:tc>
          <w:tcPr>
            <w:tcW w:w="66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24,918,197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33,484,074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42,613,444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3,663,955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3,665,996</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16,226,645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338,859</w:t>
            </w:r>
          </w:p>
        </w:tc>
        <w:tc>
          <w:tcPr>
            <w:tcW w:w="100" w:type="dxa"/>
            <w:vAlign w:val="bottom"/>
          </w:tcPr>
          <w:p>
            <w:pPr>
              <w:spacing w:after="0"/>
              <w:rPr>
                <w:sz w:val="22"/>
                <w:szCs w:val="22"/>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6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28,921,011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56,678,251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46,279,440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table above does not include: (i) 4,342,570, zero, and zero shares of unvested stock-based awards and restricted stock awards, respectively, and (ii) 18,257,365. zero and zero shares of contingently issuable earnout shares, respectively; outstanding as of December 31, 2024, 2023 and 2022, as these awards are subject to performance conditions that were not met as of those dates. The table also excludes 274,191, zero, and zero shares associated with the Contingent Holdback Consideration in connection with the SYNQ3 Acquisition, respectively, as these shares are subject to contingencies that were not met as of December 31, 2024, 2023 and 2022.</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and diluted net income per share attributable to common stockholders excludes the 2,149,530 shares of the Company's Class A Common Stock held in escrow as they are considered contingently returnable shares until the indemnifications subject to escrow have been resolved.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geographical breakdown of income (loss) before 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(86,724)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(116,964)</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70"/>
        </w:trPr>
        <w:tc>
          <w:tcPr>
            <w:tcW w:w="63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(85,023)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56"/>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provision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7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income tax expense 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(benefit) of $(9.2) million, $3.9 million, and $2.9 million for the years ended December 31, 2024, 2023, and 2022, respectively. The 2024 tax benefit relates to tax benefits from acquisitions, partially offset by withholding tax paid for sales to customers in foreign jurisdictions and income tax related to foreign subsidiaries. The 2023 and 2022 tax expense relates to withholding tax paid for sales to customers in foreign jurisdictions and income tax related to foreign subsidiaries.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differed from the amount computed by applying the federal statutory rate to our income before income taxes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Borders>
              <w:bottom w:val="single" w:sz="8" w:color="auto"/>
            </w:tcBorders>
          </w:tcPr>
          <w:p>
            <w:pPr>
              <w:spacing w:after="0"/>
              <w:rPr>
                <w:sz w:val="21"/>
                <w:szCs w:val="21"/>
                <w:color w:val="auto"/>
              </w:rPr>
            </w:pPr>
          </w:p>
        </w:tc>
      </w:tr>
      <w:tr>
        <w:trPr>
          <w:trHeight w:val="250"/>
        </w:trPr>
        <w:tc>
          <w:tcPr>
            <w:tcW w:w="6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at statutory 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(75,585)</w:t>
            </w: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(17,855)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(23,903)</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rate</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from acquisition</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3,689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2,298</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(1,731)</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24,272</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1,540</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book tax differences*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162(m) disallowance*</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adjustments</w:t>
            </w: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(230)</w:t>
            </w:r>
          </w:p>
        </w:tc>
      </w:tr>
      <w:tr>
        <w:trPr>
          <w:trHeight w:val="270"/>
        </w:trPr>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amounts have been conformed to the 2024 presentation.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our deferred tax assets and liabilities were as 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3"/>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50"/>
        </w:trPr>
        <w:tc>
          <w:tcPr>
            <w:tcW w:w="8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89,880</w:t>
            </w:r>
          </w:p>
        </w:tc>
      </w:tr>
      <w:tr>
        <w:trPr>
          <w:trHeight w:val="25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r>
      <w:tr>
        <w:trPr>
          <w:trHeight w:val="26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5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6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5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6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5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5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134,052</w:t>
            </w:r>
          </w:p>
        </w:tc>
      </w:tr>
      <w:tr>
        <w:trPr>
          <w:trHeight w:val="25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(132,873)</w:t>
            </w:r>
          </w:p>
        </w:tc>
      </w:tr>
      <w:tr>
        <w:trPr>
          <w:trHeight w:val="25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5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81"/>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2023 amounts have been conformed to the 2024 presentation.</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domestic federal and state deferred tax assets; and excess Canadian SR&amp;ED tax credits will not be fully realized due to the Company’s cumulative losses arising in the United States, and its inability to utilize excess tax credits in Canada. Accordingly, the Company has recorded a valuation allowance on deferred tax assets in excess of deferred tax liabilities against its federal and state deferred tax assets and excess Canadian SR&amp;ED tax credits as of December 31, 2024, and 2023. The valuation allowance increased by $37.3 million from the year ended December 31, 2023 to December 31, 2024.</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has not provided U.S. income or foreign withholding taxes on the undistributed earnings of its foreign subsidiaries as of December 31, 2024 because it intends to indefinitely reinvest such earnings outside of the U.S. If these foreign earnings were to be repatriated in the future, the related U.S. tax liability will not be material.</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net operating loss carryforwards of $548.4 million of U.S. federal and $208.1 million of state net operating loss carryforwards available to reduce future taxable income. The federal and state net operating loss carryforwards will start to expire in 2025 and 2028, respectively, with the exception of $403.3 million federal net operating loss carryforwards and $11.0 million state net operating loss carryforwards, which can be carried forward indefinitely.</w:t>
      </w:r>
    </w:p>
    <w:p>
      <w:pPr>
        <w:spacing w:after="0" w:line="18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had federal and state research and development credit carryforwards of $21.4 million and $13.3 million, respectively, as of December 31, 2024. The federal credits will expire starting in 2029 if not utilized. The state credits can be carried forward indefinitely. The Company also had Canadian SR&amp;ED tax credits of $1.6 million, which will expire starting in 2038 if not utilized.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The Company’s net operating loss carryforwards and tax credits could expire before utilization if subject to annual limitations.</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and foreign jurisdictions. As of December 31, 2024, the tax years 2005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ectPr>
          <w:pgSz w:w="11900" w:h="16838" w:orient="portrait"/>
          <w:cols w:equalWidth="0" w:num="1">
            <w:col w:w="11240"/>
          </w:cols>
          <w:pgMar w:left="320" w:top="337"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gross unrecognized tax benefits during the periods presented were as follows (in thousands):</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current year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prior years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for tax positions of prior years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29"/>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18"/>
        </w:trPr>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30"/>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4"/>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18"/>
        </w:trPr>
        <w:tc>
          <w:tcPr>
            <w:tcW w:w="9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29"/>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9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23"/>
        </w:trPr>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340"/>
          </w:cols>
          <w:pgMar w:left="320" w:top="337" w:right="339" w:bottom="1440" w:gutter="0" w:footer="0" w:header="0"/>
          <w:type w:val="continuous"/>
        </w:sectPr>
      </w:pPr>
    </w:p>
    <w:p>
      <w:pPr>
        <w:spacing w:after="0" w:line="11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$0.9 million of the unrecognized tax benefits, if recognized, would affect the effective tax rate. $10.4 million of the unrecognized tax benefits, if recognized, would not affect the effective tax rate and would be offset by the reversal of related deferred tax assets which are subject to a full valuation allowance. As of December 31, 2024, the Company has accrued $0.2 million interest and penalties related to unrecognized tax benefits. The Company does not anticipate any significant change in the Company’s uncertain tax positions within 12 months of this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RELATED PARTY TRANSACTIONS</w:t>
      </w:r>
    </w:p>
    <w:p>
      <w:pPr>
        <w:spacing w:after="0" w:line="229" w:lineRule="exact"/>
        <w:rPr>
          <w:sz w:val="20"/>
          <w:szCs w:val="20"/>
          <w:color w:val="auto"/>
        </w:rPr>
      </w:pPr>
    </w:p>
    <w:p>
      <w:pPr>
        <w:jc w:val="both"/>
        <w:ind w:left="340"/>
        <w:spacing w:after="0" w:line="312"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As of June 30, 2022, these entities are no longer related parties. Below we provide our disclosures for transactions with the companies through June 30, 2022.</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2022, we recognized revenue from the companies of $5.2 million.</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January 20, 2023, our Chief Financial Officer and one of our directors each entered into Purchase Agreements, purchasing 3,334 shares of Series A Preferred Stock each for a total purchase price of $100,000 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INFORMATION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loss that also is reported on the income statement as consolidated net loss. The CODM compares net loss from budget to actual result to assess segment performance and adjust resource allocations as necessary.</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accordance with the adoption of ASU 2023-07 in 2024, the Company determined to disclose personnel costs which requires retrospective application to all prior periods presented in the financial statements. The personnel-related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are the significant segment expenses included in the net loss that are regularly provided to the CODM. </w:t>
      </w:r>
      <w:r>
        <w:rPr>
          <w:rFonts w:ascii="Times New Roman" w:cs="Times New Roman" w:eastAsia="Times New Roman" w:hAnsi="Times New Roman"/>
          <w:sz w:val="18"/>
          <w:szCs w:val="18"/>
          <w:color w:val="1D1C1D"/>
        </w:rPr>
        <w:t>Personnel-related costs were</w:t>
      </w:r>
      <w:r>
        <w:rPr>
          <w:rFonts w:ascii="Times New Roman" w:cs="Times New Roman" w:eastAsia="Times New Roman" w:hAnsi="Times New Roman"/>
          <w:sz w:val="18"/>
          <w:szCs w:val="18"/>
          <w:color w:val="auto"/>
        </w:rPr>
        <w:t xml:space="preserve"> $114.1 million</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$73.1 million </w:t>
      </w:r>
      <w:r>
        <w:rPr>
          <w:rFonts w:ascii="Times New Roman" w:cs="Times New Roman" w:eastAsia="Times New Roman" w:hAnsi="Times New Roman"/>
          <w:sz w:val="18"/>
          <w:szCs w:val="18"/>
          <w:color w:val="1D1C1D"/>
        </w:rPr>
        <w:t>and</w:t>
      </w:r>
      <w:r>
        <w:rPr>
          <w:rFonts w:ascii="Times New Roman" w:cs="Times New Roman" w:eastAsia="Times New Roman" w:hAnsi="Times New Roman"/>
          <w:sz w:val="18"/>
          <w:szCs w:val="18"/>
          <w:color w:val="auto"/>
        </w:rPr>
        <w:t xml:space="preserve"> $94.3 million</w:t>
      </w:r>
      <w:r>
        <w:rPr>
          <w:rFonts w:ascii="Times New Roman" w:cs="Times New Roman" w:eastAsia="Times New Roman" w:hAnsi="Times New Roman"/>
          <w:sz w:val="18"/>
          <w:szCs w:val="18"/>
          <w:color w:val="1D1C1D"/>
        </w:rPr>
        <w:t>, respectively, and represented</w:t>
      </w:r>
      <w:r>
        <w:rPr>
          <w:rFonts w:ascii="Times New Roman" w:cs="Times New Roman" w:eastAsia="Times New Roman" w:hAnsi="Times New Roman"/>
          <w:sz w:val="18"/>
          <w:szCs w:val="18"/>
          <w:color w:val="auto"/>
        </w:rPr>
        <w:t xml:space="preserve"> 60.5%</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66.5% </w:t>
      </w:r>
      <w:r>
        <w:rPr>
          <w:rFonts w:ascii="Times New Roman" w:cs="Times New Roman" w:eastAsia="Times New Roman" w:hAnsi="Times New Roman"/>
          <w:sz w:val="18"/>
          <w:szCs w:val="18"/>
          <w:color w:val="1D1C1D"/>
        </w:rPr>
        <w:t>and</w:t>
      </w:r>
      <w:r>
        <w:rPr>
          <w:rFonts w:ascii="Times New Roman" w:cs="Times New Roman" w:eastAsia="Times New Roman" w:hAnsi="Times New Roman"/>
          <w:sz w:val="18"/>
          <w:szCs w:val="18"/>
          <w:color w:val="auto"/>
        </w:rPr>
        <w:t xml:space="preserve"> 68.9%</w:t>
      </w:r>
      <w:r>
        <w:rPr>
          <w:rFonts w:ascii="Times New Roman" w:cs="Times New Roman" w:eastAsia="Times New Roman" w:hAnsi="Times New Roman"/>
          <w:sz w:val="18"/>
          <w:szCs w:val="18"/>
          <w:color w:val="1D1C1D"/>
        </w:rPr>
        <w:t>, respectively, of total operating expenses during the years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 xml:space="preserve">ended </w:t>
      </w:r>
      <w:r>
        <w:rPr>
          <w:rFonts w:ascii="Times New Roman" w:cs="Times New Roman" w:eastAsia="Times New Roman" w:hAnsi="Times New Roman"/>
          <w:sz w:val="18"/>
          <w:szCs w:val="18"/>
          <w:color w:val="000000"/>
        </w:rPr>
        <w:t>December 31, 2024, 2023, and 2022</w:t>
      </w:r>
      <w:r>
        <w:rPr>
          <w:rFonts w:ascii="Times New Roman" w:cs="Times New Roman" w:eastAsia="Times New Roman" w:hAnsi="Times New Roman"/>
          <w:sz w:val="18"/>
          <w:szCs w:val="18"/>
          <w:color w:val="1D1C1D"/>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REVISION OF PREVIOUSLY ISSUED FINANCIAL STATEMENTS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period ended September 30, 2023, the Company identified immaterial prior period errors related to the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 annual consolidated financial statements as of and for the year ended December 31, 2022.</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redeemable convertible preferred stock and stockholders’ deficit for any periods impacted.</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revised the previously issued consolidated statements of operations and comprehensive loss and consolidated statements of cash flows, and consolidated statements of redeemable convertible preferred stock and stockholders’ deficit tables as of and for the year ended December 31, 2022 to correct for such errors. All relevant prior period amounts affected by these revisions have been corrected in the notes in this Form 10-K.</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consolidated financial statements as of and for the year ended December 31, 2022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0" w:type="dxa"/>
            <w:vAlign w:val="bottom"/>
          </w:tcPr>
          <w:p>
            <w:pPr>
              <w:spacing w:after="0"/>
              <w:rPr>
                <w:sz w:val="1"/>
                <w:szCs w:val="1"/>
                <w:color w:val="auto"/>
              </w:rPr>
            </w:pPr>
          </w:p>
        </w:tc>
      </w:tr>
      <w:tr>
        <w:trPr>
          <w:trHeight w:val="169"/>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0" w:type="dxa"/>
            <w:vAlign w:val="bottom"/>
          </w:tcPr>
          <w:p>
            <w:pPr>
              <w:spacing w:after="0"/>
              <w:rPr>
                <w:sz w:val="14"/>
                <w:szCs w:val="14"/>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66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0" w:type="dxa"/>
            <w:vAlign w:val="bottom"/>
          </w:tcPr>
          <w:p>
            <w:pPr>
              <w:spacing w:after="0"/>
              <w:rPr>
                <w:sz w:val="1"/>
                <w:szCs w:val="1"/>
                <w:color w:val="auto"/>
              </w:rPr>
            </w:pPr>
          </w:p>
        </w:tc>
      </w:tr>
      <w:tr>
        <w:trPr>
          <w:trHeight w:val="16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(Deficit)</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0" w:type="dxa"/>
            <w:vAlign w:val="bottom"/>
          </w:tcPr>
          <w:p>
            <w:pPr>
              <w:spacing w:after="0"/>
              <w:rPr>
                <w:sz w:val="14"/>
                <w:szCs w:val="14"/>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(503,442)</w:t>
            </w:r>
          </w:p>
        </w:tc>
        <w:tc>
          <w:tcPr>
            <w:tcW w:w="0" w:type="dxa"/>
            <w:vAlign w:val="bottom"/>
          </w:tcPr>
          <w:p>
            <w:pPr>
              <w:spacing w:after="0"/>
              <w:rPr>
                <w:sz w:val="1"/>
                <w:szCs w:val="1"/>
                <w:color w:val="auto"/>
              </w:rPr>
            </w:pPr>
          </w:p>
        </w:tc>
      </w:tr>
      <w:tr>
        <w:trPr>
          <w:trHeight w:val="891"/>
        </w:trPr>
        <w:tc>
          <w:tcPr>
            <w:tcW w:w="4940" w:type="dxa"/>
            <w:vAlign w:val="bottom"/>
          </w:tcPr>
          <w:p>
            <w:pPr>
              <w:spacing w:after="0"/>
              <w:rPr>
                <w:sz w:val="24"/>
                <w:szCs w:val="24"/>
                <w:color w:val="auto"/>
              </w:rPr>
            </w:pP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0" w:type="dxa"/>
            <w:vAlign w:val="bottom"/>
          </w:tcPr>
          <w:p>
            <w:pPr>
              <w:spacing w:after="0"/>
              <w:rPr>
                <w:sz w:val="1"/>
                <w:szCs w:val="1"/>
                <w:color w:val="auto"/>
              </w:rPr>
            </w:pPr>
          </w:p>
        </w:tc>
      </w:tr>
      <w:tr>
        <w:trPr>
          <w:trHeight w:val="169"/>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0" w:type="dxa"/>
            <w:vAlign w:val="bottom"/>
          </w:tcPr>
          <w:p>
            <w:pPr>
              <w:spacing w:after="0"/>
              <w:rPr>
                <w:sz w:val="14"/>
                <w:szCs w:val="14"/>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66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(the "Second Equity Distribution Agreement") with Cantor Fitzgerald &amp; Co., Guggenheim Securities, LLC, Oppenheimer &amp; Co. Inc., Wedbush Securities Inc., Ladenburg Thalmann &amp; Co. Inc. and Northland Securities, Inc. with respect to an at-the-market equity program under which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 In January and February 2025, the Company sold 4,248,900 shares of our common stock under the Second Equity Distribution Agreement, at an average price of $15.94 per share and raised $67.7 million of gross proceeds. The commissions and offering costs borne by the Company were approximately $1.4 million. Following this issuance, the Company has a remaining capacity to sell up to an additional $182.3 million of the Company's common stock under the Second Equity Distribution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Annual Report. Based on this evaluation, our Chief Executive Officer and Chief Financial Officer have concluded that our disclosure controls and procedures were not effective as of December 31, 2024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Annual Report were prepared in accordance with U.S. GAAP, the Company’s management has concluded that its consolidated financial statements present fairly, in all material respects, its financial position, results of operations and cash flows for the periods disclosed in conformity with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Securities Exchange Act of 1934, as amended). Our management assessed the effectiveness of our internal control over financial reporting as of December 31, 2024. In making this assessment, our management used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including the SYNQ3 and Amelia entities which were acquired during 2024, not designing and maintaining effective controls related to substantially all accounts and disclosures. These material weaknesses contributed to the following additional material weaknesses as of December 31, 2024:</w:t>
      </w:r>
    </w:p>
    <w:p>
      <w:pPr>
        <w:spacing w:after="0" w:line="192"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 and acquisitions.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immaterial errors related to SYNQ3 and Amelia acquisitions during the year ended December 31, 2024 and immaterial errors in various accounts during the interim and annual periods during 2023 and 2024.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these material weaknesses, management concluded that the Company did not maintain effective internal control over financial reporting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under Item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progress:</w:t>
      </w:r>
    </w:p>
    <w:p>
      <w:pPr>
        <w:spacing w:after="0" w:line="225" w:lineRule="exact"/>
        <w:rPr>
          <w:sz w:val="20"/>
          <w:szCs w:val="20"/>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Additionally, we have initiated the design and implementation of similar controls for the remaining financially relevant applications. Improvements have been implemented in tool utilization to strengthen the segregation of duties.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 specifically relates to the fourth quarter of 2024, the following actions were taken:</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personnel with expertise in risk assessment and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implementation of technological enhancements including the consolidation of disparate ERP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internal compliance processes.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noted above, there were changes in the Company’s internal control over financial reporting (as defined in Rule 13a-15(f) of the Exchange Act) during the quarterly period ended December 31, 2024 that materially affected, or are reasonably likely to materially affect, the Company’s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22222"/>
        </w:rPr>
        <w:t xml:space="preserve">During the fiscal quarter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22222"/>
        </w:rPr>
        <w:t>, the following Section 16 officers and directors adopted, modified or terminated a “Rule 10b5-1 trading arrangement” (as defined in Item 408 of Regulation S-K of the Exchange Act):</w:t>
      </w:r>
    </w:p>
    <w:p>
      <w:pPr>
        <w:spacing w:after="0" w:line="230" w:lineRule="exact"/>
        <w:rPr>
          <w:sz w:val="20"/>
          <w:szCs w:val="20"/>
          <w:color w:val="auto"/>
        </w:rPr>
      </w:pPr>
    </w:p>
    <w:p>
      <w:pPr>
        <w:jc w:val="both"/>
        <w:ind w:left="660" w:hanging="328"/>
        <w:spacing w:after="0" w:line="227" w:lineRule="auto"/>
        <w:tabs>
          <w:tab w:leader="none" w:pos="655" w:val="left"/>
        </w:tabs>
        <w:numPr>
          <w:ilvl w:val="0"/>
          <w:numId w:val="49"/>
        </w:numPr>
        <w:rPr>
          <w:rFonts w:ascii="Arial" w:cs="Arial" w:eastAsia="Arial" w:hAnsi="Arial"/>
          <w:sz w:val="22"/>
          <w:szCs w:val="22"/>
          <w:color w:val="auto"/>
        </w:rPr>
      </w:pPr>
      <w:r>
        <w:rPr>
          <w:rFonts w:ascii="Times New Roman" w:cs="Times New Roman" w:eastAsia="Times New Roman" w:hAnsi="Times New Roman"/>
          <w:sz w:val="18"/>
          <w:szCs w:val="18"/>
          <w:color w:val="222222"/>
        </w:rPr>
        <w:t>Dr. Keyvan Mohajer, Chief Executive Officer and Director, adopted a new trading plan on November 27, 2024 (with the first trade under the new plan not to be made prior to March 1, 2025). The trading plan will be effective until June 15, 2025 and provides for the sale of up to 2,400,000 shares of Dr. Mohajer's 14,139,064 shares of Class B common stock and up to 737,500 shares of Class A common stock issuable upon vesting and settlement of certain RSUs and PSUs, provided that certain conditions are met.</w:t>
      </w:r>
    </w:p>
    <w:p>
      <w:pPr>
        <w:spacing w:after="0" w:line="253" w:lineRule="exact"/>
        <w:rPr>
          <w:rFonts w:ascii="Arial" w:cs="Arial" w:eastAsia="Arial" w:hAnsi="Arial"/>
          <w:sz w:val="22"/>
          <w:szCs w:val="22"/>
          <w:color w:val="auto"/>
        </w:rPr>
      </w:pPr>
    </w:p>
    <w:p>
      <w:pPr>
        <w:jc w:val="both"/>
        <w:ind w:left="660" w:hanging="328"/>
        <w:spacing w:after="0" w:line="230" w:lineRule="auto"/>
        <w:tabs>
          <w:tab w:leader="none" w:pos="655" w:val="left"/>
        </w:tabs>
        <w:numPr>
          <w:ilvl w:val="0"/>
          <w:numId w:val="49"/>
        </w:numPr>
        <w:rPr>
          <w:rFonts w:ascii="Arial" w:cs="Arial" w:eastAsia="Arial" w:hAnsi="Arial"/>
          <w:sz w:val="22"/>
          <w:szCs w:val="22"/>
          <w:color w:val="auto"/>
        </w:rPr>
      </w:pPr>
      <w:r>
        <w:rPr>
          <w:rFonts w:ascii="Times New Roman" w:cs="Times New Roman" w:eastAsia="Times New Roman" w:hAnsi="Times New Roman"/>
          <w:sz w:val="18"/>
          <w:szCs w:val="18"/>
          <w:color w:val="auto"/>
        </w:rPr>
        <w:t>Eric Ball, Director, adopted a new trading plan on December 20, 2024 (with the first trade under the new plan not to be made prior to March 21, 2025). The trading plan will be effective until December 31, 2025 and provides for the sale of up to 150,000 shares of Class A common stock, provided that certain conditions are met.</w:t>
      </w:r>
    </w:p>
    <w:p>
      <w:pPr>
        <w:spacing w:after="0" w:line="251" w:lineRule="exact"/>
        <w:rPr>
          <w:rFonts w:ascii="Arial" w:cs="Arial" w:eastAsia="Arial" w:hAnsi="Arial"/>
          <w:sz w:val="22"/>
          <w:szCs w:val="22"/>
          <w:color w:val="auto"/>
        </w:rPr>
      </w:pPr>
    </w:p>
    <w:p>
      <w:pPr>
        <w:jc w:val="both"/>
        <w:ind w:left="660" w:hanging="328"/>
        <w:spacing w:after="0" w:line="231" w:lineRule="auto"/>
        <w:tabs>
          <w:tab w:leader="none" w:pos="655" w:val="left"/>
        </w:tabs>
        <w:numPr>
          <w:ilvl w:val="0"/>
          <w:numId w:val="49"/>
        </w:numPr>
        <w:rPr>
          <w:rFonts w:ascii="Arial" w:cs="Arial" w:eastAsia="Arial" w:hAnsi="Arial"/>
          <w:sz w:val="22"/>
          <w:szCs w:val="22"/>
          <w:color w:val="auto"/>
        </w:rPr>
      </w:pPr>
      <w:r>
        <w:rPr>
          <w:rFonts w:ascii="Times New Roman" w:cs="Times New Roman" w:eastAsia="Times New Roman" w:hAnsi="Times New Roman"/>
          <w:sz w:val="18"/>
          <w:szCs w:val="18"/>
          <w:color w:val="222222"/>
        </w:rPr>
        <w:t>Nitesh Sharan, Chief Financial Officer, adopted a new trading plan on December 13, 2024 (with the first trade under the new plan not to be made prior to March 14, 2025). The trading plan will be effective until December 31, 2025 and provides for the sale of up to 120,000 shares of Class A common stock issuable upon exercise of outstanding options and up to 121,506 shares of Class A common stock, provided that certain conditions are met.</w:t>
      </w:r>
    </w:p>
    <w:p>
      <w:pPr>
        <w:spacing w:after="0" w:line="211" w:lineRule="exact"/>
        <w:rPr>
          <w:rFonts w:ascii="Arial" w:cs="Arial" w:eastAsia="Arial" w:hAnsi="Arial"/>
          <w:sz w:val="22"/>
          <w:szCs w:val="22"/>
          <w:color w:val="auto"/>
        </w:rPr>
      </w:pPr>
    </w:p>
    <w:p>
      <w:pPr>
        <w:jc w:val="both"/>
        <w:ind w:left="660" w:hanging="328"/>
        <w:spacing w:after="0" w:line="250" w:lineRule="auto"/>
        <w:tabs>
          <w:tab w:leader="none" w:pos="655" w:val="left"/>
        </w:tabs>
        <w:numPr>
          <w:ilvl w:val="0"/>
          <w:numId w:val="4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Timothy Stonehocker, Chief Technology Officer, adopted a new trading plan on December 23, 2024 (with the first trade under the new plan not to be made prior to March 24, 2025). The trading plan will be effective until February 15, 2026 and provides for the sale of up to 395,737 shares of Class A common stock issuable upon vesting and settlement of certain RSUs, provided that certain conditions are met.</w:t>
      </w:r>
    </w:p>
    <w:p>
      <w:pPr>
        <w:spacing w:after="0" w:line="190" w:lineRule="exact"/>
        <w:rPr>
          <w:rFonts w:ascii="Times New Roman" w:cs="Times New Roman" w:eastAsia="Times New Roman" w:hAnsi="Times New Roman"/>
          <w:sz w:val="18"/>
          <w:szCs w:val="18"/>
          <w:color w:val="222222"/>
        </w:rPr>
      </w:pPr>
    </w:p>
    <w:p>
      <w:pPr>
        <w:jc w:val="both"/>
        <w:ind w:left="660" w:hanging="328"/>
        <w:spacing w:after="0" w:line="245" w:lineRule="auto"/>
        <w:tabs>
          <w:tab w:leader="none" w:pos="655" w:val="left"/>
        </w:tabs>
        <w:numPr>
          <w:ilvl w:val="0"/>
          <w:numId w:val="4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James M. Hom, Chief Product Officer and Director, adopted a new trading plan on November 27, 2024 (with the first trade under the new plan not to be made prior to April 1, 2025). The trading plan will be effective until June 30, 2025 and provides for the sale of up to 200,000 shares of Mr. Hom's 1,812,588 shares of Class B common stock, up to 3,815 shares of Class A common stock, and up to 29,534 shares of Class A common stock issuable upon vesting and settlement of certain RSUs, provided that certain conditions are met.</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22222"/>
        </w:rPr>
        <w:t xml:space="preserve">There were no “non-Rule 10b5-1 trading arrangements” (as defined in Item 408 of Regulation S-K of the Exchange Act) adopted, modified or terminated during the fiscal quarter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22222"/>
        </w:rPr>
        <w:t xml:space="preserve">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Part III is omitted from this Annual Report in that we will file a definitive proxy statement pursuant to Regulation 14A with respect to our 2025 Annual Meeting (the "Proxy Statement") no later than 120 days after the end of the fiscal year covered by this Annual Report, and certain information included therein is incorporated herein by reference. Only those sections of the Proxy Statement which specifically address the items set forth herein are incorporated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22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Index to Consolidated Financial Statements in Part II, Item 8 of this Form 10-K.</w:t>
      </w:r>
    </w:p>
    <w:p>
      <w:pPr>
        <w:spacing w:after="0" w:line="225" w:lineRule="exact"/>
        <w:rPr>
          <w:rFonts w:ascii="Times New Roman" w:cs="Times New Roman" w:eastAsia="Times New Roman" w:hAnsi="Times New Roman"/>
          <w:sz w:val="18"/>
          <w:szCs w:val="18"/>
          <w:color w:val="auto"/>
        </w:rPr>
      </w:pPr>
    </w:p>
    <w:p>
      <w:pPr>
        <w:ind w:left="660" w:hanging="4"/>
        <w:spacing w:after="0" w:line="284" w:lineRule="auto"/>
        <w:tabs>
          <w:tab w:leader="none" w:pos="8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have been omitted as the requested information is not applicable or the information is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related notes included in this Form 10-K.</w:t>
      </w:r>
    </w:p>
    <w:p>
      <w:pPr>
        <w:spacing w:after="0" w:line="15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of this Form 10-K below.</w:t>
      </w:r>
    </w:p>
    <w:p>
      <w:pPr>
        <w:spacing w:after="0" w:line="2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36"/>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0"/>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28"/>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right w:val="single" w:sz="8" w:color="CCEEFF"/>
            </w:tcBorders>
            <w:shd w:val="clear" w:color="auto" w:fill="CCEEFF"/>
          </w:tcPr>
          <w:p>
            <w:pPr>
              <w:spacing w:after="0"/>
              <w:rPr>
                <w:sz w:val="19"/>
                <w:szCs w:val="19"/>
                <w:color w:val="auto"/>
              </w:rPr>
            </w:pPr>
          </w:p>
        </w:tc>
        <w:tc>
          <w:tcPr>
            <w:tcW w:w="5180" w:type="dxa"/>
            <w:vAlign w:val="bottom"/>
            <w:gridSpan w:val="21"/>
            <w:vMerge w:val="restart"/>
            <w:shd w:val="clear" w:color="auto" w:fill="CCEEFF"/>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Agreement and Plan of Merger, dated December 6, 2023, by and among</w:t>
              </w:r>
            </w:hyperlink>
          </w:p>
        </w:tc>
        <w:tc>
          <w:tcPr>
            <w:tcW w:w="1000" w:type="dxa"/>
            <w:vAlign w:val="bottom"/>
            <w:gridSpan w:val="6"/>
            <w:vMerge w:val="restart"/>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12/07/23</w:t>
            </w:r>
          </w:p>
        </w:tc>
        <w:tc>
          <w:tcPr>
            <w:tcW w:w="0" w:type="dxa"/>
            <w:vAlign w:val="bottom"/>
          </w:tcPr>
          <w:p>
            <w:pPr>
              <w:spacing w:after="0"/>
              <w:rPr>
                <w:sz w:val="1"/>
                <w:szCs w:val="1"/>
                <w:color w:val="auto"/>
              </w:rPr>
            </w:pPr>
          </w:p>
        </w:tc>
      </w:tr>
      <w:tr>
        <w:trPr>
          <w:trHeight w:val="184"/>
        </w:trPr>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180" w:type="dxa"/>
            <w:vAlign w:val="bottom"/>
            <w:tcBorders>
              <w:bottom w:val="single" w:sz="8" w:color="0000FF"/>
            </w:tcBorders>
            <w:gridSpan w:val="21"/>
            <w:vMerge w:val="continue"/>
            <w:shd w:val="clear" w:color="auto" w:fill="CCEEFF"/>
          </w:tcPr>
          <w:p>
            <w:pPr>
              <w:spacing w:after="0"/>
              <w:rPr>
                <w:sz w:val="16"/>
                <w:szCs w:val="16"/>
                <w:color w:val="auto"/>
              </w:rPr>
            </w:pPr>
          </w:p>
        </w:tc>
        <w:tc>
          <w:tcPr>
            <w:tcW w:w="1000" w:type="dxa"/>
            <w:vAlign w:val="bottom"/>
            <w:tcBorders>
              <w:bottom w:val="single" w:sz="8" w:color="CCEEFF"/>
            </w:tcBorders>
            <w:gridSpan w:val="6"/>
            <w:vMerge w:val="continue"/>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5860" w:type="dxa"/>
            <w:vAlign w:val="bottom"/>
            <w:tcBorders>
              <w:bottom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SoundHound AI, Inc., Black Knights Merger Sub I, Inc., a Delaware corporation,</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040" w:type="dxa"/>
            <w:vAlign w:val="bottom"/>
            <w:tcBorders>
              <w:bottom w:val="single" w:sz="8" w:color="0000FF"/>
              <w:right w:val="single" w:sz="8" w:color="CCEEFF"/>
            </w:tcBorders>
            <w:gridSpan w:val="26"/>
            <w:shd w:val="clear" w:color="auto" w:fill="CCEEFF"/>
          </w:tcPr>
          <w:p>
            <w:pPr>
              <w:spacing w:after="0" w:line="19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Black Knight Merger Sub II, LLC, a Delaware limited liability company and Synq3,</w:t>
              </w:r>
            </w:hyperlink>
          </w:p>
        </w:tc>
        <w:tc>
          <w:tcPr>
            <w:tcW w:w="140" w:type="dxa"/>
            <w:vAlign w:val="bottom"/>
            <w:tcBorders>
              <w:left w:val="single" w:sz="8" w:color="CCEEFF"/>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w:t>
              </w:r>
            </w:hyperlink>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Firehorse Merger Sub, LLC Stock Purchase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08/06/24</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Borders>
              <w:right w:val="single" w:sz="8" w:color="CCEEFF"/>
            </w:tcBorders>
            <w:shd w:val="clear" w:color="auto" w:fill="CCEEFF"/>
          </w:tcPr>
          <w:p>
            <w:pPr>
              <w:spacing w:after="0"/>
              <w:rPr>
                <w:sz w:val="20"/>
                <w:szCs w:val="20"/>
                <w:color w:val="auto"/>
              </w:rPr>
            </w:pPr>
          </w:p>
        </w:tc>
        <w:tc>
          <w:tcPr>
            <w:tcW w:w="3100" w:type="dxa"/>
            <w:vAlign w:val="bottom"/>
            <w:gridSpan w:val="10"/>
            <w:vMerge w:val="restart"/>
            <w:shd w:val="clear" w:color="auto" w:fill="CCEEFF"/>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Amelia Holding II, LLC Credit Agreement</w:t>
              </w:r>
            </w:hyperlink>
          </w:p>
        </w:tc>
        <w:tc>
          <w:tcPr>
            <w:tcW w:w="3080" w:type="dxa"/>
            <w:vAlign w:val="bottom"/>
            <w:gridSpan w:val="17"/>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08/06/24</w:t>
            </w:r>
          </w:p>
        </w:tc>
        <w:tc>
          <w:tcPr>
            <w:tcW w:w="0" w:type="dxa"/>
            <w:vAlign w:val="bottom"/>
          </w:tcPr>
          <w:p>
            <w:pPr>
              <w:spacing w:after="0"/>
              <w:rPr>
                <w:sz w:val="1"/>
                <w:szCs w:val="1"/>
                <w:color w:val="auto"/>
              </w:rPr>
            </w:pPr>
          </w:p>
        </w:tc>
      </w:tr>
      <w:tr>
        <w:trPr>
          <w:trHeight w:val="232"/>
        </w:trPr>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100" w:type="dxa"/>
            <w:vAlign w:val="bottom"/>
            <w:tcBorders>
              <w:bottom w:val="single" w:sz="8" w:color="0000FF"/>
            </w:tcBorders>
            <w:gridSpan w:val="10"/>
            <w:vMerge w:val="continue"/>
            <w:shd w:val="clear" w:color="auto" w:fill="CCEEFF"/>
          </w:tcPr>
          <w:p>
            <w:pPr>
              <w:spacing w:after="0"/>
              <w:rPr>
                <w:sz w:val="20"/>
                <w:szCs w:val="20"/>
                <w:color w:val="auto"/>
              </w:rPr>
            </w:pPr>
          </w:p>
        </w:tc>
        <w:tc>
          <w:tcPr>
            <w:tcW w:w="3080" w:type="dxa"/>
            <w:vAlign w:val="bottom"/>
            <w:tcBorders>
              <w:bottom w:val="single" w:sz="8" w:color="CCEEFF"/>
            </w:tcBorders>
            <w:gridSpan w:val="17"/>
            <w:vMerge w:val="continue"/>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Second Amended and Restated Certificate of Incorporation of SoundHound AI, Inc.</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040" w:type="dxa"/>
            <w:vAlign w:val="bottom"/>
            <w:tcBorders>
              <w:bottom w:val="single" w:sz="8" w:color="0000FF"/>
            </w:tcBorders>
            <w:gridSpan w:val="19"/>
            <w:shd w:val="clear" w:color="auto" w:fill="CCEEFF"/>
          </w:tcPr>
          <w:p>
            <w:pPr>
              <w:spacing w:after="0" w:line="18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Amended and Restated Bylaws of SoundHound AI, Inc.</w:t>
              </w:r>
            </w:hyperlink>
          </w:p>
        </w:tc>
        <w:tc>
          <w:tcPr>
            <w:tcW w:w="2140" w:type="dxa"/>
            <w:vAlign w:val="bottom"/>
            <w:tcBorders>
              <w:bottom w:val="single" w:sz="8" w:color="CCEEFF"/>
            </w:tcBorders>
            <w:gridSpan w:val="8"/>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SoundHound AI, Inc. Certificate of Designations of Preferences, Rights and</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01/24/23</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Limitations of Series A Convertible Preferred Stock.</w:t>
              </w:r>
            </w:hyperlink>
          </w:p>
        </w:tc>
        <w:tc>
          <w:tcPr>
            <w:tcW w:w="720" w:type="dxa"/>
            <w:vAlign w:val="bottom"/>
            <w:gridSpan w:val="4"/>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180" w:type="dxa"/>
            <w:vAlign w:val="bottom"/>
            <w:tcBorders>
              <w:bottom w:val="single" w:sz="8" w:color="0000FF"/>
            </w:tcBorders>
            <w:gridSpan w:val="11"/>
            <w:shd w:val="clear" w:color="auto" w:fill="CCEEFF"/>
          </w:tcPr>
          <w:p>
            <w:pPr>
              <w:spacing w:after="0" w:line="189"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Amended and Restated Warrant Agreement.</w:t>
              </w:r>
            </w:hyperlink>
          </w:p>
        </w:tc>
        <w:tc>
          <w:tcPr>
            <w:tcW w:w="3000" w:type="dxa"/>
            <w:vAlign w:val="bottom"/>
            <w:tcBorders>
              <w:bottom w:val="single" w:sz="8" w:color="CCEEFF"/>
            </w:tcBorders>
            <w:gridSpan w:val="16"/>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Specimen Class A Common Stock Certificate.</w:t>
              </w:r>
            </w:hyperlink>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Borders>
              <w:right w:val="single" w:sz="8" w:color="CCEEFF"/>
            </w:tcBorders>
            <w:shd w:val="clear" w:color="auto" w:fill="CCEEFF"/>
          </w:tcPr>
          <w:p>
            <w:pPr>
              <w:spacing w:after="0"/>
              <w:rPr>
                <w:sz w:val="20"/>
                <w:szCs w:val="20"/>
                <w:color w:val="auto"/>
              </w:rPr>
            </w:pPr>
          </w:p>
        </w:tc>
        <w:tc>
          <w:tcPr>
            <w:tcW w:w="6180" w:type="dxa"/>
            <w:vAlign w:val="bottom"/>
            <w:gridSpan w:val="27"/>
            <w:vMerge w:val="restart"/>
            <w:shd w:val="clear" w:color="auto" w:fill="CCEEFF"/>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Specimen Warrant Certificate.</w:t>
              </w:r>
            </w:hyperlink>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05/16/22</w:t>
            </w:r>
          </w:p>
        </w:tc>
        <w:tc>
          <w:tcPr>
            <w:tcW w:w="0" w:type="dxa"/>
            <w:vAlign w:val="bottom"/>
          </w:tcPr>
          <w:p>
            <w:pPr>
              <w:spacing w:after="0"/>
              <w:rPr>
                <w:sz w:val="1"/>
                <w:szCs w:val="1"/>
                <w:color w:val="auto"/>
              </w:rPr>
            </w:pPr>
          </w:p>
        </w:tc>
      </w:tr>
      <w:tr>
        <w:trPr>
          <w:trHeight w:val="184"/>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180" w:type="dxa"/>
            <w:vAlign w:val="bottom"/>
            <w:gridSpan w:val="27"/>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Warrant Agreement.</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Borders>
              <w:right w:val="single" w:sz="8" w:color="CCEEFF"/>
            </w:tcBorders>
            <w:shd w:val="clear" w:color="auto" w:fill="CCEEFF"/>
          </w:tcPr>
          <w:p>
            <w:pPr>
              <w:spacing w:after="0"/>
              <w:rPr>
                <w:sz w:val="20"/>
                <w:szCs w:val="20"/>
                <w:color w:val="auto"/>
              </w:rPr>
            </w:pPr>
          </w:p>
        </w:tc>
        <w:tc>
          <w:tcPr>
            <w:tcW w:w="3680" w:type="dxa"/>
            <w:vAlign w:val="bottom"/>
            <w:gridSpan w:val="14"/>
            <w:vMerge w:val="restart"/>
            <w:shd w:val="clear" w:color="auto" w:fill="CCEEFF"/>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of Class A Common Stock Purchase Warrant</w:t>
              </w:r>
            </w:hyperlink>
          </w:p>
        </w:tc>
        <w:tc>
          <w:tcPr>
            <w:tcW w:w="2500" w:type="dxa"/>
            <w:vAlign w:val="bottom"/>
            <w:gridSpan w:val="13"/>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05/12/23</w:t>
            </w:r>
          </w:p>
        </w:tc>
        <w:tc>
          <w:tcPr>
            <w:tcW w:w="0" w:type="dxa"/>
            <w:vAlign w:val="bottom"/>
          </w:tcPr>
          <w:p>
            <w:pPr>
              <w:spacing w:after="0"/>
              <w:rPr>
                <w:sz w:val="1"/>
                <w:szCs w:val="1"/>
                <w:color w:val="auto"/>
              </w:rPr>
            </w:pPr>
          </w:p>
        </w:tc>
      </w:tr>
      <w:tr>
        <w:trPr>
          <w:trHeight w:val="232"/>
        </w:trPr>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680" w:type="dxa"/>
            <w:vAlign w:val="bottom"/>
            <w:tcBorders>
              <w:bottom w:val="single" w:sz="8" w:color="0000FF"/>
            </w:tcBorders>
            <w:gridSpan w:val="14"/>
            <w:vMerge w:val="continue"/>
            <w:shd w:val="clear" w:color="auto" w:fill="CCEEFF"/>
          </w:tcPr>
          <w:p>
            <w:pPr>
              <w:spacing w:after="0"/>
              <w:rPr>
                <w:sz w:val="20"/>
                <w:szCs w:val="20"/>
                <w:color w:val="auto"/>
              </w:rPr>
            </w:pPr>
          </w:p>
        </w:tc>
        <w:tc>
          <w:tcPr>
            <w:tcW w:w="2500" w:type="dxa"/>
            <w:vAlign w:val="bottom"/>
            <w:tcBorders>
              <w:bottom w:val="single" w:sz="8" w:color="CCEEFF"/>
            </w:tcBorders>
            <w:gridSpan w:val="13"/>
            <w:vMerge w:val="continue"/>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Description of Securities</w:t>
              </w:r>
            </w:hyperlink>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03/28/23</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Borders>
              <w:right w:val="single" w:sz="8" w:color="CCEEFF"/>
            </w:tcBorders>
            <w:shd w:val="clear" w:color="auto" w:fill="CCEEFF"/>
          </w:tcPr>
          <w:p>
            <w:pPr>
              <w:spacing w:after="0"/>
              <w:rPr>
                <w:sz w:val="16"/>
                <w:szCs w:val="16"/>
                <w:color w:val="auto"/>
              </w:rPr>
            </w:pPr>
          </w:p>
        </w:tc>
        <w:tc>
          <w:tcPr>
            <w:tcW w:w="618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SoundHound AI, Inc. 2022 Incentive Award Plan.</w:t>
              </w:r>
            </w:hyperlink>
          </w:p>
        </w:tc>
        <w:tc>
          <w:tcPr>
            <w:tcW w:w="134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Proxy Statement</w:t>
            </w:r>
          </w:p>
        </w:tc>
        <w:tc>
          <w:tcPr>
            <w:tcW w:w="134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Annex D</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SoundHound AI, Inc. 2022 Employee Stock Purchase Plan.</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Proxy Statement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Annex 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Borders>
              <w:right w:val="single" w:sz="8" w:color="CCEEFF"/>
            </w:tcBorders>
            <w:shd w:val="clear" w:color="auto" w:fill="CCEEFF"/>
          </w:tcPr>
          <w:p>
            <w:pPr>
              <w:spacing w:after="0"/>
              <w:rPr>
                <w:sz w:val="18"/>
                <w:szCs w:val="18"/>
                <w:color w:val="auto"/>
              </w:rPr>
            </w:pPr>
          </w:p>
        </w:tc>
        <w:tc>
          <w:tcPr>
            <w:tcW w:w="618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Restricted Stock Unit Agreement.</w:t>
              </w:r>
            </w:hyperlink>
          </w:p>
        </w:tc>
        <w:tc>
          <w:tcPr>
            <w:tcW w:w="134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189"/>
        </w:trPr>
        <w:tc>
          <w:tcPr>
            <w:tcW w:w="10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Borders>
              <w:top w:val="single" w:sz="8" w:color="CCEEFF"/>
            </w:tcBorders>
          </w:tcPr>
          <w:p>
            <w:pPr>
              <w:spacing w:after="0"/>
              <w:rPr>
                <w:sz w:val="16"/>
                <w:szCs w:val="16"/>
                <w:color w:val="auto"/>
              </w:rPr>
            </w:pPr>
          </w:p>
        </w:tc>
        <w:tc>
          <w:tcPr>
            <w:tcW w:w="3060" w:type="dxa"/>
            <w:vAlign w:val="bottom"/>
            <w:tcBorders>
              <w:top w:val="single" w:sz="8" w:color="0000FF"/>
            </w:tcBorders>
            <w:gridSpan w:val="9"/>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Stock Option Award Agreement.</w:t>
              </w:r>
            </w:hyperlink>
          </w:p>
        </w:tc>
        <w:tc>
          <w:tcPr>
            <w:tcW w:w="3120" w:type="dxa"/>
            <w:vAlign w:val="bottom"/>
            <w:tcBorders>
              <w:top w:val="single" w:sz="8" w:color="CCEEFF"/>
            </w:tcBorders>
            <w:gridSpan w:val="18"/>
          </w:tcPr>
          <w:p>
            <w:pPr>
              <w:spacing w:after="0"/>
              <w:rPr>
                <w:sz w:val="16"/>
                <w:szCs w:val="16"/>
                <w:color w:val="auto"/>
              </w:rPr>
            </w:pPr>
          </w:p>
        </w:tc>
        <w:tc>
          <w:tcPr>
            <w:tcW w:w="1340" w:type="dxa"/>
            <w:vAlign w:val="bottom"/>
            <w:tcBorders>
              <w:top w:val="single" w:sz="8" w:color="CCEEFF"/>
            </w:tcBorders>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26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Form of Indemnity Agreement.</w:t>
              </w:r>
            </w:hyperlink>
          </w:p>
        </w:tc>
        <w:tc>
          <w:tcPr>
            <w:tcW w:w="3920" w:type="dxa"/>
            <w:vAlign w:val="bottom"/>
            <w:tcBorders>
              <w:bottom w:val="single" w:sz="8" w:color="CCEEFF"/>
            </w:tcBorders>
            <w:gridSpan w:val="21"/>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05/02/22</w:t>
            </w: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Agreement with Keyvan Mohajer, Chief Executive Officer, dated June</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2, 2022.</w:t>
              </w:r>
            </w:hyperlink>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Borders>
              <w:right w:val="single" w:sz="8" w:color="CCEEFF"/>
            </w:tcBorders>
            <w:shd w:val="clear" w:color="auto" w:fill="CCEEFF"/>
          </w:tcPr>
          <w:p>
            <w:pPr>
              <w:spacing w:after="0"/>
              <w:rPr>
                <w:sz w:val="20"/>
                <w:szCs w:val="20"/>
                <w:color w:val="auto"/>
              </w:rPr>
            </w:pPr>
          </w:p>
        </w:tc>
        <w:tc>
          <w:tcPr>
            <w:tcW w:w="6180" w:type="dxa"/>
            <w:vAlign w:val="bottom"/>
            <w:gridSpan w:val="27"/>
            <w:vMerge w:val="restart"/>
            <w:shd w:val="clear" w:color="auto" w:fill="CCEEFF"/>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with Nitesh Sharan, Chief Financial Officer, dated June 2,</w:t>
              </w:r>
            </w:hyperlink>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84"/>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180" w:type="dxa"/>
            <w:vAlign w:val="bottom"/>
            <w:gridSpan w:val="27"/>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2022.</w:t>
              </w:r>
            </w:hyperlink>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Employment Agreement with Timothy Stonehocker, Chief Technology Officer,</w:t>
              </w:r>
            </w:hyperlink>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dated June 2, 2022.</w:t>
              </w:r>
            </w:hyperlink>
          </w:p>
        </w:tc>
        <w:tc>
          <w:tcPr>
            <w:tcW w:w="48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Borders>
              <w:right w:val="single" w:sz="8" w:color="CCEEFF"/>
            </w:tcBorders>
            <w:shd w:val="clear" w:color="auto" w:fill="CCEEFF"/>
          </w:tcPr>
          <w:p>
            <w:pPr>
              <w:spacing w:after="0"/>
              <w:rPr>
                <w:sz w:val="20"/>
                <w:szCs w:val="20"/>
                <w:color w:val="auto"/>
              </w:rPr>
            </w:pPr>
          </w:p>
        </w:tc>
        <w:tc>
          <w:tcPr>
            <w:tcW w:w="3380" w:type="dxa"/>
            <w:vAlign w:val="bottom"/>
            <w:gridSpan w:val="12"/>
            <w:vMerge w:val="restart"/>
            <w:shd w:val="clear" w:color="auto" w:fill="CCEEFF"/>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Non-Employee Director Compensation Policy.</w:t>
              </w:r>
            </w:hyperlink>
          </w:p>
        </w:tc>
        <w:tc>
          <w:tcPr>
            <w:tcW w:w="2800" w:type="dxa"/>
            <w:vAlign w:val="bottom"/>
            <w:gridSpan w:val="15"/>
            <w:vMerge w:val="restart"/>
            <w:shd w:val="clear" w:color="auto" w:fill="CCEEFF"/>
          </w:tcPr>
          <w:p>
            <w:pPr>
              <w:spacing w:after="0"/>
              <w:rPr>
                <w:sz w:val="20"/>
                <w:szCs w:val="20"/>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06/08/22</w:t>
            </w:r>
          </w:p>
        </w:tc>
        <w:tc>
          <w:tcPr>
            <w:tcW w:w="0" w:type="dxa"/>
            <w:vAlign w:val="bottom"/>
          </w:tcPr>
          <w:p>
            <w:pPr>
              <w:spacing w:after="0"/>
              <w:rPr>
                <w:sz w:val="1"/>
                <w:szCs w:val="1"/>
                <w:color w:val="auto"/>
              </w:rPr>
            </w:pPr>
          </w:p>
        </w:tc>
      </w:tr>
      <w:tr>
        <w:trPr>
          <w:trHeight w:val="232"/>
        </w:trPr>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380" w:type="dxa"/>
            <w:vAlign w:val="bottom"/>
            <w:tcBorders>
              <w:bottom w:val="single" w:sz="8" w:color="0000FF"/>
            </w:tcBorders>
            <w:gridSpan w:val="12"/>
            <w:vMerge w:val="continue"/>
            <w:shd w:val="clear" w:color="auto" w:fill="CCEEFF"/>
          </w:tcPr>
          <w:p>
            <w:pPr>
              <w:spacing w:after="0"/>
              <w:rPr>
                <w:sz w:val="20"/>
                <w:szCs w:val="20"/>
                <w:color w:val="auto"/>
              </w:rPr>
            </w:pPr>
          </w:p>
        </w:tc>
        <w:tc>
          <w:tcPr>
            <w:tcW w:w="2800" w:type="dxa"/>
            <w:vAlign w:val="bottom"/>
            <w:tcBorders>
              <w:bottom w:val="single" w:sz="8" w:color="CCEEFF"/>
            </w:tcBorders>
            <w:gridSpan w:val="15"/>
            <w:vMerge w:val="continue"/>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0"/>
                <w:szCs w:val="20"/>
                <w:color w:val="auto"/>
              </w:rPr>
            </w:pPr>
          </w:p>
        </w:tc>
        <w:tc>
          <w:tcPr>
            <w:tcW w:w="6180" w:type="dxa"/>
            <w:vAlign w:val="bottom"/>
            <w:gridSpan w:val="27"/>
            <w:vMerge w:val="restart"/>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Controlled Equity Offering Sales Agreement</w:t>
              </w:r>
            </w:hyperlink>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07/24/23</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gridSpan w:val="27"/>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20" w:type="dxa"/>
            <w:vAlign w:val="bottom"/>
            <w:tcBorders>
              <w:right w:val="single" w:sz="8" w:color="CCEEFF"/>
            </w:tcBorders>
            <w:shd w:val="clear" w:color="auto" w:fill="CCEEFF"/>
          </w:tcPr>
          <w:p>
            <w:pPr>
              <w:spacing w:after="0"/>
              <w:rPr>
                <w:sz w:val="20"/>
                <w:szCs w:val="20"/>
                <w:color w:val="auto"/>
              </w:rPr>
            </w:pPr>
          </w:p>
        </w:tc>
        <w:tc>
          <w:tcPr>
            <w:tcW w:w="6180" w:type="dxa"/>
            <w:vAlign w:val="bottom"/>
            <w:gridSpan w:val="27"/>
            <w:vMerge w:val="restart"/>
            <w:shd w:val="clear" w:color="auto" w:fill="CCEEFF"/>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SoundHound AI, Inc. 2024 Employment Inducement Incentive Award Plan</w:t>
              </w:r>
            </w:hyperlink>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11/04/24</w:t>
            </w:r>
          </w:p>
        </w:tc>
        <w:tc>
          <w:tcPr>
            <w:tcW w:w="0" w:type="dxa"/>
            <w:vAlign w:val="bottom"/>
          </w:tcPr>
          <w:p>
            <w:pPr>
              <w:spacing w:after="0"/>
              <w:rPr>
                <w:sz w:val="1"/>
                <w:szCs w:val="1"/>
                <w:color w:val="auto"/>
              </w:rPr>
            </w:pPr>
          </w:p>
        </w:tc>
      </w:tr>
      <w:tr>
        <w:trPr>
          <w:trHeight w:val="184"/>
        </w:trPr>
        <w:tc>
          <w:tcPr>
            <w:tcW w:w="10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180" w:type="dxa"/>
            <w:vAlign w:val="bottom"/>
            <w:gridSpan w:val="27"/>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10.12#</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11/04/24</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500" w:type="dxa"/>
            <w:vAlign w:val="bottom"/>
            <w:gridSpan w:val="18"/>
          </w:tcPr>
          <w:p>
            <w:pPr>
              <w:spacing w:after="0" w:line="194"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Restricted Stock Unit Agreement</w:t>
              </w:r>
            </w:hyperlink>
            <w:r>
              <w:rPr>
                <w:rFonts w:ascii="Times New Roman" w:cs="Times New Roman" w:eastAsia="Times New Roman" w:hAnsi="Times New Roman"/>
                <w:sz w:val="18"/>
                <w:szCs w:val="18"/>
                <w:color w:val="000000"/>
              </w:rPr>
              <w:t>.</w:t>
            </w: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10.13#</w:t>
            </w:r>
          </w:p>
        </w:tc>
        <w:tc>
          <w:tcPr>
            <w:tcW w:w="1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S-8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11/04/24</w:t>
            </w:r>
          </w:p>
        </w:tc>
        <w:tc>
          <w:tcPr>
            <w:tcW w:w="0" w:type="dxa"/>
            <w:vAlign w:val="bottom"/>
          </w:tcPr>
          <w:p>
            <w:pPr>
              <w:spacing w:after="0"/>
              <w:rPr>
                <w:sz w:val="1"/>
                <w:szCs w:val="1"/>
                <w:color w:val="auto"/>
              </w:rPr>
            </w:pPr>
          </w:p>
        </w:tc>
      </w:tr>
      <w:tr>
        <w:trPr>
          <w:trHeight w:val="241"/>
        </w:trPr>
        <w:tc>
          <w:tcPr>
            <w:tcW w:w="1140" w:type="dxa"/>
            <w:vAlign w:val="bottom"/>
            <w:shd w:val="clear" w:color="auto" w:fill="CCEEFF"/>
          </w:tcPr>
          <w:p>
            <w:pPr>
              <w:spacing w:after="0"/>
              <w:rPr>
                <w:sz w:val="20"/>
                <w:szCs w:val="20"/>
                <w:color w:val="auto"/>
              </w:rPr>
            </w:pPr>
          </w:p>
        </w:tc>
        <w:tc>
          <w:tcPr>
            <w:tcW w:w="750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Stock Option Award Agreement.</w:t>
              </w:r>
            </w:hyperlink>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Borders>
              <w:top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10.14</w:t>
            </w:r>
          </w:p>
        </w:tc>
        <w:tc>
          <w:tcPr>
            <w:tcW w:w="16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38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04/09/24</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500" w:type="dxa"/>
            <w:vAlign w:val="bottom"/>
            <w:gridSpan w:val="18"/>
          </w:tcPr>
          <w:p>
            <w:pPr>
              <w:spacing w:after="0" w:line="194"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Equity Distribution Agreement, dated April 9, 2024</w:t>
              </w:r>
            </w:hyperlink>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10.15</w:t>
            </w:r>
          </w:p>
        </w:tc>
        <w:tc>
          <w:tcPr>
            <w:tcW w:w="1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11/08/24</w:t>
            </w:r>
          </w:p>
        </w:tc>
        <w:tc>
          <w:tcPr>
            <w:tcW w:w="0" w:type="dxa"/>
            <w:vAlign w:val="bottom"/>
          </w:tcPr>
          <w:p>
            <w:pPr>
              <w:spacing w:after="0"/>
              <w:rPr>
                <w:sz w:val="1"/>
                <w:szCs w:val="1"/>
                <w:color w:val="auto"/>
              </w:rPr>
            </w:pPr>
          </w:p>
        </w:tc>
      </w:tr>
      <w:tr>
        <w:trPr>
          <w:trHeight w:val="241"/>
        </w:trPr>
        <w:tc>
          <w:tcPr>
            <w:tcW w:w="1140" w:type="dxa"/>
            <w:vAlign w:val="bottom"/>
            <w:shd w:val="clear" w:color="auto" w:fill="CCEEFF"/>
          </w:tcPr>
          <w:p>
            <w:pPr>
              <w:spacing w:after="0"/>
              <w:rPr>
                <w:sz w:val="20"/>
                <w:szCs w:val="20"/>
                <w:color w:val="auto"/>
              </w:rPr>
            </w:pPr>
          </w:p>
        </w:tc>
        <w:tc>
          <w:tcPr>
            <w:tcW w:w="750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Equity Distribution Agreement, dated November 8, 2024</w:t>
              </w:r>
            </w:hyperlink>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40" w:type="dxa"/>
            <w:vAlign w:val="bottom"/>
            <w:tcBorders>
              <w:top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10.16</w:t>
            </w:r>
          </w:p>
        </w:tc>
        <w:tc>
          <w:tcPr>
            <w:tcW w:w="16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3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center"/>
              <w:ind w:left="70"/>
              <w:spacing w:after="0"/>
              <w:rPr>
                <w:sz w:val="20"/>
                <w:szCs w:val="20"/>
                <w:color w:val="auto"/>
              </w:rPr>
            </w:pPr>
            <w:r>
              <w:rPr>
                <w:rFonts w:ascii="Times New Roman" w:cs="Times New Roman" w:eastAsia="Times New Roman" w:hAnsi="Times New Roman"/>
                <w:sz w:val="18"/>
                <w:szCs w:val="18"/>
                <w:color w:val="auto"/>
              </w:rPr>
              <w:t>S-3</w:t>
            </w:r>
          </w:p>
        </w:tc>
        <w:tc>
          <w:tcPr>
            <w:tcW w:w="12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01/27/25</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7500" w:type="dxa"/>
            <w:vAlign w:val="bottom"/>
            <w:gridSpan w:val="18"/>
          </w:tcPr>
          <w:p>
            <w:pPr>
              <w:spacing w:after="0" w:line="194"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Equity Distribution Agreement, dated January 27, 2025</w:t>
              </w:r>
            </w:hyperlink>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19.1</w:t>
            </w:r>
          </w:p>
        </w:tc>
        <w:tc>
          <w:tcPr>
            <w:tcW w:w="1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03/01/24</w:t>
            </w: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spacing w:after="0"/>
              <w:rPr>
                <w:sz w:val="16"/>
                <w:szCs w:val="16"/>
                <w:color w:val="auto"/>
              </w:rPr>
            </w:pPr>
          </w:p>
        </w:tc>
        <w:tc>
          <w:tcPr>
            <w:tcW w:w="750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Insider Trading Policy</w:t>
              </w:r>
            </w:hyperlink>
          </w:p>
        </w:tc>
        <w:tc>
          <w:tcPr>
            <w:tcW w:w="1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21.1*</w:t>
            </w:r>
          </w:p>
        </w:tc>
        <w:tc>
          <w:tcPr>
            <w:tcW w:w="750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23.1*</w:t>
            </w:r>
          </w:p>
        </w:tc>
        <w:tc>
          <w:tcPr>
            <w:tcW w:w="26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w:t>
            </w:r>
          </w:p>
        </w:tc>
        <w:tc>
          <w:tcPr>
            <w:tcW w:w="4880" w:type="dxa"/>
            <w:vAlign w:val="bottom"/>
            <w:gridSpan w:val="13"/>
            <w:vMerge w:val="restart"/>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0000FF"/>
            </w:tcBorders>
            <w:gridSpan w:val="5"/>
            <w:vMerge w:val="continue"/>
            <w:shd w:val="clear" w:color="auto" w:fill="CCEEFF"/>
          </w:tcPr>
          <w:p>
            <w:pPr>
              <w:spacing w:after="0"/>
              <w:rPr>
                <w:sz w:val="20"/>
                <w:szCs w:val="20"/>
                <w:color w:val="auto"/>
              </w:rPr>
            </w:pPr>
          </w:p>
        </w:tc>
        <w:tc>
          <w:tcPr>
            <w:tcW w:w="4880" w:type="dxa"/>
            <w:vAlign w:val="bottom"/>
            <w:tcBorders>
              <w:bottom w:val="single" w:sz="8" w:color="CCEEFF"/>
            </w:tcBorders>
            <w:gridSpan w:val="13"/>
            <w:vMerge w:val="continue"/>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23.2*</w:t>
            </w:r>
          </w:p>
        </w:tc>
        <w:tc>
          <w:tcPr>
            <w:tcW w:w="75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Consent of Armanino LLP</w:t>
            </w: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7500" w:type="dxa"/>
            <w:vAlign w:val="bottom"/>
            <w:gridSpan w:val="18"/>
            <w:vMerge w:val="continue"/>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31.1*</w:t>
            </w:r>
          </w:p>
        </w:tc>
        <w:tc>
          <w:tcPr>
            <w:tcW w:w="580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Securities Exchange Act</w:t>
            </w:r>
          </w:p>
        </w:tc>
        <w:tc>
          <w:tcPr>
            <w:tcW w:w="1700" w:type="dxa"/>
            <w:vAlign w:val="bottom"/>
            <w:gridSpan w:val="3"/>
            <w:vMerge w:val="restart"/>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40" w:type="dxa"/>
            <w:vAlign w:val="bottom"/>
            <w:tcBorders>
              <w:bottom w:val="single" w:sz="8" w:color="CCEEFF"/>
            </w:tcBorders>
            <w:shd w:val="clear" w:color="auto" w:fill="CCEEFF"/>
          </w:tcPr>
          <w:p>
            <w:pPr>
              <w:spacing w:after="0"/>
              <w:rPr>
                <w:sz w:val="16"/>
                <w:szCs w:val="16"/>
                <w:color w:val="auto"/>
              </w:rPr>
            </w:pPr>
          </w:p>
        </w:tc>
        <w:tc>
          <w:tcPr>
            <w:tcW w:w="5800" w:type="dxa"/>
            <w:vAlign w:val="bottom"/>
            <w:tcBorders>
              <w:bottom w:val="single" w:sz="8" w:color="0000FF"/>
            </w:tcBorders>
            <w:gridSpan w:val="15"/>
            <w:vMerge w:val="continue"/>
            <w:shd w:val="clear" w:color="auto" w:fill="CCEEFF"/>
          </w:tcPr>
          <w:p>
            <w:pPr>
              <w:spacing w:after="0"/>
              <w:rPr>
                <w:sz w:val="16"/>
                <w:szCs w:val="16"/>
                <w:color w:val="auto"/>
              </w:rPr>
            </w:pPr>
          </w:p>
        </w:tc>
        <w:tc>
          <w:tcPr>
            <w:tcW w:w="1700" w:type="dxa"/>
            <w:vAlign w:val="bottom"/>
            <w:tcBorders>
              <w:bottom w:val="single" w:sz="8" w:color="CCEEFF"/>
            </w:tcBorders>
            <w:gridSpan w:val="3"/>
            <w:vMerge w:val="continue"/>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5400" w:type="dxa"/>
            <w:vAlign w:val="bottom"/>
            <w:tcBorders>
              <w:bottom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Rules 13a-14(a) and 15(d)-14(a), as adopted Pursuant to Section 302 of the</w:t>
            </w:r>
          </w:p>
        </w:tc>
        <w:tc>
          <w:tcPr>
            <w:tcW w:w="2100" w:type="dxa"/>
            <w:vAlign w:val="bottom"/>
            <w:tcBorders>
              <w:bottom w:val="single" w:sz="8" w:color="CCEEFF"/>
            </w:tcBorders>
            <w:gridSpan w:val="5"/>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5400" w:type="dxa"/>
            <w:vAlign w:val="bottom"/>
            <w:tcBorders>
              <w:bottom w:val="single" w:sz="8" w:color="CCEEFF"/>
            </w:tcBorders>
            <w:gridSpan w:val="14"/>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31.2*</w:t>
            </w:r>
          </w:p>
        </w:tc>
        <w:tc>
          <w:tcPr>
            <w:tcW w:w="75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w:t>
            </w: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7500" w:type="dxa"/>
            <w:vAlign w:val="bottom"/>
            <w:gridSpan w:val="18"/>
            <w:vMerge w:val="continue"/>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Rules 13a-14(a) and 15(d)-14(a), as adopted Pursuant to Section 302 of the</w:t>
            </w:r>
          </w:p>
        </w:tc>
        <w:tc>
          <w:tcPr>
            <w:tcW w:w="340" w:type="dxa"/>
            <w:vAlign w:val="bottom"/>
            <w:tcBorders>
              <w:top w:val="single" w:sz="8" w:color="0000FF"/>
            </w:tcBorders>
          </w:tcPr>
          <w:p>
            <w:pPr>
              <w:spacing w:after="0"/>
              <w:rPr>
                <w:sz w:val="17"/>
                <w:szCs w:val="17"/>
                <w:color w:val="auto"/>
              </w:rPr>
            </w:pPr>
          </w:p>
        </w:tc>
        <w:tc>
          <w:tcPr>
            <w:tcW w:w="1760" w:type="dxa"/>
            <w:vAlign w:val="bottom"/>
            <w:gridSpan w:val="4"/>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5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750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spacing w:after="0"/>
              <w:rPr>
                <w:sz w:val="16"/>
                <w:szCs w:val="16"/>
                <w:color w:val="auto"/>
              </w:rPr>
            </w:pPr>
          </w:p>
        </w:tc>
        <w:tc>
          <w:tcPr>
            <w:tcW w:w="7500" w:type="dxa"/>
            <w:vAlign w:val="bottom"/>
            <w:gridSpan w:val="18"/>
            <w:vMerge w:val="continue"/>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0000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59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w:t>
            </w:r>
          </w:p>
        </w:tc>
        <w:tc>
          <w:tcPr>
            <w:tcW w:w="1580" w:type="dxa"/>
            <w:vAlign w:val="bottom"/>
            <w:gridSpan w:val="2"/>
            <w:vMerge w:val="restart"/>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5920" w:type="dxa"/>
            <w:vAlign w:val="bottom"/>
            <w:tcBorders>
              <w:bottom w:val="single" w:sz="8" w:color="0000FF"/>
            </w:tcBorders>
            <w:gridSpan w:val="16"/>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5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99.1*</w:t>
            </w:r>
          </w:p>
        </w:tc>
        <w:tc>
          <w:tcPr>
            <w:tcW w:w="750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0000FF"/>
              </w:rPr>
              <w:t>Executive Compensation Clawback Policy</w:t>
            </w:r>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40" w:type="dxa"/>
            <w:vAlign w:val="bottom"/>
            <w:shd w:val="clear" w:color="auto" w:fill="CCEEFF"/>
          </w:tcPr>
          <w:p>
            <w:pPr>
              <w:spacing w:after="0"/>
              <w:rPr>
                <w:sz w:val="20"/>
                <w:szCs w:val="20"/>
                <w:color w:val="auto"/>
              </w:rPr>
            </w:pPr>
          </w:p>
        </w:tc>
        <w:tc>
          <w:tcPr>
            <w:tcW w:w="7500" w:type="dxa"/>
            <w:vAlign w:val="bottom"/>
            <w:gridSpan w:val="18"/>
            <w:vMerge w:val="continue"/>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Borders>
              <w:top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440" w:type="dxa"/>
            <w:vAlign w:val="bottom"/>
            <w:tcBorders>
              <w:top w:val="single" w:sz="8" w:color="CCEEFF"/>
            </w:tcBorders>
            <w:gridSpan w:val="10"/>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101.SCH</w:t>
            </w:r>
          </w:p>
        </w:tc>
        <w:tc>
          <w:tcPr>
            <w:tcW w:w="75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101.DEF</w:t>
            </w:r>
          </w:p>
        </w:tc>
        <w:tc>
          <w:tcPr>
            <w:tcW w:w="750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75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right="4520" w:hanging="761"/>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340" w:right="20" w:hanging="332"/>
        <w:spacing w:after="0" w:line="282" w:lineRule="auto"/>
        <w:tabs>
          <w:tab w:leader="none" w:pos="3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337" w:right="3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095"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3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2025</w:t>
            </w:r>
          </w:p>
        </w:tc>
        <w:tc>
          <w:tcPr>
            <w:tcW w:w="6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43"/>
        </w:trPr>
        <w:tc>
          <w:tcPr>
            <w:tcW w:w="520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6"/>
        </w:trPr>
        <w:tc>
          <w:tcPr>
            <w:tcW w:w="520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80" w:type="dxa"/>
            <w:vAlign w:val="bottom"/>
          </w:tcPr>
          <w:p>
            <w:pPr>
              <w:spacing w:after="0"/>
              <w:rPr>
                <w:sz w:val="21"/>
                <w:szCs w:val="21"/>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55"/>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tcPr>
          <w:p>
            <w:pPr>
              <w:spacing w:after="0"/>
              <w:rPr>
                <w:sz w:val="21"/>
                <w:szCs w:val="21"/>
                <w:color w:val="auto"/>
              </w:rPr>
            </w:pPr>
          </w:p>
        </w:tc>
      </w:tr>
      <w:tr>
        <w:trPr>
          <w:trHeight w:val="412"/>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c>
          <w:tcPr>
            <w:tcW w:w="100" w:type="dxa"/>
            <w:vAlign w:val="bottom"/>
          </w:tcPr>
          <w:p>
            <w:pPr>
              <w:spacing w:after="0"/>
              <w:rPr>
                <w:sz w:val="21"/>
                <w:szCs w:val="21"/>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380" w:type="dxa"/>
            <w:vAlign w:val="bottom"/>
          </w:tcPr>
          <w:p>
            <w:pPr>
              <w:spacing w:after="0"/>
              <w:rPr>
                <w:sz w:val="21"/>
                <w:szCs w:val="21"/>
                <w:color w:val="auto"/>
              </w:rPr>
            </w:pPr>
          </w:p>
        </w:tc>
      </w:tr>
      <w:tr>
        <w:trPr>
          <w:trHeight w:val="412"/>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Hom</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Hom</w:t>
            </w:r>
          </w:p>
        </w:tc>
        <w:tc>
          <w:tcPr>
            <w:tcW w:w="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412"/>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Eric Ball</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Eric Ball</w:t>
            </w:r>
          </w:p>
        </w:tc>
        <w:tc>
          <w:tcPr>
            <w:tcW w:w="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412"/>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Larry Marcus</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Marcus</w:t>
            </w:r>
          </w:p>
        </w:tc>
        <w:tc>
          <w:tcPr>
            <w:tcW w:w="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412"/>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Diana Sroka</w:t>
            </w:r>
          </w:p>
        </w:tc>
        <w:tc>
          <w:tcPr>
            <w:tcW w:w="100" w:type="dxa"/>
            <w:vAlign w:val="bottom"/>
          </w:tcPr>
          <w:p>
            <w:pPr>
              <w:spacing w:after="0"/>
              <w:rPr>
                <w:sz w:val="24"/>
                <w:szCs w:val="24"/>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2025</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Diana Sroka</w:t>
            </w:r>
          </w:p>
        </w:tc>
        <w:tc>
          <w:tcPr>
            <w:tcW w:w="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904"/>
        </w:trPr>
        <w:tc>
          <w:tcPr>
            <w:tcW w:w="3360" w:type="dxa"/>
            <w:vAlign w:val="bottom"/>
          </w:tcPr>
          <w:p>
            <w:pPr>
              <w:spacing w:after="0"/>
              <w:rPr>
                <w:sz w:val="24"/>
                <w:szCs w:val="24"/>
                <w:color w:val="auto"/>
              </w:rPr>
            </w:pPr>
          </w:p>
        </w:tc>
        <w:tc>
          <w:tcPr>
            <w:tcW w:w="442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40" w:name="page141"/>
    <w:bookmarkEnd w:id="14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0" w:lineRule="exact"/>
        <w:rPr>
          <w:sz w:val="20"/>
          <w:szCs w:val="20"/>
          <w:color w:val="auto"/>
        </w:rPr>
      </w:pPr>
    </w:p>
    <w:p>
      <w:pPr>
        <w:spacing w:after="0" w:line="313"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4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Owned</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SoundHound, Inc.</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SoundHound Canada Inc.</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SoundHound GmbH</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SoundHound France</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France</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175"/>
        </w:trPr>
        <w:tc>
          <w:tcPr>
            <w:tcW w:w="4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Beijing SoundHound Software Development Co., Ltd. (</w:t>
            </w:r>
            <w:r>
              <w:rPr>
                <w:rFonts w:ascii="Arial Unicode MS" w:cs="Arial Unicode MS" w:eastAsia="Arial Unicode MS" w:hAnsi="Arial Unicode MS"/>
                <w:sz w:val="17"/>
                <w:szCs w:val="17"/>
                <w:color w:val="auto"/>
              </w:rPr>
              <w:t>北京</w:t>
            </w:r>
          </w:p>
        </w:tc>
        <w:tc>
          <w:tcPr>
            <w:tcW w:w="17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243"/>
        </w:trPr>
        <w:tc>
          <w:tcPr>
            <w:tcW w:w="4460" w:type="dxa"/>
            <w:vAlign w:val="bottom"/>
            <w:shd w:val="clear" w:color="auto" w:fill="CCEEFF"/>
          </w:tcPr>
          <w:p>
            <w:pPr>
              <w:ind w:left="20"/>
              <w:spacing w:after="0" w:line="235" w:lineRule="exact"/>
              <w:rPr>
                <w:sz w:val="20"/>
                <w:szCs w:val="20"/>
                <w:color w:val="auto"/>
              </w:rPr>
            </w:pPr>
            <w:r>
              <w:rPr>
                <w:rFonts w:ascii="Arial Unicode MS" w:cs="Arial Unicode MS" w:eastAsia="Arial Unicode MS" w:hAnsi="Arial Unicode MS"/>
                <w:sz w:val="18"/>
                <w:szCs w:val="18"/>
                <w:color w:val="auto"/>
              </w:rPr>
              <w:t>声航软件开发有限公司</w:t>
            </w:r>
            <w:r>
              <w:rPr>
                <w:rFonts w:ascii="Times New Roman" w:cs="Times New Roman" w:eastAsia="Times New Roman" w:hAnsi="Times New Roman"/>
                <w:sz w:val="18"/>
                <w:szCs w:val="18"/>
                <w:color w:val="auto"/>
              </w:rPr>
              <w:t>)</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SoundHound Korea LLC (</w:t>
            </w:r>
            <w:r>
              <w:rPr>
                <w:rFonts w:ascii="Arial Unicode MS" w:cs="Arial Unicode MS" w:eastAsia="Arial Unicode MS" w:hAnsi="Arial Unicode MS"/>
                <w:sz w:val="18"/>
                <w:szCs w:val="18"/>
                <w:color w:val="auto"/>
              </w:rPr>
              <w:t>사운드하운드코리아 유한회사</w:t>
            </w:r>
            <w:r>
              <w:rPr>
                <w:rFonts w:ascii="Times New Roman" w:cs="Times New Roman" w:eastAsia="Times New Roman" w:hAnsi="Times New Roman"/>
                <w:sz w:val="18"/>
                <w:szCs w:val="18"/>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US LLC</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NL BV</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Netherlands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Global Services Private Ltd.</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 EU Holding BV</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Netherlands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Amelia NL BV</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Amelia AI UK</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AI,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Snyq3, LLC</w:t>
            </w:r>
          </w:p>
        </w:tc>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Allset, LLC</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SoundHound, Inc.</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Item601(b)(21)(ii) of Regulation S-K, the names of other subsidiaries of SoundHound AI, Inc. are omitted because, considered in the aggregate, they would not constitute a significant subsidiary as of the end of the year covered by this report.</w:t>
      </w:r>
    </w:p>
    <w:p>
      <w:pPr>
        <w:sectPr>
          <w:pgSz w:w="11900" w:h="16838" w:orient="portrait"/>
          <w:cols w:equalWidth="0" w:num="1">
            <w:col w:w="11040"/>
          </w:cols>
          <w:pgMar w:left="320" w:top="1413" w:right="539" w:bottom="1440" w:gutter="0" w:footer="0" w:header="0"/>
        </w:sectPr>
      </w:pPr>
    </w:p>
    <w:bookmarkStart w:id="141" w:name="page142"/>
    <w:bookmarkEnd w:id="141"/>
    <w:p>
      <w:pPr>
        <w:spacing w:after="0" w:line="129" w:lineRule="exact"/>
        <w:rPr>
          <w:sz w:val="20"/>
          <w:szCs w:val="20"/>
          <w:color w:val="auto"/>
        </w:rPr>
      </w:pPr>
    </w:p>
    <w:p>
      <w:pPr>
        <w:ind w:left="1920"/>
        <w:spacing w:after="0"/>
        <w:rPr>
          <w:sz w:val="20"/>
          <w:szCs w:val="20"/>
          <w:color w:val="auto"/>
        </w:rPr>
      </w:pPr>
      <w:r>
        <w:rPr>
          <w:rFonts w:ascii="Georgia" w:cs="Georgia" w:eastAsia="Georgia" w:hAnsi="Georgia"/>
          <w:sz w:val="22"/>
          <w:szCs w:val="22"/>
          <w:color w:val="auto"/>
        </w:rPr>
        <w:t>CONSENT OF INDEPENDENT REGISTERED PUBLIC ACCOUNTING FIRM</w:t>
      </w:r>
    </w:p>
    <w:p>
      <w:pPr>
        <w:spacing w:after="0" w:line="342" w:lineRule="exact"/>
        <w:rPr>
          <w:sz w:val="20"/>
          <w:szCs w:val="20"/>
          <w:color w:val="auto"/>
        </w:rPr>
      </w:pPr>
    </w:p>
    <w:p>
      <w:pPr>
        <w:spacing w:after="0" w:line="229"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333-266239), Form S-8 (No. 333-278547), Form S-8 (No. 333-282992), Form S-3 (No. 333-273393), Form S-3 (No. 333-264972), Form S-3 (No. 333-283101) and Form S-3</w:t>
      </w:r>
    </w:p>
    <w:p>
      <w:pPr>
        <w:spacing w:after="0" w:line="1"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(No. 333-284534) of SoundHound AI, Inc. of our report dated March 11, 2025 relating to the financial statements and the effectiveness of internal control over financial reporting, which appears in this Form 10-K.</w:t>
      </w:r>
    </w:p>
    <w:p>
      <w:pPr>
        <w:spacing w:after="0" w:line="35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San Francisco, California</w:t>
      </w:r>
    </w:p>
    <w:p>
      <w:pPr>
        <w:spacing w:after="0"/>
        <w:rPr>
          <w:sz w:val="20"/>
          <w:szCs w:val="20"/>
          <w:color w:val="auto"/>
        </w:rPr>
      </w:pPr>
      <w:r>
        <w:rPr>
          <w:rFonts w:ascii="Georgia" w:cs="Georgia" w:eastAsia="Georgia" w:hAnsi="Georgia"/>
          <w:sz w:val="18"/>
          <w:szCs w:val="18"/>
          <w:color w:val="auto"/>
        </w:rPr>
        <w:t>March 11, 2025</w:t>
      </w:r>
    </w:p>
    <w:p>
      <w:pPr>
        <w:sectPr>
          <w:pgSz w:w="11900" w:h="16838" w:orient="portrait"/>
          <w:cols w:equalWidth="0" w:num="1">
            <w:col w:w="11020"/>
          </w:cols>
          <w:pgMar w:left="320" w:top="1440" w:right="5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333-266239, 333-278547 and 333-282992), Form S-3 (No. 333-273393, 333-264972 and 333-284534) and Form S-3MEF (No. 333-283101) of our report dated March 28, 2023, except for the effects of the tables reflecting the impact of the revisions as of and for the year ended December 31, 2022 discussed in Note 22 to the consolidated financial statements appearing under Item 8 of the Company’s 2023 Annual Report on Form 10-K, as to which the date is March 1, 2024, and except for the effects of segment reporting discussed in Note 21 to the consolidated financial statements appearing under Item 8 of the Company’s 2024 Annual Report on Form 10-K, as to which the date is March 11, 2025, relating to the consolidated financial statements of SoundHound AI, Inc., for the year ended December 31,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Armanino</w:t>
      </w:r>
      <w:r>
        <w:rPr>
          <w:rFonts w:ascii="Times New Roman" w:cs="Times New Roman" w:eastAsia="Times New Roman" w:hAnsi="Times New Roman"/>
          <w:sz w:val="23"/>
          <w:szCs w:val="23"/>
          <w:color w:val="auto"/>
          <w:vertAlign w:val="superscript"/>
        </w:rPr>
        <w:t>LLP</w:t>
      </w: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11, 2025</w:t>
      </w:r>
    </w:p>
    <w:p>
      <w:pPr>
        <w:sectPr>
          <w:pgSz w:w="11900" w:h="16838" w:orient="portrait"/>
          <w:cols w:equalWidth="0" w:num="1">
            <w:col w:w="11240"/>
          </w:cols>
          <w:pgMar w:left="320" w:top="140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11,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6"/>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March 11,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6"/>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2024,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3" w:right="339" w:bottom="1440" w:gutter="0" w:footer="0" w:header="0"/>
        </w:sectPr>
      </w:pPr>
    </w:p>
    <w:bookmarkStart w:id="146" w:name="page147"/>
    <w:bookmarkEnd w:id="14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SoundHound AI, Inc. (the “Company”) on Form 10-K for the annual period ended December 31, 2024,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 CLAWBACK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Adopted as of November 2, 2023</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SoundHound AI,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the following executive compensation</w:t>
      </w:r>
    </w:p>
    <w:p>
      <w:pPr>
        <w:spacing w:after="0" w:line="215" w:lineRule="auto"/>
        <w:rPr>
          <w:sz w:val="20"/>
          <w:szCs w:val="20"/>
          <w:color w:val="auto"/>
        </w:rPr>
      </w:pPr>
      <w:r>
        <w:rPr>
          <w:rFonts w:ascii="Times New Roman" w:cs="Times New Roman" w:eastAsia="Times New Roman" w:hAnsi="Times New Roman"/>
          <w:sz w:val="19"/>
          <w:szCs w:val="19"/>
          <w:color w:val="auto"/>
        </w:rPr>
        <w:t>clawback policy (this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This Policy shall supplement any other clawback or compensation recovery policy or policies adopted by the Company or included in any agreement between the Company, or any subsidiary of the Company, and a person covered by this Policy. If any</w:t>
      </w:r>
    </w:p>
    <w:p>
      <w:pPr>
        <w:spacing w:after="0" w:line="228" w:lineRule="auto"/>
        <w:rPr>
          <w:sz w:val="20"/>
          <w:szCs w:val="20"/>
          <w:color w:val="auto"/>
        </w:rPr>
      </w:pPr>
      <w:r>
        <w:rPr>
          <w:rFonts w:ascii="Times New Roman" w:cs="Times New Roman" w:eastAsia="Times New Roman" w:hAnsi="Times New Roman"/>
          <w:sz w:val="20"/>
          <w:szCs w:val="20"/>
          <w:color w:val="auto"/>
        </w:rPr>
        <w:t>such other policy or agreement provides that a greater amount of compensation shall be subject to clawback, such other policy or agreement shall apply to the amount in excess of the amount subject to clawback under this Policy.</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This Policy shall be interpreted to comply with Securities and Exchange Commission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Rule 10D-1 and Listing Rule 5608 (the “</w:t>
      </w:r>
      <w:r>
        <w:rPr>
          <w:rFonts w:ascii="Times New Roman" w:cs="Times New Roman" w:eastAsia="Times New Roman" w:hAnsi="Times New Roman"/>
          <w:sz w:val="19"/>
          <w:szCs w:val="19"/>
          <w:b w:val="1"/>
          <w:bCs w:val="1"/>
          <w:color w:val="auto"/>
        </w:rPr>
        <w:t>Listing Rule</w:t>
      </w:r>
      <w:r>
        <w:rPr>
          <w:rFonts w:ascii="Times New Roman" w:cs="Times New Roman" w:eastAsia="Times New Roman" w:hAnsi="Times New Roman"/>
          <w:sz w:val="19"/>
          <w:szCs w:val="19"/>
          <w:color w:val="auto"/>
        </w:rPr>
        <w:t>”) of The Nasdaq Stock Market, LLC (“</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as may be amended or supplemented and interpreted from time to time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by Nasdaq. To the extent this Policy is in any manner deemed inconsistent with the Listing Rule, this Policy shall be treated as having been amended to be compliant with the Listing Rule.</w:t>
      </w:r>
    </w:p>
    <w:p>
      <w:pPr>
        <w:spacing w:after="0" w:line="18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Unless the context indicates otherwise the following definitions apply for purposes of this Policy:</w:t>
      </w:r>
    </w:p>
    <w:p>
      <w:pPr>
        <w:spacing w:after="0" w:line="215" w:lineRule="exact"/>
        <w:rPr>
          <w:rFonts w:ascii="Times New Roman" w:cs="Times New Roman" w:eastAsia="Times New Roman" w:hAnsi="Times New Roman"/>
          <w:sz w:val="20"/>
          <w:szCs w:val="20"/>
          <w:b w:val="1"/>
          <w:bCs w:val="1"/>
          <w:color w:val="auto"/>
        </w:rPr>
      </w:pPr>
    </w:p>
    <w:p>
      <w:pPr>
        <w:jc w:val="both"/>
        <w:ind w:firstLine="1304"/>
        <w:spacing w:after="0" w:line="214" w:lineRule="auto"/>
        <w:tabs>
          <w:tab w:leader="none" w:pos="19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An executive officer is the Company’s chief executive officer and/or president,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officer, principal accounting officer (or if there is no such accounting officer, the controller), any vice-president of the Company in charge of a principal business unit, division, or function (such as sales, administration, or finance), any other officer who performs a policy-</w:t>
      </w:r>
      <w:r>
        <w:rPr>
          <w:rFonts w:ascii="Times New Roman" w:cs="Times New Roman" w:eastAsia="Times New Roman" w:hAnsi="Times New Roman"/>
          <w:sz w:val="20"/>
          <w:szCs w:val="20"/>
          <w:color w:val="auto"/>
          <w:highlight w:val="white"/>
        </w:rPr>
        <w:t xml:space="preserve">making function, or any other person who performs similar policy-making functions for the Company. </w:t>
      </w:r>
      <w:r>
        <w:rPr>
          <w:rFonts w:ascii="Times New Roman" w:cs="Times New Roman" w:eastAsia="Times New Roman" w:hAnsi="Times New Roman"/>
          <w:sz w:val="20"/>
          <w:szCs w:val="20"/>
          <w:color w:val="auto"/>
        </w:rPr>
        <w:t>Executive officers of the Company’s</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parent(s) or subsidiaries are deemed executive officers of the Company if they perform such policy making functions for the Company. Policy-making function is not intended to include policy-making functions that are not significant. Identification of an executive officer for purposes of the Listing Rule would include at a minimum executive officers identified in the Listing Rule.</w:t>
      </w:r>
    </w:p>
    <w:p>
      <w:pPr>
        <w:spacing w:after="0" w:line="184"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Financial Reporting Measures</w:t>
      </w:r>
      <w:r>
        <w:rPr>
          <w:rFonts w:ascii="Times New Roman" w:cs="Times New Roman" w:eastAsia="Times New Roman" w:hAnsi="Times New Roman"/>
          <w:sz w:val="20"/>
          <w:szCs w:val="20"/>
          <w:color w:val="auto"/>
        </w:rPr>
        <w:t>. Financial reporting measures are measures that are determined and presented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and may be such financial measures as may be determined by the Board or the Compensation Committee thereof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1304"/>
        <w:spacing w:after="0" w:line="245" w:lineRule="auto"/>
        <w:tabs>
          <w:tab w:leader="none" w:pos="19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Incentive-Based Compensation</w:t>
      </w:r>
      <w:r>
        <w:rPr>
          <w:rFonts w:ascii="Times New Roman" w:cs="Times New Roman" w:eastAsia="Times New Roman" w:hAnsi="Times New Roman"/>
          <w:sz w:val="20"/>
          <w:szCs w:val="20"/>
          <w:color w:val="auto"/>
        </w:rPr>
        <w:t>. Incentive-based compensation is any compensation that is granted, earned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based wholly or in part upon the attainment of a financial reporting measure.</w:t>
      </w:r>
    </w:p>
    <w:p>
      <w:pPr>
        <w:spacing w:after="0" w:line="17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Received</w:t>
      </w:r>
      <w:r>
        <w:rPr>
          <w:rFonts w:ascii="Times New Roman" w:cs="Times New Roman" w:eastAsia="Times New Roman" w:hAnsi="Times New Roman"/>
          <w:sz w:val="20"/>
          <w:szCs w:val="20"/>
          <w:color w:val="auto"/>
        </w:rPr>
        <w:t>. Incentive-based compensation is deemed “received” in the Company’s fiscal period during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measure specified in the incentive-based compensation award is attained, even if the payment or grant of the incentive-based compensation occurs after the end of that period.</w:t>
      </w:r>
    </w:p>
    <w:p>
      <w:pPr>
        <w:spacing w:after="0" w:line="1" w:lineRule="exact"/>
        <w:rPr>
          <w:rFonts w:ascii="Times New Roman" w:cs="Times New Roman" w:eastAsia="Times New Roman" w:hAnsi="Times New Roman"/>
          <w:sz w:val="20"/>
          <w:szCs w:val="20"/>
          <w:color w:val="auto"/>
        </w:rPr>
      </w:pPr>
    </w:p>
    <w:p>
      <w:pPr>
        <w:jc w:val="both"/>
        <w:ind w:firstLine="656"/>
        <w:spacing w:after="0" w:line="212" w:lineRule="auto"/>
        <w:tabs>
          <w:tab w:leader="none" w:pos="1296"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of this Policy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recovery of Incentive-Based Compensation from an Executive Officer as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apply only in the event that the Company is required to prepare an accounting restatement due to the material noncompliance of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Questions as to “materiality” will be made by the Compensation Committee in coordination with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-3250565</wp:posOffset>
            </wp:positionV>
            <wp:extent cx="7123430" cy="265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5" w:right="339" w:bottom="1440" w:gutter="0" w:footer="0" w:header="0"/>
        </w:sectPr>
      </w:pPr>
    </w:p>
    <w:bookmarkStart w:id="148" w:name="page149"/>
    <w:bookmarkEnd w:id="148"/>
    <w:p>
      <w:pPr>
        <w:ind w:left="1300" w:hanging="644"/>
        <w:spacing w:after="0"/>
        <w:tabs>
          <w:tab w:leader="none" w:pos="13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Period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17" w:lineRule="auto"/>
        <w:tabs>
          <w:tab w:leader="none" w:pos="193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Incentive-Based Compensation subject to recovery is the Incentive-Based Compensation Received during the three (3) completed fiscal years immediately preceding the date that the Company is required to prepare an accounting restatement as described in Section 2 above, provided that the person served as an Executive Officer at any time during the performance period applicable to the Incentive-Based Compensation in question. The date that the Company is required to prepare an accounting restatement shall be determined pursuant to the Listing Rule.</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Policy shall only apply if the Incentive-Based Compensation is Received (i) while the Company has a class of securities listed on Nasdaq and (ii) on or after October 2, 2023.</w:t>
      </w:r>
    </w:p>
    <w:p>
      <w:pPr>
        <w:spacing w:after="0" w:line="174" w:lineRule="exact"/>
        <w:rPr>
          <w:rFonts w:ascii="Times New Roman" w:cs="Times New Roman" w:eastAsia="Times New Roman" w:hAnsi="Times New Roman"/>
          <w:sz w:val="20"/>
          <w:szCs w:val="20"/>
          <w:color w:val="auto"/>
        </w:rPr>
      </w:pPr>
    </w:p>
    <w:p>
      <w:pPr>
        <w:ind w:firstLine="1304"/>
        <w:spacing w:after="0"/>
        <w:tabs>
          <w:tab w:leader="none" w:pos="193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 Listing Rule shall apply with respect to Incentive-Based Compensation received during a transition period arising due to a change in the Company’s fiscal year.</w:t>
      </w:r>
    </w:p>
    <w:p>
      <w:pPr>
        <w:spacing w:after="0" w:line="184"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6"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Erroneously Awarded Compensation</w:t>
      </w:r>
      <w:r>
        <w:rPr>
          <w:rFonts w:ascii="Times New Roman" w:cs="Times New Roman" w:eastAsia="Times New Roman" w:hAnsi="Times New Roman"/>
          <w:sz w:val="20"/>
          <w:szCs w:val="20"/>
          <w:color w:val="auto"/>
        </w:rPr>
        <w:t>. The amount of Incentive-Based Compensation subject to recovery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Executive Officers under this Policy (“</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shall be equal to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shall be based on a reasonable estimate by the Company’s Chief Financial Officer (or principal accounting officer, if the office of Chief Financial Officer is not then filled) of the effect of the accounting restatement on the stock price or total shareholder return upon which the Incentive-Based Compensation was received, which estimate shall be subject to the review and approval of the Compensation Committee; and (b) the Company must maintain reasonable documentation of the determination of that reasonable estimate and provide such documentation to Nasdaq if requested. Notwithstanding the foregoing, if the proposed Incentive-Based Compensation recovery would affect compensation paid to the Company’s Chief Financial Officer, the determination shall be made by the Compensation Committee.</w:t>
      </w:r>
    </w:p>
    <w:p>
      <w:pPr>
        <w:spacing w:after="0" w:line="179" w:lineRule="exact"/>
        <w:rPr>
          <w:rFonts w:ascii="Times New Roman" w:cs="Times New Roman" w:eastAsia="Times New Roman" w:hAnsi="Times New Roman"/>
          <w:sz w:val="20"/>
          <w:szCs w:val="20"/>
          <w:b w:val="1"/>
          <w:bCs w:val="1"/>
          <w:color w:val="auto"/>
        </w:rPr>
      </w:pPr>
    </w:p>
    <w:p>
      <w:pPr>
        <w:jc w:val="both"/>
        <w:ind w:firstLine="656"/>
        <w:spacing w:after="0" w:line="219" w:lineRule="auto"/>
        <w:tabs>
          <w:tab w:leader="none" w:pos="1296"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Timing of Recovery</w:t>
      </w:r>
      <w:r>
        <w:rPr>
          <w:rFonts w:ascii="Times New Roman" w:cs="Times New Roman" w:eastAsia="Times New Roman" w:hAnsi="Times New Roman"/>
          <w:sz w:val="20"/>
          <w:szCs w:val="20"/>
          <w:color w:val="auto"/>
        </w:rPr>
        <w:t>. The Company shall recover any Erroneously Awarded Compensation reasonably promptly except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extent that the conditions of paragraphs (a), (b), or (c) below apply. The Compensation Committee shall determine the repayment schedule for each amount of Erroneously Awarded Compensation in a manner that complies with this “reasonably promptly” requirement. Such determination shall be consistent with any applicable legal guidance by the SEC, Nasdaq, judicial opinion, or otherwise. The determination of “reasonably promptly” may vary from case to case and the Compensation Committee is authorized to adopt additional rules or policies to further describe what repayment schedules satisfy this requirement.</w:t>
      </w:r>
    </w:p>
    <w:p>
      <w:pPr>
        <w:spacing w:after="0" w:line="175" w:lineRule="exact"/>
        <w:rPr>
          <w:rFonts w:ascii="Times New Roman" w:cs="Times New Roman" w:eastAsia="Times New Roman" w:hAnsi="Times New Roman"/>
          <w:sz w:val="20"/>
          <w:szCs w:val="20"/>
          <w:b w:val="1"/>
          <w:bCs w:val="1"/>
          <w:color w:val="auto"/>
        </w:rPr>
      </w:pPr>
    </w:p>
    <w:p>
      <w:pPr>
        <w:jc w:val="both"/>
        <w:ind w:firstLine="1304"/>
        <w:spacing w:after="0" w:line="218" w:lineRule="auto"/>
        <w:tabs>
          <w:tab w:leader="none" w:pos="193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need not be recovered if the direct expense paid to a third party to assist in enforcing (or making determinations in connection with the enforcement of) this Policy would exceed the amount to be recovered and the Compensation Committee has made a determination that recovery would be impracticable. Before concluding that it would be impracticable to recover any amount of Erroneously Awarded Compensation based on expense of enforcement, the Company shall (i) make a reasonable attempt to recover such Erroneously Awarded Compensation, (ii) document such reasonable attempt or attempts to recover, and (iii) provide appropriate documentation to the Compensation Committee or Nasdaq, if requested.</w:t>
      </w:r>
    </w:p>
    <w:p>
      <w:pPr>
        <w:spacing w:after="0" w:line="17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a violation of home country law, the Company shall obtain an opinion of home country counsel, in form and substance that would be reasonably acceptable to Nasdaq, that recovery would result in such a violation and shall provide such opinion to Nasdaq,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49" w:name="page150"/>
    <w:bookmarkEnd w:id="149"/>
    <w:p>
      <w:pPr>
        <w:jc w:val="both"/>
        <w:ind w:firstLine="1304"/>
        <w:spacing w:after="0" w:line="226" w:lineRule="auto"/>
        <w:tabs>
          <w:tab w:leader="none" w:pos="193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the regulations thereunder (as such provision may be amended, modified or supplemented).</w:t>
      </w:r>
    </w:p>
    <w:p>
      <w:pPr>
        <w:spacing w:after="0" w:line="183" w:lineRule="exact"/>
        <w:rPr>
          <w:rFonts w:ascii="Times New Roman" w:cs="Times New Roman" w:eastAsia="Times New Roman" w:hAnsi="Times New Roman"/>
          <w:sz w:val="20"/>
          <w:szCs w:val="20"/>
          <w:color w:val="auto"/>
        </w:rPr>
      </w:pPr>
    </w:p>
    <w:p>
      <w:pPr>
        <w:ind w:right="20" w:firstLine="656"/>
        <w:spacing w:after="0" w:line="217" w:lineRule="auto"/>
        <w:tabs>
          <w:tab w:leader="none" w:pos="1296"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Committee Decisions</w:t>
      </w:r>
      <w:r>
        <w:rPr>
          <w:rFonts w:ascii="Times New Roman" w:cs="Times New Roman" w:eastAsia="Times New Roman" w:hAnsi="Times New Roman"/>
          <w:sz w:val="20"/>
          <w:szCs w:val="20"/>
          <w:color w:val="auto"/>
        </w:rPr>
        <w:t>. Decisions of the Compensation Committee with respect to this Policy shall be final,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conclusive and binding on all Executive Officers subject to this Policy.</w:t>
      </w:r>
    </w:p>
    <w:p>
      <w:pPr>
        <w:spacing w:after="0" w:line="1"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96"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w:t>
      </w:r>
      <w:r>
        <w:rPr>
          <w:rFonts w:ascii="Times New Roman" w:cs="Times New Roman" w:eastAsia="Times New Roman" w:hAnsi="Times New Roman"/>
          <w:sz w:val="20"/>
          <w:szCs w:val="20"/>
          <w:color w:val="auto"/>
        </w:rPr>
        <w:t>. Notwithstanding anything to the contrary in any other policy of the Company or any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Company and an Executive Officer, no Executive Officer shall be indemnified by the Company against the loss arising from the recovery of any Erroneously Awarded Compensation.</w:t>
      </w:r>
    </w:p>
    <w:p>
      <w:pPr>
        <w:spacing w:after="0" w:line="169"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96"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Agreement to Policy by Executive Officers</w:t>
      </w:r>
      <w:r>
        <w:rPr>
          <w:rFonts w:ascii="Times New Roman" w:cs="Times New Roman" w:eastAsia="Times New Roman" w:hAnsi="Times New Roman"/>
          <w:sz w:val="20"/>
          <w:szCs w:val="20"/>
          <w:color w:val="auto"/>
        </w:rPr>
        <w:t>. The Company shall take reasonable steps to inform Executive Officers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and obtain their express agreement to this Policy, which steps may constitute the inclusion of this Policy as an attachment to any award that is accepted by an Executive Officer. This Policy shall be deemed to apply to each employment or grant agreement between the Company or any of its subsidiaries and any Executive Officer subject to this Policy.</w:t>
      </w:r>
    </w:p>
    <w:p>
      <w:pPr>
        <w:spacing w:after="0" w:line="200" w:lineRule="exact"/>
        <w:rPr>
          <w:rFonts w:ascii="Times New Roman" w:cs="Times New Roman" w:eastAsia="Times New Roman" w:hAnsi="Times New Roman"/>
          <w:sz w:val="20"/>
          <w:szCs w:val="20"/>
          <w:b w:val="1"/>
          <w:bCs w:val="1"/>
          <w:color w:val="auto"/>
        </w:rPr>
      </w:pPr>
    </w:p>
    <w:p>
      <w:pPr>
        <w:spacing w:after="0" w:line="231" w:lineRule="exact"/>
        <w:rPr>
          <w:rFonts w:ascii="Times New Roman" w:cs="Times New Roman" w:eastAsia="Times New Roman" w:hAnsi="Times New Roman"/>
          <w:sz w:val="20"/>
          <w:szCs w:val="20"/>
          <w:b w:val="1"/>
          <w:bCs w:val="1"/>
          <w:color w:val="auto"/>
        </w:rPr>
      </w:pPr>
    </w:p>
    <w:p>
      <w:pPr>
        <w:ind w:left="5580" w:hanging="154"/>
        <w:spacing w:after="0"/>
        <w:tabs>
          <w:tab w:leader="none" w:pos="558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color w:val="auto"/>
        </w:rPr>
        <w:t>{01300560.DOCX.2}</w:t>
      </w:r>
      <w:r>
        <w:rPr>
          <w:sz w:val="20"/>
          <w:szCs w:val="20"/>
          <w:color w:val="auto"/>
        </w:rPr>
        <w:tab/>
      </w:r>
      <w:r>
        <w:rPr>
          <w:rFonts w:ascii="Times New Roman" w:cs="Times New Roman" w:eastAsia="Times New Roman" w:hAnsi="Times New Roman"/>
          <w:sz w:val="20"/>
          <w:szCs w:val="20"/>
          <w:color w:val="auto"/>
        </w:rPr>
        <w:t>3</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Roman"/>
      <w:start w:val="4"/>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Roman"/>
      <w:start w:val="3"/>
    </w:lvl>
  </w:abstractNum>
  <w:abstractNum w:abstractNumId="38">
    <w:nsid w:val="749ABB43"/>
    <w:multiLevelType w:val="hybridMultilevel"/>
    <w:lvl w:ilvl="0">
      <w:lvlJc w:val="left"/>
      <w:lvlText w:val="A"/>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lowerRoman"/>
      <w:start w:val="3"/>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1"/>
    </w:lvl>
    <w:lvl w:ilvl="1">
      <w:lvlJc w:val="left"/>
      <w:lvlText w:val="%2."/>
      <w:numFmt w:val="decimal"/>
      <w:start w:val="1"/>
    </w:lvl>
  </w:abstractNum>
  <w:abstractNum w:abstractNumId="50">
    <w:nsid w:val="275AC794"/>
    <w:multiLevelType w:val="hybridMultilevel"/>
    <w:lvl w:ilvl="0">
      <w:lvlJc w:val="left"/>
      <w:lvlText w:val="%1"/>
      <w:numFmt w:val="decimal"/>
      <w:start w:val="104"/>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3"/>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60">
    <w:nsid w:val="10233C99"/>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90"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169" Type="http://schemas.openxmlformats.org/officeDocument/2006/relationships/hyperlink" Target="https://www.sec.gov/Archives/edgar/data/1840856/000121390023093913/ea189490ex2-1_soundhoun.htm" TargetMode="External"/><Relationship Id="rId170" Type="http://schemas.openxmlformats.org/officeDocument/2006/relationships/hyperlink" Target="https://www.sec.gov/ix?doc=/Archives/edgar/data/0001840856/000121390024066351/ea0210680-8k_sound.htm" TargetMode="External"/><Relationship Id="rId171" Type="http://schemas.openxmlformats.org/officeDocument/2006/relationships/hyperlink" Target="http://www.sec.gov/Archives/edgar/data/1840856/000121390022023274/ea159193ex3-1_soundhound.htm" TargetMode="External"/><Relationship Id="rId172" Type="http://schemas.openxmlformats.org/officeDocument/2006/relationships/hyperlink" Target="http://www.sec.gov/Archives/edgar/data/1840856/000121390022023274/ea159193ex3-2_soundhound.htm" TargetMode="External"/><Relationship Id="rId173" Type="http://schemas.openxmlformats.org/officeDocument/2006/relationships/hyperlink" Target="https://www.sec.gov/Archives/edgar/data/1840856/000184085623000008/a31preferredstockcertifica.htm" TargetMode="External"/><Relationship Id="rId174" Type="http://schemas.openxmlformats.org/officeDocument/2006/relationships/hyperlink" Target="http://www.sec.gov/Archives/edgar/data/1840856/000121390022023274/ea159193ex4-1_soundhound.htm" TargetMode="External"/><Relationship Id="rId175" Type="http://schemas.openxmlformats.org/officeDocument/2006/relationships/hyperlink" Target="http://www.sec.gov/Archives/edgar/data/1840856/000121390022026797/fs12022ex4-2_soundhound.htm" TargetMode="External"/><Relationship Id="rId176" Type="http://schemas.openxmlformats.org/officeDocument/2006/relationships/hyperlink" Target="http://www.sec.gov/Archives/edgar/data/1840856/000121390022026797/fs12022ex4-3_soundhound.htm" TargetMode="External"/><Relationship Id="rId177" Type="http://schemas.openxmlformats.org/officeDocument/2006/relationships/hyperlink" Target="https://www.sec.gov/ix?doc=/Archives/edgar/data/1840856/000184085623000031/soun-20230331.htm" TargetMode="External"/><Relationship Id="rId178" Type="http://schemas.openxmlformats.org/officeDocument/2006/relationships/hyperlink" Target="https://www.sec.gov/ix?doc=/Archives/edgar/data/1840856/000184085623000019/soun-20221231.htm" TargetMode="External"/><Relationship Id="rId179" Type="http://schemas.openxmlformats.org/officeDocument/2006/relationships/hyperlink" Target="http://www.sec.gov/Archives/edgar/data/1840856/000121390022018967/f424b30422_archimedes.htm#T601" TargetMode="External"/><Relationship Id="rId180" Type="http://schemas.openxmlformats.org/officeDocument/2006/relationships/hyperlink" Target="http://www.sec.gov/Archives/edgar/data/1840856/000121390022018967/f424b30422_archimedes.htm#T602" TargetMode="External"/><Relationship Id="rId181" Type="http://schemas.openxmlformats.org/officeDocument/2006/relationships/hyperlink" Target="http://www.sec.gov/Archives/edgar/data/1840856/000121390022023274/ea159193ex10-8_soundhound.htm" TargetMode="External"/><Relationship Id="rId182" Type="http://schemas.openxmlformats.org/officeDocument/2006/relationships/hyperlink" Target="http://www.sec.gov/Archives/edgar/data/1840856/000121390022023274/ea159193ex10-9_soundhound.htm" TargetMode="External"/><Relationship Id="rId183" Type="http://schemas.openxmlformats.org/officeDocument/2006/relationships/hyperlink" Target="http://www.sec.gov/Archives/edgar/data/1840856/000121390022023274/ea159193ex10-10_soundhound.htm" TargetMode="External"/><Relationship Id="rId184" Type="http://schemas.openxmlformats.org/officeDocument/2006/relationships/hyperlink" Target="http://www.sec.gov/Archives/edgar/data/1840856/000121390022031794/ea161309ex10-1_soundhound.htm" TargetMode="External"/><Relationship Id="rId185" Type="http://schemas.openxmlformats.org/officeDocument/2006/relationships/hyperlink" Target="http://www.sec.gov/Archives/edgar/data/1840856/000121390022031794/ea161309ex10-2_soundhound.htm" TargetMode="External"/><Relationship Id="rId186" Type="http://schemas.openxmlformats.org/officeDocument/2006/relationships/hyperlink" Target="http://www.sec.gov/Archives/edgar/data/1840856/000121390022031794/ea161309ex10-3_soundhound.htm" TargetMode="External"/><Relationship Id="rId187" Type="http://schemas.openxmlformats.org/officeDocument/2006/relationships/hyperlink" Target="http://www.sec.gov/Archives/edgar/data/1840856/000121390022031794/ea161309ex10-4_soundhound.htm" TargetMode="External"/><Relationship Id="rId188" Type="http://schemas.openxmlformats.org/officeDocument/2006/relationships/hyperlink" Target="https://www.sec.gov/Archives/edgar/data/1840856/000121390023059229/ea181770-s3_soundhound.htm" TargetMode="External"/><Relationship Id="rId189" Type="http://schemas.openxmlformats.org/officeDocument/2006/relationships/hyperlink" Target="https://www.sec.gov/Archives/edgar/data/1840856/000121390024094224/ea021867701ex4-1_soundhound.htm" TargetMode="External"/><Relationship Id="rId191" Type="http://schemas.openxmlformats.org/officeDocument/2006/relationships/hyperlink" Target="https://www.sec.gov/Archives/edgar/data/1840856/000121390024094224/ea021867701ex4-2_soundhound.htm" TargetMode="External"/><Relationship Id="rId192" Type="http://schemas.openxmlformats.org/officeDocument/2006/relationships/hyperlink" Target="https://www.sec.gov/Archives/edgar/data/1840856/000121390024094224/ea021867701ex4-3_soundhound.htm" TargetMode="External"/><Relationship Id="rId193" Type="http://schemas.openxmlformats.org/officeDocument/2006/relationships/hyperlink" Target="https://www.sec.gov/Archives/edgar/data/1840856/000121390024031710/ea020347901ex1-1_sound.htm" TargetMode="External"/><Relationship Id="rId194" Type="http://schemas.openxmlformats.org/officeDocument/2006/relationships/hyperlink" Target="https://www.sec.gov/Archives/edgar/data/1840856/000121390024095993/ea022045801ex1-1_sound.htm" TargetMode="External"/><Relationship Id="rId195" Type="http://schemas.openxmlformats.org/officeDocument/2006/relationships/hyperlink" Target="https://www.sec.gov/Archives/edgar/data/1840856/000121390025007125/ea022848001ex10-1_sound.htm" TargetMode="External"/><Relationship Id="rId196" Type="http://schemas.openxmlformats.org/officeDocument/2006/relationships/hyperlink" Target="https://www.sec.gov/Archives/edgar/data/1840856/000184085624000013/soun-20231231x10kxexx1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2025-03-11T05:23:25Z</dcterms:created>
  <dcterms:modified xsi:type="dcterms:W3CDTF">2025-03-11T05:23:25Z</dcterms:modified>
</cp:coreProperties>
</file>