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10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320" w:type="dxa"/>
            <w:vAlign w:val="bottom"/>
          </w:tcPr>
          <w:p>
            <w:pPr>
              <w:ind w:left="420"/>
              <w:spacing w:after="0"/>
              <w:rPr>
                <w:sz w:val="20"/>
                <w:szCs w:val="20"/>
                <w:color w:val="auto"/>
              </w:rPr>
            </w:pPr>
            <w:r>
              <w:rPr>
                <w:rFonts w:ascii="Arial" w:cs="Arial" w:eastAsia="Arial" w:hAnsi="Arial"/>
                <w:sz w:val="18"/>
                <w:szCs w:val="18"/>
                <w:b w:val="1"/>
                <w:bCs w:val="1"/>
                <w:color w:val="auto"/>
              </w:rPr>
              <w:t>FORM 12b-25</w:t>
            </w:r>
          </w:p>
        </w:tc>
        <w:tc>
          <w:tcPr>
            <w:tcW w:w="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5520" w:type="dxa"/>
            <w:vAlign w:val="bottom"/>
            <w:tcBorders>
              <w:right w:val="single" w:sz="8" w:color="auto"/>
            </w:tcBorders>
            <w:gridSpan w:val="2"/>
          </w:tcPr>
          <w:p>
            <w:pPr>
              <w:ind w:left="800"/>
              <w:spacing w:after="0" w:line="195" w:lineRule="exact"/>
              <w:rPr>
                <w:sz w:val="20"/>
                <w:szCs w:val="20"/>
                <w:color w:val="auto"/>
              </w:rPr>
            </w:pPr>
            <w:r>
              <w:rPr>
                <w:rFonts w:ascii="Arial" w:cs="Arial" w:eastAsia="Arial" w:hAnsi="Arial"/>
                <w:sz w:val="18"/>
                <w:szCs w:val="18"/>
                <w:b w:val="1"/>
                <w:bCs w:val="1"/>
                <w:color w:val="auto"/>
              </w:rPr>
              <w:t>NOTIFICATION OF LATE FILING</w:t>
            </w:r>
          </w:p>
        </w:tc>
        <w:tc>
          <w:tcPr>
            <w:tcW w:w="80" w:type="dxa"/>
            <w:vAlign w:val="bottom"/>
          </w:tcPr>
          <w:p>
            <w:pPr>
              <w:spacing w:after="0"/>
              <w:rPr>
                <w:sz w:val="16"/>
                <w:szCs w:val="16"/>
                <w:color w:val="auto"/>
              </w:rPr>
            </w:pPr>
          </w:p>
        </w:tc>
        <w:tc>
          <w:tcPr>
            <w:tcW w:w="2380" w:type="dxa"/>
            <w:vAlign w:val="bottom"/>
            <w:tcBorders>
              <w:right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95"/>
              </w:rPr>
              <w:t>SEC FILE NUMBER</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320" w:type="dxa"/>
            <w:vAlign w:val="bottom"/>
            <w:tcBorders>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gridSpan w:val="2"/>
          </w:tcPr>
          <w:p>
            <w:pPr>
              <w:jc w:val="right"/>
              <w:ind w:right="770"/>
              <w:spacing w:after="0"/>
              <w:rPr>
                <w:sz w:val="20"/>
                <w:szCs w:val="20"/>
                <w:color w:val="auto"/>
              </w:rPr>
            </w:pPr>
            <w:r>
              <w:rPr>
                <w:rFonts w:ascii="Arial" w:cs="Arial" w:eastAsia="Arial" w:hAnsi="Arial"/>
                <w:sz w:val="18"/>
                <w:szCs w:val="18"/>
                <w:color w:val="auto"/>
              </w:rPr>
              <w:t>001-40193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8480" w:type="dxa"/>
            <w:vAlign w:val="bottom"/>
            <w:gridSpan w:val="3"/>
            <w:vMerge w:val="restart"/>
          </w:tcPr>
          <w:p>
            <w:pPr>
              <w:spacing w:after="0" w:line="207" w:lineRule="exact"/>
              <w:rPr>
                <w:sz w:val="20"/>
                <w:szCs w:val="20"/>
                <w:color w:val="auto"/>
              </w:rPr>
            </w:pPr>
            <w:r>
              <w:rPr>
                <w:rFonts w:ascii="Arial" w:cs="Arial" w:eastAsia="Arial" w:hAnsi="Arial"/>
                <w:sz w:val="18"/>
                <w:szCs w:val="18"/>
                <w:i w:val="1"/>
                <w:iCs w:val="1"/>
                <w:color w:val="auto"/>
              </w:rPr>
              <w:t>(Check One)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w:t>
            </w:r>
            <w:r>
              <w:rPr>
                <w:rFonts w:ascii="Arial" w:cs="Arial" w:eastAsia="Arial" w:hAnsi="Arial"/>
                <w:sz w:val="18"/>
                <w:szCs w:val="18"/>
                <w:i w:val="1"/>
                <w:iCs w:val="1"/>
                <w:color w:val="auto"/>
              </w:rPr>
              <w:t xml:space="preserve"> </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Form 20-F</w:t>
            </w:r>
            <w:r>
              <w:rPr>
                <w:rFonts w:ascii="Arial" w:cs="Arial" w:eastAsia="Arial" w:hAnsi="Arial"/>
                <w:sz w:val="18"/>
                <w:szCs w:val="18"/>
                <w:i w:val="1"/>
                <w:iCs w:val="1"/>
                <w:color w:val="auto"/>
              </w:rPr>
              <w:t xml:space="preserve"> </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Form 11-K</w:t>
            </w:r>
            <w:r>
              <w:rPr>
                <w:rFonts w:ascii="Arial" w:cs="Arial" w:eastAsia="Arial" w:hAnsi="Arial"/>
                <w:sz w:val="18"/>
                <w:szCs w:val="18"/>
                <w:i w:val="1"/>
                <w:iCs w:val="1"/>
                <w:color w:val="auto"/>
              </w:rPr>
              <w:t xml:space="preserve"> </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Form 10-Q</w:t>
            </w:r>
            <w:r>
              <w:rPr>
                <w:rFonts w:ascii="Arial" w:cs="Arial" w:eastAsia="Arial" w:hAnsi="Arial"/>
                <w:sz w:val="18"/>
                <w:szCs w:val="18"/>
                <w:i w:val="1"/>
                <w:iCs w:val="1"/>
                <w:color w:val="auto"/>
              </w:rPr>
              <w:t xml:space="preserve"> </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Form 10D</w:t>
            </w:r>
          </w:p>
        </w:tc>
        <w:tc>
          <w:tcPr>
            <w:tcW w:w="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480" w:type="dxa"/>
            <w:vAlign w:val="bottom"/>
            <w:gridSpan w:val="3"/>
            <w:vMerge w:val="continue"/>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380" w:type="dxa"/>
            <w:vAlign w:val="bottom"/>
          </w:tcPr>
          <w:p>
            <w:pPr>
              <w:jc w:val="center"/>
              <w:ind w:left="90"/>
              <w:spacing w:after="0" w:line="156" w:lineRule="exact"/>
              <w:rPr>
                <w:sz w:val="20"/>
                <w:szCs w:val="20"/>
                <w:color w:val="auto"/>
              </w:rPr>
            </w:pPr>
            <w:r>
              <w:rPr>
                <w:rFonts w:ascii="Arial" w:cs="Arial" w:eastAsia="Arial" w:hAnsi="Arial"/>
                <w:sz w:val="18"/>
                <w:szCs w:val="18"/>
                <w:color w:val="auto"/>
                <w:w w:val="95"/>
              </w:rPr>
              <w:t>CUSIP NUMBER</w:t>
            </w: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N-SAR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tc>
        <w:tc>
          <w:tcPr>
            <w:tcW w:w="80" w:type="dxa"/>
            <w:vAlign w:val="bottom"/>
            <w:tcBorders>
              <w:right w:val="single" w:sz="8" w:color="auto"/>
            </w:tcBorders>
          </w:tcPr>
          <w:p>
            <w:pPr>
              <w:spacing w:after="0"/>
              <w:rPr>
                <w:sz w:val="18"/>
                <w:szCs w:val="18"/>
                <w:color w:val="auto"/>
              </w:rPr>
            </w:pPr>
          </w:p>
        </w:tc>
        <w:tc>
          <w:tcPr>
            <w:tcW w:w="2380" w:type="dxa"/>
            <w:vAlign w:val="bottom"/>
          </w:tcPr>
          <w:p>
            <w:pPr>
              <w:jc w:val="right"/>
              <w:ind w:right="610"/>
              <w:spacing w:after="0"/>
              <w:rPr>
                <w:sz w:val="20"/>
                <w:szCs w:val="20"/>
                <w:color w:val="auto"/>
              </w:rPr>
            </w:pPr>
            <w:r>
              <w:rPr>
                <w:rFonts w:ascii="Arial" w:cs="Arial" w:eastAsia="Arial" w:hAnsi="Arial"/>
                <w:sz w:val="18"/>
                <w:szCs w:val="18"/>
                <w:b w:val="1"/>
                <w:bCs w:val="1"/>
                <w:color w:val="auto"/>
              </w:rPr>
              <w:t>039562202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480" w:type="dxa"/>
            <w:vAlign w:val="bottom"/>
            <w:gridSpan w:val="3"/>
          </w:tcPr>
          <w:p>
            <w:pPr>
              <w:ind w:left="1600"/>
              <w:spacing w:after="0"/>
              <w:rPr>
                <w:sz w:val="20"/>
                <w:szCs w:val="20"/>
                <w:color w:val="auto"/>
              </w:rPr>
            </w:pPr>
            <w:r>
              <w:rPr>
                <w:rFonts w:ascii="Arial" w:cs="Arial" w:eastAsia="Arial" w:hAnsi="Arial"/>
                <w:sz w:val="18"/>
                <w:szCs w:val="18"/>
                <w:color w:val="auto"/>
              </w:rPr>
              <w:t>For Period Ended: March 31, 2021</w:t>
            </w: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480" w:type="dxa"/>
            <w:vAlign w:val="bottom"/>
            <w:gridSpan w:val="3"/>
          </w:tcPr>
          <w:p>
            <w:pPr>
              <w:ind w:left="1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on Form 10-K</w:t>
            </w: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gridSpan w:val="3"/>
          </w:tcPr>
          <w:p>
            <w:pPr>
              <w:ind w:left="1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on Form 20-F</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3"/>
          </w:tcPr>
          <w:p>
            <w:pPr>
              <w:ind w:left="1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on Form 11-K</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3"/>
          </w:tcPr>
          <w:p>
            <w:pPr>
              <w:ind w:left="1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on Form 10-Q</w:t>
            </w: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480" w:type="dxa"/>
            <w:vAlign w:val="bottom"/>
            <w:gridSpan w:val="3"/>
          </w:tcPr>
          <w:p>
            <w:pPr>
              <w:ind w:left="1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on Form N-SAR</w:t>
            </w: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480" w:type="dxa"/>
            <w:vAlign w:val="bottom"/>
            <w:gridSpan w:val="3"/>
          </w:tcPr>
          <w:p>
            <w:pPr>
              <w:ind w:left="1600"/>
              <w:spacing w:after="0"/>
              <w:rPr>
                <w:sz w:val="20"/>
                <w:szCs w:val="20"/>
                <w:color w:val="auto"/>
              </w:rPr>
            </w:pPr>
            <w:r>
              <w:rPr>
                <w:rFonts w:ascii="Arial" w:cs="Arial" w:eastAsia="Arial" w:hAnsi="Arial"/>
                <w:sz w:val="18"/>
                <w:szCs w:val="18"/>
                <w:color w:val="auto"/>
              </w:rPr>
              <w:t>For the Transition Period Ended:</w:t>
            </w: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Read attached instruction sheet before preparing form. Please Print or Type.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Nothing in this form shall be construed to imply that the Commission has verified any information contained herein.</w:t>
      </w:r>
    </w:p>
    <w:p>
      <w:pPr>
        <w:spacing w:after="0" w:line="224" w:lineRule="exact"/>
        <w:rPr>
          <w:sz w:val="24"/>
          <w:szCs w:val="24"/>
          <w:color w:val="auto"/>
        </w:rPr>
      </w:pPr>
    </w:p>
    <w:p>
      <w:pPr>
        <w:ind w:left="60"/>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PART I - REGISTRANT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4"/>
          <w:szCs w:val="24"/>
          <w:color w:val="auto"/>
        </w:rPr>
      </w:pPr>
    </w:p>
    <w:p>
      <w:pPr>
        <w:ind w:left="60"/>
        <w:spacing w:after="0"/>
        <w:rPr>
          <w:sz w:val="20"/>
          <w:szCs w:val="20"/>
          <w:color w:val="auto"/>
        </w:rPr>
      </w:pPr>
      <w:r>
        <w:rPr>
          <w:rFonts w:ascii="Arial" w:cs="Arial" w:eastAsia="Arial" w:hAnsi="Arial"/>
          <w:sz w:val="18"/>
          <w:szCs w:val="18"/>
          <w:color w:val="auto"/>
        </w:rPr>
        <w:t>Full Name of Registrant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Former Name if Applicable</w:t>
      </w:r>
    </w:p>
    <w:p>
      <w:pPr>
        <w:spacing w:after="0" w:line="238" w:lineRule="exact"/>
        <w:rPr>
          <w:sz w:val="24"/>
          <w:szCs w:val="24"/>
          <w:color w:val="auto"/>
        </w:rPr>
      </w:pPr>
    </w:p>
    <w:p>
      <w:pPr>
        <w:ind w:left="60"/>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2093 Philadelphia Pike #1968</w:t>
      </w:r>
    </w:p>
    <w:p>
      <w:pPr>
        <w:spacing w:after="0" w:line="22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Claymont, DE 19703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RULES 12b-25(b) AND (c)</w:t>
      </w:r>
    </w:p>
    <w:p>
      <w:pPr>
        <w:spacing w:after="0" w:line="211" w:lineRule="exact"/>
        <w:rPr>
          <w:sz w:val="24"/>
          <w:szCs w:val="24"/>
          <w:color w:val="auto"/>
        </w:rPr>
      </w:pPr>
    </w:p>
    <w:p>
      <w:pPr>
        <w:jc w:val="center"/>
        <w:ind w:left="340" w:right="22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4"/>
          <w:szCs w:val="24"/>
          <w:color w:val="auto"/>
        </w:rPr>
      </w:pPr>
    </w:p>
    <w:p>
      <w:pPr>
        <w:ind w:left="1580" w:hanging="519"/>
        <w:spacing w:after="0"/>
        <w:tabs>
          <w:tab w:leader="none" w:pos="1580"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reasons described in reasonable detail in Part III of this form could not be eliminated without unreasonable effort or expense;</w:t>
      </w:r>
    </w:p>
    <w:p>
      <w:pPr>
        <w:spacing w:after="0" w:line="46" w:lineRule="exact"/>
        <w:rPr>
          <w:rFonts w:ascii="Arial" w:cs="Arial" w:eastAsia="Arial" w:hAnsi="Arial"/>
          <w:sz w:val="16"/>
          <w:szCs w:val="16"/>
          <w:color w:val="auto"/>
        </w:rPr>
      </w:pPr>
    </w:p>
    <w:p>
      <w:pPr>
        <w:ind w:left="1620" w:hanging="559"/>
        <w:spacing w:after="0"/>
        <w:tabs>
          <w:tab w:leader="none" w:pos="1620"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11-K, Form N-SAR or From N-CSR, or</w:t>
      </w:r>
    </w:p>
    <w:p>
      <w:pPr>
        <w:spacing w:after="0" w:line="32" w:lineRule="exact"/>
        <w:rPr>
          <w:rFonts w:ascii="Arial" w:cs="Arial" w:eastAsia="Arial" w:hAnsi="Arial"/>
          <w:sz w:val="16"/>
          <w:szCs w:val="16"/>
          <w:color w:val="auto"/>
        </w:rPr>
      </w:pPr>
    </w:p>
    <w:p>
      <w:pPr>
        <w:ind w:left="1460" w:right="60" w:hanging="1141"/>
        <w:spacing w:after="0" w:line="250" w:lineRule="auto"/>
        <w:rPr>
          <w:rFonts w:ascii="Arial" w:cs="Arial" w:eastAsia="Arial" w:hAnsi="Arial"/>
          <w:sz w:val="16"/>
          <w:szCs w:val="16"/>
          <w:color w:val="auto"/>
        </w:rPr>
      </w:pPr>
      <w:r>
        <w:rPr>
          <w:rFonts w:ascii="Arial" w:cs="Arial" w:eastAsia="Arial" w:hAnsi="Arial"/>
          <w:sz w:val="64"/>
          <w:szCs w:val="64"/>
          <w:color w:val="auto"/>
          <w:vertAlign w:val="subscript"/>
        </w:rPr>
        <w:t>x</w:t>
      </w:r>
      <w:r>
        <w:rPr>
          <w:rFonts w:ascii="Arial" w:cs="Arial" w:eastAsia="Arial" w:hAnsi="Arial"/>
          <w:sz w:val="18"/>
          <w:szCs w:val="18"/>
          <w:color w:val="auto"/>
        </w:rPr>
        <w:t>portion thereof, will be filed on or before the fifteenth calendar day following the prescribed due date; or the subject quarterly report of transition report on Form 10-Q or subject distribution report on Form 10-D, or portion thereof, will be filed on or before the fifth calendar day following the prescribed due date; and</w:t>
      </w:r>
    </w:p>
    <w:p>
      <w:pPr>
        <w:spacing w:after="0" w:line="1" w:lineRule="exact"/>
        <w:rPr>
          <w:rFonts w:ascii="Arial" w:cs="Arial" w:eastAsia="Arial" w:hAnsi="Arial"/>
          <w:sz w:val="16"/>
          <w:szCs w:val="16"/>
          <w:color w:val="auto"/>
        </w:rPr>
      </w:pPr>
    </w:p>
    <w:p>
      <w:pPr>
        <w:ind w:left="1580" w:hanging="519"/>
        <w:spacing w:after="0"/>
        <w:tabs>
          <w:tab w:leader="none" w:pos="158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510540</wp:posOffset>
            </wp:positionH>
            <wp:positionV relativeFrom="paragraph">
              <wp:posOffset>-816610</wp:posOffset>
            </wp:positionV>
            <wp:extent cx="8255" cy="822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State below in reasonable detail the reasons why Forms 10-K, 20-F, 11-K, 10-Q, 10-D, N-SAR, N-CSR, or the transition report or portion thereof, could not be filed within the prescribed time period.</w:t>
      </w:r>
    </w:p>
    <w:p>
      <w:pPr>
        <w:spacing w:after="0" w:line="17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On April 12, 2021, the Securities and Exchange Commission (the “SEC”) released a public statement (the “Public Statement”) informing market participants that warrants issued by special purpose acquisition companies (“SPACs”) may require classification as a liability of the entity measured at fair value, with changes in fair value each period reported in earnings. Archimedes Tech SPAC Partners Co. (the “Company”) has previously classified its private placement warrants and public warrants (collectively, the “warrants”) as equity. For a full description of the Company’s warrants, please refer to the Company’s final prospectus filed in connection with its initial public offering (“IPO”) on March 12, 2021 (“Final Prospectus”).</w:t>
      </w:r>
    </w:p>
    <w:p>
      <w:pPr>
        <w:spacing w:after="0" w:line="161"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The SEC’s Public Statement discussed “certain features of warrants issued in SPAC transactions” that “may be common across many entities.” The Public Statement indicated that when one or more of such features is included in a warrant, the warrant “should be classified as a liability measured at fair value, with changes in fair value each period reported in earnings.” Following consideration of the guidance in the Public Statement, the Company is evaluating whether its warrants meet the conditions to be classified in equity or whether the warrants should be classified as a liability.</w:t>
      </w:r>
    </w:p>
    <w:p>
      <w:pPr>
        <w:spacing w:after="0" w:line="15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a result of the considerable time and resources required to complete the evaluation of the warrants and to compile, disseminate, review and finalize the information required to be presented in the Quarterly Report on Form 10-Q for the period ending March 31, 2021 in light of the SEC Public Statement, the Company is unable to file the Form 10-Q by the prescribed due date without unreasonable effort or expense. The Company needs additional time to complete the Form 10-Q and evaluate the proper accounting treatment for the Company’s outstanding warrants and any impact it may have on the Company’s financial statements for the quarterly period ending March 31,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11" w:lineRule="exact"/>
        <w:rPr>
          <w:sz w:val="20"/>
          <w:szCs w:val="20"/>
          <w:color w:val="auto"/>
        </w:rPr>
      </w:pPr>
    </w:p>
    <w:p>
      <w:pPr>
        <w:ind w:left="580" w:hanging="475"/>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40" w:type="dxa"/>
            <w:vAlign w:val="bottom"/>
          </w:tcPr>
          <w:p>
            <w:pPr>
              <w:ind w:left="2120"/>
              <w:spacing w:after="0"/>
              <w:rPr>
                <w:sz w:val="20"/>
                <w:szCs w:val="20"/>
                <w:color w:val="auto"/>
              </w:rPr>
            </w:pPr>
            <w:r>
              <w:rPr>
                <w:rFonts w:ascii="Arial" w:cs="Arial" w:eastAsia="Arial" w:hAnsi="Arial"/>
                <w:sz w:val="18"/>
                <w:szCs w:val="18"/>
                <w:color w:val="auto"/>
              </w:rPr>
              <w:t>Giovanni Caruso</w:t>
            </w:r>
          </w:p>
        </w:tc>
        <w:tc>
          <w:tcPr>
            <w:tcW w:w="1920" w:type="dxa"/>
            <w:vAlign w:val="bottom"/>
            <w:gridSpan w:val="2"/>
          </w:tcPr>
          <w:p>
            <w:pPr>
              <w:jc w:val="right"/>
              <w:ind w:right="630"/>
              <w:spacing w:after="0"/>
              <w:rPr>
                <w:sz w:val="20"/>
                <w:szCs w:val="20"/>
                <w:color w:val="auto"/>
              </w:rPr>
            </w:pPr>
            <w:r>
              <w:rPr>
                <w:rFonts w:ascii="Arial" w:cs="Arial" w:eastAsia="Arial" w:hAnsi="Arial"/>
                <w:sz w:val="18"/>
                <w:szCs w:val="18"/>
                <w:color w:val="auto"/>
              </w:rPr>
              <w:t>212</w:t>
            </w:r>
          </w:p>
        </w:tc>
        <w:tc>
          <w:tcPr>
            <w:tcW w:w="3120" w:type="dxa"/>
            <w:vAlign w:val="bottom"/>
            <w:gridSpan w:val="2"/>
          </w:tcPr>
          <w:p>
            <w:pPr>
              <w:jc w:val="right"/>
              <w:ind w:right="1030"/>
              <w:spacing w:after="0"/>
              <w:rPr>
                <w:sz w:val="20"/>
                <w:szCs w:val="20"/>
                <w:color w:val="auto"/>
              </w:rPr>
            </w:pPr>
            <w:r>
              <w:rPr>
                <w:rFonts w:ascii="Arial" w:cs="Arial" w:eastAsia="Arial" w:hAnsi="Arial"/>
                <w:sz w:val="18"/>
                <w:szCs w:val="18"/>
                <w:color w:val="auto"/>
              </w:rPr>
              <w:t>407-4866</w:t>
            </w:r>
          </w:p>
        </w:tc>
      </w:tr>
      <w:tr>
        <w:trPr>
          <w:trHeight w:val="211"/>
        </w:trPr>
        <w:tc>
          <w:tcPr>
            <w:tcW w:w="5440" w:type="dxa"/>
            <w:vAlign w:val="bottom"/>
            <w:tcBorders>
              <w:top w:val="single" w:sz="8" w:color="auto"/>
            </w:tcBorders>
          </w:tcPr>
          <w:p>
            <w:pPr>
              <w:ind w:left="2360"/>
              <w:spacing w:after="0"/>
              <w:rPr>
                <w:sz w:val="20"/>
                <w:szCs w:val="20"/>
                <w:color w:val="auto"/>
              </w:rPr>
            </w:pPr>
            <w:r>
              <w:rPr>
                <w:rFonts w:ascii="Arial" w:cs="Arial" w:eastAsia="Arial" w:hAnsi="Arial"/>
                <w:sz w:val="18"/>
                <w:szCs w:val="18"/>
                <w:color w:val="auto"/>
              </w:rPr>
              <w:t>(Name)</w:t>
            </w:r>
          </w:p>
        </w:tc>
        <w:tc>
          <w:tcPr>
            <w:tcW w:w="200" w:type="dxa"/>
            <w:vAlign w:val="bottom"/>
          </w:tcPr>
          <w:p>
            <w:pPr>
              <w:spacing w:after="0"/>
              <w:rPr>
                <w:sz w:val="18"/>
                <w:szCs w:val="18"/>
                <w:color w:val="auto"/>
              </w:rPr>
            </w:pPr>
          </w:p>
        </w:tc>
        <w:tc>
          <w:tcPr>
            <w:tcW w:w="17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(Area Code)</w:t>
            </w:r>
          </w:p>
        </w:tc>
        <w:tc>
          <w:tcPr>
            <w:tcW w:w="180" w:type="dxa"/>
            <w:vAlign w:val="bottom"/>
          </w:tcPr>
          <w:p>
            <w:pPr>
              <w:spacing w:after="0"/>
              <w:rPr>
                <w:sz w:val="18"/>
                <w:szCs w:val="18"/>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ind w:left="580" w:hanging="47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8700" w:type="dxa"/>
            <w:vAlign w:val="bottom"/>
          </w:tcPr>
          <w:p>
            <w:pPr>
              <w:spacing w:after="0"/>
              <w:rPr>
                <w:sz w:val="20"/>
                <w:szCs w:val="20"/>
                <w:color w:val="auto"/>
              </w:rPr>
            </w:pPr>
            <w:r>
              <w:rPr>
                <w:rFonts w:ascii="Arial" w:cs="Arial" w:eastAsia="Arial" w:hAnsi="Arial"/>
                <w:sz w:val="18"/>
                <w:szCs w:val="18"/>
                <w:color w:val="auto"/>
                <w:w w:val="98"/>
              </w:rPr>
              <w:t>30 of the Investment Company Act of 1940 during the preceding 12 months (or for such shorter) period that the</w:t>
            </w:r>
          </w:p>
        </w:tc>
        <w:tc>
          <w:tcPr>
            <w:tcW w:w="1020" w:type="dxa"/>
            <w:vAlign w:val="bottom"/>
            <w:vMerge w:val="restart"/>
          </w:tcPr>
          <w:p>
            <w:pPr>
              <w:ind w:left="160"/>
              <w:spacing w:after="0" w:line="207" w:lineRule="exact"/>
              <w:rPr>
                <w:sz w:val="20"/>
                <w:szCs w:val="20"/>
                <w:color w:val="auto"/>
              </w:rPr>
            </w:pPr>
            <w:r>
              <w:rPr>
                <w:rFonts w:ascii="Arial" w:cs="Arial" w:eastAsia="Arial" w:hAnsi="Arial"/>
                <w:sz w:val="18"/>
                <w:szCs w:val="18"/>
                <w:color w:val="auto"/>
                <w:w w:val="87"/>
              </w:rPr>
              <w:t xml:space="preserve">x Yes </w:t>
            </w:r>
            <w:r>
              <w:rPr>
                <w:rFonts w:ascii="MS PGothic" w:cs="MS PGothic" w:eastAsia="MS PGothic" w:hAnsi="MS PGothic"/>
                <w:sz w:val="18"/>
                <w:szCs w:val="18"/>
                <w:color w:val="auto"/>
                <w:w w:val="87"/>
              </w:rPr>
              <w:t>☐</w:t>
            </w:r>
            <w:r>
              <w:rPr>
                <w:rFonts w:ascii="Arial" w:cs="Arial" w:eastAsia="Arial" w:hAnsi="Arial"/>
                <w:sz w:val="18"/>
                <w:szCs w:val="18"/>
                <w:color w:val="auto"/>
                <w:w w:val="87"/>
              </w:rPr>
              <w:t xml:space="preserve"> No</w:t>
            </w:r>
          </w:p>
        </w:tc>
        <w:tc>
          <w:tcPr>
            <w:tcW w:w="0" w:type="dxa"/>
            <w:vAlign w:val="bottom"/>
          </w:tcPr>
          <w:p>
            <w:pPr>
              <w:spacing w:after="0"/>
              <w:rPr>
                <w:sz w:val="1"/>
                <w:szCs w:val="1"/>
                <w:color w:val="auto"/>
              </w:rPr>
            </w:pPr>
          </w:p>
        </w:tc>
      </w:tr>
      <w:tr>
        <w:trPr>
          <w:trHeight w:val="232"/>
        </w:trPr>
        <w:tc>
          <w:tcPr>
            <w:tcW w:w="8700" w:type="dxa"/>
            <w:vAlign w:val="bottom"/>
          </w:tcPr>
          <w:p>
            <w:pPr>
              <w:spacing w:after="0"/>
              <w:rPr>
                <w:sz w:val="20"/>
                <w:szCs w:val="20"/>
                <w:color w:val="auto"/>
              </w:rPr>
            </w:pPr>
            <w:r>
              <w:rPr>
                <w:rFonts w:ascii="Arial" w:cs="Arial" w:eastAsia="Arial" w:hAnsi="Arial"/>
                <w:sz w:val="18"/>
                <w:szCs w:val="18"/>
                <w:color w:val="auto"/>
              </w:rPr>
              <w:t>registrant was required to file such reports) been filed? If answer is no, identify report(s).</w:t>
            </w: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wp:posOffset>
            </wp:positionV>
            <wp:extent cx="6772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ind w:left="580" w:hanging="47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80" w:type="dxa"/>
            <w:vAlign w:val="bottom"/>
          </w:tcPr>
          <w:p>
            <w:pPr>
              <w:ind w:left="580"/>
              <w:spacing w:after="0"/>
              <w:rPr>
                <w:sz w:val="20"/>
                <w:szCs w:val="20"/>
                <w:color w:val="auto"/>
              </w:rPr>
            </w:pPr>
            <w:r>
              <w:rPr>
                <w:rFonts w:ascii="Arial" w:cs="Arial" w:eastAsia="Arial" w:hAnsi="Arial"/>
                <w:sz w:val="18"/>
                <w:szCs w:val="18"/>
                <w:color w:val="auto"/>
              </w:rPr>
              <w:t>year will be reflected by the earnings statements to be included in the subject report or portion thereof?</w:t>
            </w:r>
          </w:p>
        </w:tc>
        <w:tc>
          <w:tcPr>
            <w:tcW w:w="19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x No</w:t>
            </w:r>
          </w:p>
        </w:tc>
      </w:tr>
      <w:tr>
        <w:trPr>
          <w:trHeight w:val="216"/>
        </w:trPr>
        <w:tc>
          <w:tcPr>
            <w:tcW w:w="9280" w:type="dxa"/>
            <w:vAlign w:val="bottom"/>
          </w:tcPr>
          <w:p>
            <w:pPr>
              <w:ind w:left="580"/>
              <w:spacing w:after="0"/>
              <w:rPr>
                <w:sz w:val="20"/>
                <w:szCs w:val="20"/>
                <w:color w:val="auto"/>
              </w:rPr>
            </w:pPr>
            <w:r>
              <w:rPr>
                <w:rFonts w:ascii="Arial" w:cs="Arial" w:eastAsia="Arial" w:hAnsi="Arial"/>
                <w:sz w:val="18"/>
                <w:szCs w:val="18"/>
                <w:color w:val="auto"/>
                <w:w w:val="92"/>
              </w:rPr>
              <w:t>If so, attach an explanation of the anticipated change, both narratively and quantitatively, and, if appropriate, state the</w:t>
            </w:r>
          </w:p>
        </w:tc>
        <w:tc>
          <w:tcPr>
            <w:tcW w:w="1960" w:type="dxa"/>
            <w:vAlign w:val="bottom"/>
          </w:tcPr>
          <w:p>
            <w:pPr>
              <w:spacing w:after="0"/>
              <w:rPr>
                <w:sz w:val="18"/>
                <w:szCs w:val="18"/>
                <w:color w:val="auto"/>
              </w:rPr>
            </w:pPr>
          </w:p>
        </w:tc>
      </w:tr>
      <w:tr>
        <w:trPr>
          <w:trHeight w:val="216"/>
        </w:trPr>
        <w:tc>
          <w:tcPr>
            <w:tcW w:w="9280" w:type="dxa"/>
            <w:vAlign w:val="bottom"/>
          </w:tcPr>
          <w:p>
            <w:pPr>
              <w:ind w:left="580"/>
              <w:spacing w:after="0"/>
              <w:rPr>
                <w:sz w:val="20"/>
                <w:szCs w:val="20"/>
                <w:color w:val="auto"/>
              </w:rPr>
            </w:pPr>
            <w:r>
              <w:rPr>
                <w:rFonts w:ascii="Arial" w:cs="Arial" w:eastAsia="Arial" w:hAnsi="Arial"/>
                <w:sz w:val="18"/>
                <w:szCs w:val="18"/>
                <w:color w:val="auto"/>
              </w:rPr>
              <w:t>reasons why a reasonable estimate of the results cannot be made.</w:t>
            </w:r>
          </w:p>
        </w:tc>
        <w:tc>
          <w:tcPr>
            <w:tcW w:w="1960" w:type="dxa"/>
            <w:vAlign w:val="bottom"/>
          </w:tcPr>
          <w:p>
            <w:pPr>
              <w:spacing w:after="0"/>
              <w:rPr>
                <w:sz w:val="18"/>
                <w:szCs w:val="18"/>
                <w:color w:val="auto"/>
              </w:rPr>
            </w:pPr>
          </w:p>
        </w:tc>
      </w:tr>
      <w:tr>
        <w:trPr>
          <w:trHeight w:val="237"/>
        </w:trPr>
        <w:tc>
          <w:tcPr>
            <w:tcW w:w="92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The Company had no substantive operations in either period.</w:t>
            </w:r>
          </w:p>
        </w:tc>
        <w:tc>
          <w:tcPr>
            <w:tcW w:w="1960" w:type="dxa"/>
            <w:vAlign w:val="bottom"/>
            <w:tcBorders>
              <w:bottom w:val="single" w:sz="8" w:color="auto"/>
            </w:tcBorders>
          </w:tcPr>
          <w:p>
            <w:pPr>
              <w:spacing w:after="0"/>
              <w:rPr>
                <w:sz w:val="20"/>
                <w:szCs w:val="20"/>
                <w:color w:val="auto"/>
              </w:rPr>
            </w:pPr>
          </w:p>
        </w:tc>
      </w:tr>
      <w:tr>
        <w:trPr>
          <w:trHeight w:val="655"/>
        </w:trPr>
        <w:tc>
          <w:tcPr>
            <w:tcW w:w="928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2</w:t>
            </w:r>
          </w:p>
        </w:tc>
        <w:tc>
          <w:tcPr>
            <w:tcW w:w="1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Archimedes Tech SPAC Partners Co.</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2660" w:type="dxa"/>
            <w:vAlign w:val="bottom"/>
            <w:tcBorders>
              <w:top w:val="single" w:sz="8" w:color="auto"/>
            </w:tcBorders>
          </w:tcPr>
          <w:p>
            <w:pPr>
              <w:spacing w:after="0"/>
              <w:rPr>
                <w:sz w:val="20"/>
                <w:szCs w:val="20"/>
                <w:color w:val="auto"/>
              </w:rPr>
            </w:pPr>
          </w:p>
        </w:tc>
        <w:tc>
          <w:tcPr>
            <w:tcW w:w="468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w w:val="98"/>
              </w:rPr>
              <w:t>(Name of Registrant as Specified in Charter)</w:t>
            </w:r>
          </w:p>
        </w:tc>
        <w:tc>
          <w:tcPr>
            <w:tcW w:w="3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11"/>
        </w:trPr>
        <w:tc>
          <w:tcPr>
            <w:tcW w:w="7440" w:type="dxa"/>
            <w:vAlign w:val="bottom"/>
            <w:gridSpan w:val="3"/>
          </w:tcPr>
          <w:p>
            <w:pPr>
              <w:spacing w:after="0"/>
              <w:rPr>
                <w:sz w:val="20"/>
                <w:szCs w:val="20"/>
                <w:color w:val="auto"/>
              </w:rPr>
            </w:pPr>
            <w:r>
              <w:rPr>
                <w:rFonts w:ascii="Arial" w:cs="Arial" w:eastAsia="Arial" w:hAnsi="Arial"/>
                <w:sz w:val="18"/>
                <w:szCs w:val="18"/>
                <w:color w:val="auto"/>
                <w:w w:val="93"/>
              </w:rPr>
              <w:t>Has caused this notification to be signed on its behalf by the undersigned hereunto duly authorized.</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760" w:type="dxa"/>
            <w:vAlign w:val="bottom"/>
            <w:gridSpan w:val="2"/>
          </w:tcPr>
          <w:p>
            <w:pPr>
              <w:spacing w:after="0"/>
              <w:rPr>
                <w:sz w:val="20"/>
                <w:szCs w:val="20"/>
                <w:color w:val="auto"/>
              </w:rPr>
            </w:pPr>
            <w:r>
              <w:rPr>
                <w:rFonts w:ascii="Arial" w:cs="Arial" w:eastAsia="Arial" w:hAnsi="Arial"/>
                <w:sz w:val="18"/>
                <w:szCs w:val="18"/>
                <w:color w:val="auto"/>
              </w:rPr>
              <w:t>Date :  May 18, 2021</w:t>
            </w:r>
          </w:p>
        </w:tc>
        <w:tc>
          <w:tcPr>
            <w:tcW w:w="4680" w:type="dxa"/>
            <w:vAlign w:val="bottom"/>
          </w:tcPr>
          <w:p>
            <w:pPr>
              <w:ind w:left="4000"/>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Long Long__</w:t>
            </w:r>
          </w:p>
        </w:tc>
        <w:tc>
          <w:tcPr>
            <w:tcW w:w="100" w:type="dxa"/>
            <w:vAlign w:val="bottom"/>
            <w:tcBorders>
              <w:bottom w:val="single" w:sz="8" w:color="auto"/>
            </w:tcBorders>
          </w:tcPr>
          <w:p>
            <w:pPr>
              <w:spacing w:after="0"/>
              <w:rPr>
                <w:sz w:val="24"/>
                <w:szCs w:val="24"/>
                <w:color w:val="auto"/>
              </w:rPr>
            </w:pPr>
          </w:p>
        </w:tc>
      </w:tr>
      <w:tr>
        <w:trPr>
          <w:trHeight w:val="202"/>
        </w:trPr>
        <w:tc>
          <w:tcPr>
            <w:tcW w:w="1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680" w:type="dxa"/>
            <w:vAlign w:val="bottom"/>
          </w:tcPr>
          <w:p>
            <w:pPr>
              <w:ind w:left="4000"/>
              <w:spacing w:after="0" w:line="201"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Long Long</w:t>
            </w:r>
          </w:p>
        </w:tc>
        <w:tc>
          <w:tcPr>
            <w:tcW w:w="100" w:type="dxa"/>
            <w:vAlign w:val="bottom"/>
          </w:tcPr>
          <w:p>
            <w:pPr>
              <w:spacing w:after="0"/>
              <w:rPr>
                <w:sz w:val="17"/>
                <w:szCs w:val="17"/>
                <w:color w:val="auto"/>
              </w:rPr>
            </w:pPr>
          </w:p>
        </w:tc>
      </w:tr>
      <w:tr>
        <w:trPr>
          <w:trHeight w:val="230"/>
        </w:trPr>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80" w:type="dxa"/>
            <w:vAlign w:val="bottom"/>
          </w:tcPr>
          <w:p>
            <w:pPr>
              <w:ind w:left="4000"/>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CFO</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40575"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291465"/>
                    </a:xfrm>
                    <a:prstGeom prst="rect">
                      <a:avLst/>
                    </a:prstGeom>
                    <a:noFill/>
                  </pic:spPr>
                </pic:pic>
              </a:graphicData>
            </a:graphic>
          </wp:anchor>
        </w:drawing>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
    </w:lvl>
    <w:lvl w:ilvl="1">
      <w:lvlJc w:val="left"/>
      <w:lvlText w:val="(%2)"/>
      <w:numFmt w:val="lowerLetter"/>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2021-05-18T15:55:46Z</dcterms:created>
  <dcterms:modified xsi:type="dcterms:W3CDTF">2021-05-18T15:55:46Z</dcterms:modified>
</cp:coreProperties>
</file>