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001-40193</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85-1286799</w:t>
            </w:r>
          </w:p>
        </w:tc>
      </w:tr>
      <w:tr>
        <w:trPr>
          <w:trHeight w:val="198"/>
        </w:trPr>
        <w:tc>
          <w:tcPr>
            <w:tcW w:w="3620" w:type="dxa"/>
            <w:vAlign w:val="bottom"/>
            <w:tcBorders>
              <w:top w:val="single" w:sz="8" w:color="auto"/>
            </w:tcBorders>
          </w:tcPr>
          <w:p>
            <w:pPr>
              <w:ind w:left="84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w w:val="98"/>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(408) 441-3200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220" w:type="dxa"/>
            <w:vAlign w:val="bottom"/>
            <w:shd w:val="clear" w:color="auto" w:fill="CCEEFF"/>
          </w:tcPr>
          <w:p>
            <w:pPr>
              <w:spacing w:after="0"/>
              <w:rPr>
                <w:sz w:val="17"/>
                <w:szCs w:val="17"/>
                <w:color w:val="auto"/>
              </w:rPr>
            </w:pP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SOUN</w:t>
            </w:r>
          </w:p>
        </w:tc>
        <w:tc>
          <w:tcPr>
            <w:tcW w:w="200" w:type="dxa"/>
            <w:vAlign w:val="bottom"/>
            <w:shd w:val="clear" w:color="auto" w:fill="CCEEFF"/>
          </w:tcPr>
          <w:p>
            <w:pPr>
              <w:spacing w:after="0"/>
              <w:rPr>
                <w:sz w:val="17"/>
                <w:szCs w:val="17"/>
                <w:color w:val="auto"/>
              </w:rPr>
            </w:pP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22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6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w:t>
            </w:r>
          </w:p>
        </w:tc>
        <w:tc>
          <w:tcPr>
            <w:tcW w:w="22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SOUNW</w:t>
            </w:r>
          </w:p>
        </w:tc>
        <w:tc>
          <w:tcPr>
            <w:tcW w:w="2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 Common Stock at an exercise price of $11.50</w:t>
            </w: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 share, subject to adjustment</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Amendment No. 1 on Form 8-K/A (“Form 8-K/A”) amends the Current Report on Form 8-K of SoundHound AI, Inc., a Delaware corporation (the “Company”), filed on May 2, 2022 (the “Original Report”), in which the Company reported, among other events, the completion of the Business Combination (as defined in the Original Report).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Form 8-K/A is being filed in order to include (i) the unaudited condensed consolidated financial statements of SoundHound, Inc. (“Legacy SoundHound”), as of March 31, 2022 and for the three months ended March 31, 2022 and 2021, and (ii) the Management’s Discussion and Analysis of Financial Condition and Results of Operations of Legacy SoundHound for the three months ended March 31, 2022 and 2021.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Form 8-K/A does not amend any other item of the Original Report or purport to provide an update or a discussion of any developments at the Company or its subsidiaries, including Legacy SoundHound, subsequent to the filing date of the Original Report. The information previously reported in or filed with the Original Report is hereby incorporated by reference to this Form 8-K/A.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herein but not defined herein have the meanings given to such terms in the Original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16, 2022, the Company issued a press release announcing financial results for Legacy SoundHound for the first quarter ended March 31, 2022, achieved prior to the completion of the Business Combination. The Company also posted on its investor relations website (investors.soundhound.com) a shareholder letter providing information relating to the Company’s business. Copies of the press release and the shareholder letter are furnished as Exhibit 99.3 and Exhibit 99.4, respectively, to this Current Report on Form 8-K/A and are incorporated by reference herein. Information on the Company’s website is not, and will not be deemed, a part of this report or incorporated into this or any other filings that the Company makes with the Securities and Exchange Commission.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the disclosure in Item 2.02 of this Form 8-K/A, which disclosure is incorporated herein by reference.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2.02 and Item 7.01 of this Current Report on Form 8-K, including Exhibit 99.3 and Exhibit 99.4 attached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statements of businesses acquired.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Legacy SoundHound as of March 31, 2022 and for the three months ended March 31, 2022 and 2021, and the related notes thereto are attached as Exhibit 99.1 and are incorporated herein by reference. Also included as Exhibit 99.2 and incorporated herein by reference is the Management’s Discussion and Analysis of Financial Condition and Results of Operations of Legacy SoundHound for the three months ended March 31, 2022 and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160" w:type="dxa"/>
            <w:vAlign w:val="bottom"/>
          </w:tcPr>
          <w:p>
            <w:pPr>
              <w:spacing w:after="0"/>
              <w:rPr>
                <w:sz w:val="20"/>
                <w:szCs w:val="20"/>
                <w:color w:val="auto"/>
              </w:rPr>
            </w:pPr>
          </w:p>
        </w:tc>
      </w:tr>
      <w:tr>
        <w:trPr>
          <w:trHeight w:val="41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60" w:type="dxa"/>
            <w:vAlign w:val="bottom"/>
          </w:tcPr>
          <w:p>
            <w:pPr>
              <w:spacing w:after="0"/>
              <w:rPr>
                <w:sz w:val="24"/>
                <w:szCs w:val="24"/>
                <w:color w:val="auto"/>
              </w:rPr>
            </w:pPr>
          </w:p>
        </w:tc>
      </w:tr>
      <w:tr>
        <w:trPr>
          <w:trHeight w:val="24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1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0" w:type="dxa"/>
            <w:vAlign w:val="bottom"/>
            <w:tcBorders>
              <w:top w:val="single" w:sz="8" w:color="auto"/>
              <w:bottom w:val="single" w:sz="8" w:color="0000EE"/>
            </w:tcBorders>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financial statements of Legacy SoundHound as of March 31, 2022 and for the three months ended</w:t>
            </w: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5"/>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March 31, 2022 and 2021</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5"/>
                <w:szCs w:val="15"/>
                <w:color w:val="auto"/>
              </w:rPr>
            </w:pPr>
          </w:p>
        </w:tc>
        <w:tc>
          <w:tcPr>
            <w:tcW w:w="10000" w:type="dxa"/>
            <w:vAlign w:val="bottom"/>
            <w:tcBorders>
              <w:bottom w:val="single" w:sz="8" w:color="0000EE"/>
            </w:tcBorders>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 of Legacy SoundHound for the three months</w:t>
            </w: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EE"/>
              </w:rPr>
              <w:t>ended March 31, 2022 and 2021</w:t>
            </w: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00" w:type="dxa"/>
            <w:vAlign w:val="bottom"/>
            <w:tcBorders>
              <w:bottom w:val="single" w:sz="8" w:color="CCEEFF"/>
            </w:tcBorders>
            <w:shd w:val="clear" w:color="auto" w:fill="CCEEFF"/>
          </w:tcPr>
          <w:p>
            <w:pPr>
              <w:spacing w:after="0"/>
              <w:rPr>
                <w:sz w:val="17"/>
                <w:szCs w:val="17"/>
                <w:color w:val="auto"/>
              </w:rPr>
            </w:pPr>
          </w:p>
        </w:tc>
        <w:tc>
          <w:tcPr>
            <w:tcW w:w="2480" w:type="dxa"/>
            <w:vAlign w:val="bottom"/>
            <w:tcBorders>
              <w:bottom w:val="single" w:sz="8" w:color="0000EE"/>
            </w:tcBorders>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Press Release dated May 16, 2022</w:t>
            </w:r>
          </w:p>
        </w:tc>
        <w:tc>
          <w:tcPr>
            <w:tcW w:w="7520" w:type="dxa"/>
            <w:vAlign w:val="bottom"/>
            <w:tcBorders>
              <w:bottom w:val="single" w:sz="8" w:color="CCEEFF"/>
            </w:tcBorders>
            <w:gridSpan w:val="2"/>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5"/>
                <w:szCs w:val="15"/>
                <w:color w:val="auto"/>
              </w:rPr>
            </w:pPr>
          </w:p>
        </w:tc>
        <w:tc>
          <w:tcPr>
            <w:tcW w:w="2840" w:type="dxa"/>
            <w:vAlign w:val="bottom"/>
            <w:tcBorders>
              <w:bottom w:val="single" w:sz="8" w:color="0000EE"/>
            </w:tcBorders>
            <w:gridSpan w:val="4"/>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Shareholder Letter dated May 16, 2022</w:t>
            </w:r>
          </w:p>
        </w:tc>
        <w:tc>
          <w:tcPr>
            <w:tcW w:w="7160" w:type="dxa"/>
            <w:vAlign w:val="bottom"/>
          </w:tcPr>
          <w:p>
            <w:pPr>
              <w:spacing w:after="0"/>
              <w:rPr>
                <w:sz w:val="15"/>
                <w:szCs w:val="15"/>
                <w:color w:val="auto"/>
              </w:rPr>
            </w:pPr>
          </w:p>
        </w:tc>
      </w:tr>
    </w:tbl>
    <w:p>
      <w:pPr>
        <w:spacing w:after="0" w:line="9" w:lineRule="exact"/>
        <w:rPr>
          <w:sz w:val="20"/>
          <w:szCs w:val="20"/>
          <w:color w:val="auto"/>
        </w:rPr>
      </w:pPr>
    </w:p>
    <w:p>
      <w:pPr>
        <w:jc w:val="right"/>
        <w:ind w:left="5580" w:right="5580" w:hanging="5572"/>
        <w:spacing w:after="0" w:line="541" w:lineRule="auto"/>
        <w:tabs>
          <w:tab w:leader="none" w:pos="1251"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8-K/A to be signed on its behalf by the undersigned hereunto duly authorized.</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May 17, 2022</w:t>
      </w:r>
      <w:r>
        <w:rPr>
          <w:sz w:val="20"/>
          <w:szCs w:val="20"/>
          <w:color w:val="auto"/>
        </w:rPr>
        <w:tab/>
      </w:r>
      <w:r>
        <w:rPr>
          <w:rFonts w:ascii="Times New Roman" w:cs="Times New Roman" w:eastAsia="Times New Roman" w:hAnsi="Times New Roman"/>
          <w:sz w:val="17"/>
          <w:szCs w:val="17"/>
          <w:color w:val="auto"/>
        </w:rPr>
        <w:t>SoundHound AI,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SOUNDHOUND,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share and par value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8,211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 of $109 as of March 31, 2022 and December 31, 2021, respectively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1,332</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2,676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566</w:t>
            </w:r>
          </w:p>
        </w:tc>
        <w:tc>
          <w:tcPr>
            <w:tcW w:w="20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13,015</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27,471</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equivalents,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736</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10,225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5,474</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2,169</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3,318</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1,005</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35,942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680" w:type="dxa"/>
            <w:vAlign w:val="bottom"/>
            <w:shd w:val="clear" w:color="auto" w:fill="CCEEFF"/>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LIABILITIES, REDEEMABLE CONVERTIBLE PREFERRED STOCK,</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AND STOCKHOLDERS’ DEFICIT</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6,938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11,703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3,519</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liabilities, current portion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822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liability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2,730</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6,006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30,198</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4,080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payable, current portion</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30,810</w:t>
            </w:r>
          </w:p>
        </w:tc>
        <w:tc>
          <w:tcPr>
            <w:tcW w:w="20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96,806</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87,739</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8,073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 net of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13,372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1,338</w:t>
            </w:r>
          </w:p>
        </w:tc>
        <w:tc>
          <w:tcPr>
            <w:tcW w:w="20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119,841</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112,937</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$0.0001 par value; 26,316,129 shares authorized; 19,248,537 shares issued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 liquidation preference of $284,826 as of March 31, 2022 and December 31, 2021,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279,503</w:t>
            </w:r>
          </w:p>
        </w:tc>
        <w:tc>
          <w:tcPr>
            <w:tcW w:w="20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45,000,000 shares authorized; 12,718,968 and 12,280,051 shares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as of March 31, 2022 and December 31, 2021, respectively</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48,429</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(411,832)</w:t>
            </w:r>
          </w:p>
        </w:tc>
        <w:tc>
          <w:tcPr>
            <w:tcW w:w="200" w:type="dxa"/>
            <w:vAlign w:val="bottom"/>
          </w:tcPr>
          <w:p>
            <w:pPr>
              <w:spacing w:after="0"/>
              <w:rPr>
                <w:sz w:val="20"/>
                <w:szCs w:val="20"/>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(386,729)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(363,402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(343,237</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37"/>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35,942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for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1,593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2,581</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1,076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16,650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14,443</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4,003</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3,246</w:t>
            </w: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(20,717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(16,619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(2,977)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(1,057)</w:t>
            </w:r>
          </w:p>
        </w:tc>
        <w:tc>
          <w:tcPr>
            <w:tcW w:w="3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before provision for income taxes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(24,751)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(19,093)</w:t>
            </w:r>
          </w:p>
        </w:tc>
        <w:tc>
          <w:tcPr>
            <w:tcW w:w="100" w:type="dxa"/>
            <w:vAlign w:val="bottom"/>
          </w:tcPr>
          <w:p>
            <w:pPr>
              <w:spacing w:after="0"/>
              <w:rPr>
                <w:sz w:val="17"/>
                <w:szCs w:val="17"/>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352</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167</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(25,103)</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(19,260)</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holding gain on available-for-sale securities, net of tax</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(2.00</w:t>
            </w:r>
            <w:r>
              <w:rPr>
                <w:rFonts w:ascii="Times New Roman" w:cs="Times New Roman" w:eastAsia="Times New Roman" w:hAnsi="Times New Roman"/>
                <w:sz w:val="29"/>
                <w:szCs w:val="29"/>
                <w:color w:val="auto"/>
                <w:vertAlign w:val="superscript"/>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(1.62</w:t>
            </w:r>
            <w:r>
              <w:rPr>
                <w:rFonts w:ascii="Times New Roman" w:cs="Times New Roman" w:eastAsia="Times New Roman" w:hAnsi="Times New Roman"/>
                <w:sz w:val="29"/>
                <w:szCs w:val="29"/>
                <w:color w:val="auto"/>
                <w:vertAlign w:val="superscript"/>
              </w:rPr>
              <w:t>)</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12,527,229</w:t>
            </w:r>
          </w:p>
        </w:tc>
        <w:tc>
          <w:tcPr>
            <w:tcW w:w="3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8"/>
              </w:rPr>
              <w:t>11,872,698</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STOCK AND STOCKHOLDERS’ DEFICIT</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par value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10"/>
          </w:tcPr>
          <w:p>
            <w:pPr>
              <w:jc w:val="right"/>
              <w:ind w:right="60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 Months Ended March 31, 2022</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140" w:type="dxa"/>
            <w:vAlign w:val="bottom"/>
            <w:tcBorders>
              <w:right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Redeemable Convertible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20" w:type="dxa"/>
            <w:vAlign w:val="bottom"/>
          </w:tcPr>
          <w:p>
            <w:pPr>
              <w:spacing w:after="0"/>
              <w:rPr>
                <w:sz w:val="18"/>
                <w:szCs w:val="18"/>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080" w:type="dxa"/>
            <w:vAlign w:val="bottom"/>
          </w:tcPr>
          <w:p>
            <w:pPr>
              <w:spacing w:after="0"/>
              <w:rPr>
                <w:sz w:val="22"/>
                <w:szCs w:val="22"/>
                <w:color w:val="auto"/>
              </w:rPr>
            </w:pPr>
          </w:p>
        </w:tc>
        <w:tc>
          <w:tcPr>
            <w:tcW w:w="2140" w:type="dxa"/>
            <w:vAlign w:val="bottom"/>
            <w:tcBorders>
              <w:right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00" w:type="dxa"/>
            <w:vAlign w:val="bottom"/>
          </w:tcPr>
          <w:p>
            <w:pPr>
              <w:spacing w:after="0"/>
              <w:rPr>
                <w:sz w:val="22"/>
                <w:szCs w:val="22"/>
                <w:color w:val="auto"/>
              </w:rPr>
            </w:pPr>
          </w:p>
        </w:tc>
        <w:tc>
          <w:tcPr>
            <w:tcW w:w="220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2"/>
                <w:szCs w:val="22"/>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10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4"/>
        </w:trPr>
        <w:tc>
          <w:tcPr>
            <w:tcW w:w="20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as of January 1,</w:t>
            </w: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19,248,537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279,503</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12,280,051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43,491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(386,729)</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(343,237)</w:t>
            </w:r>
          </w:p>
        </w:tc>
        <w:tc>
          <w:tcPr>
            <w:tcW w:w="0" w:type="dxa"/>
            <w:vAlign w:val="bottom"/>
          </w:tcPr>
          <w:p>
            <w:pPr>
              <w:spacing w:after="0"/>
              <w:rPr>
                <w:sz w:val="1"/>
                <w:szCs w:val="1"/>
                <w:color w:val="auto"/>
              </w:rPr>
            </w:pPr>
          </w:p>
        </w:tc>
      </w:tr>
      <w:tr>
        <w:trPr>
          <w:trHeight w:val="198"/>
        </w:trPr>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upon exercise of stock</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438,917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2,474</w:t>
            </w:r>
          </w:p>
        </w:tc>
        <w:tc>
          <w:tcPr>
            <w:tcW w:w="220" w:type="dxa"/>
            <w:vAlign w:val="bottom"/>
          </w:tcPr>
          <w:p>
            <w:pPr>
              <w:spacing w:after="0"/>
              <w:rPr>
                <w:sz w:val="20"/>
                <w:szCs w:val="20"/>
                <w:color w:val="auto"/>
              </w:rPr>
            </w:pP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2,474</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(25,103)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(25,103)</w:t>
            </w:r>
          </w:p>
        </w:tc>
        <w:tc>
          <w:tcPr>
            <w:tcW w:w="0" w:type="dxa"/>
            <w:vAlign w:val="bottom"/>
          </w:tcPr>
          <w:p>
            <w:pPr>
              <w:spacing w:after="0"/>
              <w:rPr>
                <w:sz w:val="1"/>
                <w:szCs w:val="1"/>
                <w:color w:val="auto"/>
              </w:rPr>
            </w:pPr>
          </w:p>
        </w:tc>
      </w:tr>
      <w:tr>
        <w:trPr>
          <w:trHeight w:val="184"/>
        </w:trPr>
        <w:tc>
          <w:tcPr>
            <w:tcW w:w="20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as of March 31,</w:t>
            </w: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19,248,537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279,503</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12,718,968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48,429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line="275" w:lineRule="exact"/>
              <w:rPr>
                <w:sz w:val="20"/>
                <w:szCs w:val="20"/>
                <w:color w:val="auto"/>
              </w:rPr>
            </w:pPr>
            <w:r>
              <w:rPr>
                <w:rFonts w:ascii="Times New Roman" w:cs="Times New Roman" w:eastAsia="Times New Roman" w:hAnsi="Times New Roman"/>
                <w:sz w:val="17"/>
                <w:szCs w:val="17"/>
                <w:color w:val="auto"/>
              </w:rPr>
              <w:t>(411,832</w:t>
            </w:r>
            <w:r>
              <w:rPr>
                <w:rFonts w:ascii="Times New Roman" w:cs="Times New Roman" w:eastAsia="Times New Roman" w:hAnsi="Times New Roman"/>
                <w:sz w:val="31"/>
                <w:szCs w:val="31"/>
                <w:color w:val="auto"/>
                <w:vertAlign w:val="superscript"/>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line="275" w:lineRule="exact"/>
              <w:rPr>
                <w:sz w:val="20"/>
                <w:szCs w:val="20"/>
                <w:color w:val="auto"/>
              </w:rPr>
            </w:pPr>
            <w:r>
              <w:rPr>
                <w:rFonts w:ascii="Times New Roman" w:cs="Times New Roman" w:eastAsia="Times New Roman" w:hAnsi="Times New Roman"/>
                <w:sz w:val="17"/>
                <w:szCs w:val="17"/>
                <w:color w:val="auto"/>
              </w:rPr>
              <w:t>(363,402</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right="180" w:hanging="179"/>
        <w:spacing w:after="0" w:line="261" w:lineRule="auto"/>
        <w:rPr>
          <w:sz w:val="20"/>
          <w:szCs w:val="20"/>
          <w:color w:val="auto"/>
        </w:rPr>
      </w:pPr>
      <w:r>
        <w:rPr>
          <w:rFonts w:ascii="Times New Roman" w:cs="Times New Roman" w:eastAsia="Times New Roman" w:hAnsi="Times New Roman"/>
          <w:sz w:val="18"/>
          <w:szCs w:val="18"/>
          <w:color w:val="auto"/>
        </w:rPr>
        <w:t>Balance as of January 1, 2021</w:t>
      </w:r>
    </w:p>
    <w:p>
      <w:pPr>
        <w:ind w:left="180" w:right="20" w:hanging="179"/>
        <w:spacing w:after="0" w:line="250" w:lineRule="auto"/>
        <w:rPr>
          <w:sz w:val="20"/>
          <w:szCs w:val="20"/>
          <w:color w:val="auto"/>
        </w:rPr>
      </w:pPr>
      <w:r>
        <w:rPr>
          <w:rFonts w:ascii="Times New Roman" w:cs="Times New Roman" w:eastAsia="Times New Roman" w:hAnsi="Times New Roman"/>
          <w:sz w:val="18"/>
          <w:szCs w:val="18"/>
          <w:color w:val="auto"/>
        </w:rPr>
        <w:t>Issuance of common stock upon exercise of stock options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Stock-based compensation Net loss</w:t>
      </w:r>
    </w:p>
    <w:p>
      <w:pPr>
        <w:spacing w:after="0" w:line="1" w:lineRule="exact"/>
        <w:rPr>
          <w:sz w:val="20"/>
          <w:szCs w:val="20"/>
          <w:color w:val="auto"/>
        </w:rPr>
      </w:pPr>
    </w:p>
    <w:p>
      <w:pPr>
        <w:ind w:left="180" w:right="180" w:hanging="179"/>
        <w:spacing w:after="0" w:line="282" w:lineRule="auto"/>
        <w:rPr>
          <w:sz w:val="20"/>
          <w:szCs w:val="20"/>
          <w:color w:val="auto"/>
        </w:rPr>
      </w:pPr>
      <w:r>
        <w:rPr>
          <w:rFonts w:ascii="Times New Roman" w:cs="Times New Roman" w:eastAsia="Times New Roman" w:hAnsi="Times New Roman"/>
          <w:sz w:val="18"/>
          <w:szCs w:val="18"/>
          <w:color w:val="auto"/>
        </w:rPr>
        <w:t>Balance as of March 31,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10"/>
          </w:tcPr>
          <w:p>
            <w:pPr>
              <w:jc w:val="right"/>
              <w:ind w:right="60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 Months Ended March 31, 2021</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40" w:type="dxa"/>
            <w:vAlign w:val="bottom"/>
            <w:tcBorders>
              <w:right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Redeemable Convertible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20" w:type="dxa"/>
            <w:vAlign w:val="bottom"/>
          </w:tcPr>
          <w:p>
            <w:pPr>
              <w:spacing w:after="0"/>
              <w:rPr>
                <w:sz w:val="18"/>
                <w:szCs w:val="18"/>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140" w:type="dxa"/>
            <w:vAlign w:val="bottom"/>
            <w:tcBorders>
              <w:right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00" w:type="dxa"/>
            <w:vAlign w:val="bottom"/>
          </w:tcPr>
          <w:p>
            <w:pPr>
              <w:spacing w:after="0"/>
              <w:rPr>
                <w:sz w:val="22"/>
                <w:szCs w:val="22"/>
                <w:color w:val="auto"/>
              </w:rPr>
            </w:pPr>
          </w:p>
        </w:tc>
        <w:tc>
          <w:tcPr>
            <w:tcW w:w="220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2"/>
                <w:szCs w:val="22"/>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19,132,387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273,687</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11,818,761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30,836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(307,189)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(276,353)</w:t>
            </w:r>
          </w:p>
        </w:tc>
        <w:tc>
          <w:tcPr>
            <w:tcW w:w="0" w:type="dxa"/>
            <w:vAlign w:val="bottom"/>
          </w:tcPr>
          <w:p>
            <w:pPr>
              <w:spacing w:after="0"/>
              <w:rPr>
                <w:sz w:val="1"/>
                <w:szCs w:val="1"/>
                <w:color w:val="auto"/>
              </w:rPr>
            </w:pPr>
          </w:p>
        </w:tc>
      </w:tr>
      <w:tr>
        <w:trPr>
          <w:trHeight w:val="630"/>
        </w:trPr>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297,850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1,199</w:t>
            </w:r>
          </w:p>
        </w:tc>
        <w:tc>
          <w:tcPr>
            <w:tcW w:w="22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1,388</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(19,260)</w:t>
            </w:r>
          </w:p>
        </w:tc>
        <w:tc>
          <w:tcPr>
            <w:tcW w:w="16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0" w:type="dxa"/>
            <w:vAlign w:val="bottom"/>
          </w:tcPr>
          <w:p>
            <w:pPr>
              <w:spacing w:after="0"/>
              <w:rPr>
                <w:sz w:val="1"/>
                <w:szCs w:val="1"/>
                <w:color w:val="auto"/>
              </w:rPr>
            </w:pPr>
          </w:p>
        </w:tc>
      </w:tr>
      <w:tr>
        <w:trPr>
          <w:trHeight w:val="27"/>
        </w:trPr>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6"/>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19,132,387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273,687</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12,116,611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33,423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35"/>
                <w:szCs w:val="35"/>
                <w:color w:val="auto"/>
                <w:vertAlign w:val="superscript"/>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(326,449</w:t>
            </w:r>
            <w:r>
              <w:rPr>
                <w:rFonts w:ascii="Times New Roman" w:cs="Times New Roman" w:eastAsia="Times New Roman" w:hAnsi="Times New Roman"/>
                <w:sz w:val="35"/>
                <w:szCs w:val="35"/>
                <w:color w:val="auto"/>
                <w:vertAlign w:val="super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(293,026</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-1319530</wp:posOffset>
            </wp:positionV>
            <wp:extent cx="71323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-633730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-342265</wp:posOffset>
            </wp:positionV>
            <wp:extent cx="7132320" cy="316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1940" w:space="140"/>
            <w:col w:w="9160"/>
          </w:cols>
          <w:pgMar w:left="320" w:top="87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(25,103)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(19,260)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1,292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2,464</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1,742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(483)</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(1,080)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16"/>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offering costs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(2,054)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3,178</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4,398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(1,623)</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72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(14,989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(14,704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7"/>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(611)</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common stock options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2,474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finance and capital lease obligations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(519)</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720"/>
              <w:spacing w:after="0" w:line="203" w:lineRule="exact"/>
              <w:rPr>
                <w:sz w:val="20"/>
                <w:szCs w:val="20"/>
                <w:color w:val="auto"/>
              </w:rPr>
            </w:pPr>
            <w:r>
              <w:rPr>
                <w:rFonts w:ascii="Times New Roman" w:cs="Times New Roman" w:eastAsia="Times New Roman" w:hAnsi="Times New Roman"/>
                <w:sz w:val="18"/>
                <w:szCs w:val="18"/>
                <w:color w:val="auto"/>
              </w:rPr>
              <w:t>Net (decrease) in cash, cash equivalents, and restricted cash equivalents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(13,645)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(14,162)</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beginning of period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22,822</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end of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8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9,177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Reconciliation to amounts on the condensed consolidated balance sheets: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restricted cash equivalents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portion of restricted cash equivalents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736</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8680" w:type="dxa"/>
            <w:vAlign w:val="bottom"/>
            <w:tcBorders>
              <w:top w:val="single" w:sz="8" w:color="CCEEFF"/>
            </w:tcBorders>
          </w:tcPr>
          <w:p>
            <w:pPr>
              <w:ind w:left="540"/>
              <w:spacing w:after="0" w:line="171" w:lineRule="exact"/>
              <w:rPr>
                <w:sz w:val="20"/>
                <w:szCs w:val="20"/>
                <w:color w:val="auto"/>
              </w:rPr>
            </w:pPr>
            <w:r>
              <w:rPr>
                <w:rFonts w:ascii="Times New Roman" w:cs="Times New Roman" w:eastAsia="Times New Roman" w:hAnsi="Times New Roman"/>
                <w:sz w:val="18"/>
                <w:szCs w:val="18"/>
                <w:color w:val="auto"/>
              </w:rPr>
              <w:t>Total cash, cash equivalents, and restricted cash equivalents shown in the condensed consolidated statements</w:t>
            </w: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of cash flows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9,177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60"/>
              <w:spacing w:after="0" w:line="194" w:lineRule="exact"/>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and right-of-use assets through adoption of ASC 842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60"/>
              <w:spacing w:after="0" w:line="194" w:lineRule="exact"/>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Property and equipment acquired under capital leases or debt</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40" w:right="9160" w:hanging="432"/>
        <w:spacing w:after="0" w:line="532" w:lineRule="auto"/>
        <w:tabs>
          <w:tab w:leader="none" w:pos="188"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b w:val="1"/>
          <w:bCs w:val="1"/>
          <w:u w:val="single" w:color="auto"/>
          <w:color w:val="auto"/>
        </w:rPr>
        <w:t>Nature of Operations</w:t>
      </w:r>
    </w:p>
    <w:p>
      <w:pPr>
        <w:spacing w:after="0" w:line="1"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SoundHound, Inc. (“SoundHound” or the “Company”) was incorporated in Delaware on September 2, 2005 and is headquartered in Santa Clara, California.</w:t>
      </w:r>
    </w:p>
    <w:p>
      <w:pPr>
        <w:spacing w:after="0" w:line="162" w:lineRule="exact"/>
        <w:rPr>
          <w:sz w:val="20"/>
          <w:szCs w:val="20"/>
          <w:color w:val="auto"/>
        </w:rPr>
      </w:pPr>
    </w:p>
    <w:p>
      <w:pPr>
        <w:jc w:val="both"/>
        <w:ind w:left="440"/>
        <w:spacing w:after="0" w:line="255" w:lineRule="auto"/>
        <w:rPr>
          <w:sz w:val="20"/>
          <w:szCs w:val="20"/>
          <w:color w:val="auto"/>
        </w:rPr>
      </w:pPr>
      <w:r>
        <w:rPr>
          <w:rFonts w:ascii="Times New Roman" w:cs="Times New Roman" w:eastAsia="Times New Roman" w:hAnsi="Times New Roman"/>
          <w:sz w:val="18"/>
          <w:szCs w:val="18"/>
          <w:color w:val="auto"/>
        </w:rPr>
        <w:t>SoundHound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Going Concern</w:t>
      </w:r>
    </w:p>
    <w:p>
      <w:pPr>
        <w:spacing w:after="0" w:line="229"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Since inception, the Company has generated recurring losses as well as negative operating cash flows, which has resulted in a net loss of $25,103 for the three-month period ended March 31, 2022. As of March 31, 2022, the Company has an accumulated deficit of $411,832. Management expects to continue to incur additional substantial losses in the foreseeable future as a result of research and development activities. The Company has funded its operations primarily through equity or debt financings.</w:t>
      </w:r>
    </w:p>
    <w:p>
      <w:pPr>
        <w:spacing w:after="0" w:line="180"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The Company plans to continue funding its operations and capital funding needs through a combination of private equity offerings, debt financing, revenue and other sources. Total cash and cash equivalents on hand as of March 31, 2022 was $8,211. The Company’s condensed consolidated financial statements have been prepared on a going-concern basis, which contemplates the realization of assets and the satisfaction of liabilities in the normal course of business. The Company has reviewed the relevant conditions and events surrounding its ability to continue as a going concern including among others: historical losses, projected future results, including the effects of COVID-19, cash requirements for the upcoming year, funding capacity, net working capital, total stockholders’ deficit and future access to capital.</w:t>
      </w:r>
    </w:p>
    <w:p>
      <w:pPr>
        <w:spacing w:after="0" w:line="187"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On April 26, 2022, the Company and Archimedes Tech SPAC Partners Co. (“ATSP”) completed a merger resulting in the reverse recapitalization of the Company (the “Business Combination”) and the Company received aggregate gross proceeds of $5,357 held in trust by ATSP (following satisfaction of redemptions by public stockholders), and $113,000 in aggregate gross proceeds from PIPE investors. The Company received $93,064 in net proceeds after the reduction of $25,293 in transaction related expenses. Management believes the Company’s sources of liquidity will be sufficient to fund the Company’s planned operations and existing obligations within one year after the date that the consolidated financial statements are issued.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Other Risk and Uncertainties</w:t>
      </w:r>
    </w:p>
    <w:p>
      <w:pPr>
        <w:spacing w:after="0" w:line="229"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During the two-year period ended December 31, 2021, and through March 31, 2022, the Company continued to experience the results of the worldwide COVID-19 pandemic. The COVID-19 outbreak in the United States has caused business disruption through mandated and voluntary closings of businesses and shelter in place orders. In response, the U.S. Government enacted the CARES Act, which includes significant provisions to provide relief and assistance to affected organizations. While the disruption is currently expected to be temporary, there is considerable uncertainty around potential future closings, shelter in place orders, containment of the recent COVID-19 variants, and the ultimate impact of the CARES Act and other government initiatives.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ORGANIZATION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cause customers to be less able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any depression or recession resulting from the COVID-19 pandemic may adversely change consumer behavior and demand, including products sold by customers, which may result in a significant reduction in our revenue, results of operations and financial condition. To date, this matter has not negatively impacted the Company. However, the financial impact and duration cannot be reasonably estimated at this time.</w:t>
      </w:r>
    </w:p>
    <w:p>
      <w:pPr>
        <w:spacing w:after="0" w:line="192" w:lineRule="exact"/>
        <w:rPr>
          <w:sz w:val="20"/>
          <w:szCs w:val="20"/>
          <w:color w:val="auto"/>
        </w:rPr>
      </w:pPr>
    </w:p>
    <w:p>
      <w:pPr>
        <w:jc w:val="both"/>
        <w:ind w:left="440"/>
        <w:spacing w:after="0" w:line="253" w:lineRule="auto"/>
        <w:rPr>
          <w:sz w:val="20"/>
          <w:szCs w:val="20"/>
          <w:color w:val="auto"/>
        </w:rPr>
      </w:pPr>
      <w:r>
        <w:rPr>
          <w:rFonts w:ascii="Times New Roman" w:cs="Times New Roman" w:eastAsia="Times New Roman" w:hAnsi="Times New Roman"/>
          <w:sz w:val="18"/>
          <w:szCs w:val="18"/>
          <w:color w:val="auto"/>
        </w:rPr>
        <w:t>Additionally, 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 The recent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 Although our business has not been materially impacted by the ongoing military conflict between Russian and Ukraine to date, it is impossible to predict the extent to which our operations, or those of our customers’ suppliers and manufacturers, will be impacted in the short and long term, or the ways in which the conflict may impact our business. The extent and duration of the military action, sanctions and resulting market disruptions are impossible to predict, but could be substantial.</w:t>
      </w:r>
    </w:p>
    <w:p>
      <w:pPr>
        <w:spacing w:after="0" w:line="186" w:lineRule="exact"/>
        <w:rPr>
          <w:sz w:val="20"/>
          <w:szCs w:val="20"/>
          <w:color w:val="auto"/>
        </w:rPr>
      </w:pPr>
    </w:p>
    <w:p>
      <w:pPr>
        <w:ind w:left="440" w:right="6360" w:hanging="432"/>
        <w:spacing w:after="0" w:line="532" w:lineRule="auto"/>
        <w:tabs>
          <w:tab w:leader="none" w:pos="188"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b w:val="1"/>
          <w:bCs w:val="1"/>
          <w:u w:val="single" w:color="auto"/>
          <w:color w:val="auto"/>
        </w:rPr>
        <w:t>Basis of Presentation and Significant Accounting Policies</w:t>
      </w:r>
    </w:p>
    <w:p>
      <w:pPr>
        <w:spacing w:after="0" w:line="1"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The following (a) condensed consolidated balance sheet as of December 31, 2021, which has been derived from audited financial statements, and (b) the unaudited interim condensed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condensed consolidated financial statements have been prepared on a basis consistent with the audited consolidated financial statements and in the opinion of management, all adjustments, consisting of normal recurring adjustments, considered necessary for a fair presentation of the financial statements have been included. The results of operations for the three months ended March 31, 2022 are not necessarily indicative of the results for the fiscal year ending December 31, 2022 or any future interim period.</w:t>
      </w:r>
    </w:p>
    <w:p>
      <w:pPr>
        <w:spacing w:after="0" w:line="188"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The accompanying unaudited consolidated condensed financial statements have been prepared pursuant to the rules and regulations of the SEC. 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Principles of Consolidation</w:t>
      </w:r>
    </w:p>
    <w:p>
      <w:pPr>
        <w:spacing w:after="0" w:line="229"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accounts of the Company and its wholly-owned subsidiaries. All intercompany accounts and transactions have been eliminated in consolidation.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w:t>
      </w:r>
    </w:p>
    <w:p>
      <w:pPr>
        <w:spacing w:after="0" w:line="229"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The functional currency of SoundHound, Inc.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three-month period ended March 31, 2022 and 2021, the Company recognized net losses/(gains) related to foreign currency transactions and remeasurements of $464 and $367, respectively, in the condensed consolidated statements of operations and comprehensive loss as other expense, net.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229"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judgments that affect the amounts reported and disclosures in the condensed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Emerging Growth Company Status</w:t>
      </w:r>
    </w:p>
    <w:p>
      <w:pPr>
        <w:spacing w:after="0" w:line="229"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Concentrations of Credit Risk and Other Risks and Uncertainties</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potential significant concentrations of credit risk consist principally of cash and cash equivalents. The Company regularly monitors its credit risk exposure and takes steps to mitigate the likelihood of these exposures resulting in actual loss.</w:t>
      </w:r>
    </w:p>
    <w:p>
      <w:pPr>
        <w:spacing w:after="0" w:line="176"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As of March 31, 2022, accounts receivable balances due from three customers collectively totaled 72% of the Company’s condensed consolidated accounts receivable balance. As of December 31, 2021, accounts receivable balances due from five customers collectively totaled 86% of the Company’s condensed consolidated accounts receivable balance.</w:t>
      </w:r>
    </w:p>
    <w:p>
      <w:pPr>
        <w:spacing w:after="0" w:line="176"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the Company had four customers that accounted for 59% of revenue and three customers that accounted for 60% of revenue for the three months ended March 31, 2021.</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Equity Issuance Costs</w:t>
      </w:r>
    </w:p>
    <w:p>
      <w:pPr>
        <w:spacing w:after="0" w:line="229"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including the Business Combination, as deferred offering costs until such financings are consummated. After consummation of the financing, these costs are recorded as a reduction of the proceeds received from the equity financing. If a planned equity financing is abandoned, the deferred offering costs are expensed immediately as a charge to operating expenses in the condensed consolidated statements of operations and comprehensive loss.</w:t>
      </w:r>
    </w:p>
    <w:p>
      <w:pPr>
        <w:spacing w:after="0" w:line="183"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Additionally, certain transaction costs incurred in connection with the pending merger agreement, which are direct and incremental to the proposed merger, will be deferred and recorded as a component of other non-current assets within the condensed consolidated balance sheets and will offset cash proceeds from the Business Combination if successful. The Company had $3,318 and $1,264 of deferred offering costs recorded as of March 31, 2022 and December 31, 2021.</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27"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revenue under Accounting Standards Codification Topic 606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82" w:lineRule="exact"/>
        <w:rPr>
          <w:sz w:val="20"/>
          <w:szCs w:val="20"/>
          <w:color w:val="auto"/>
        </w:rPr>
      </w:pPr>
    </w:p>
    <w:p>
      <w:pPr>
        <w:ind w:left="1080" w:hanging="208"/>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contract(s) with a customer;</w:t>
      </w:r>
    </w:p>
    <w:p>
      <w:pPr>
        <w:spacing w:after="0" w:line="225" w:lineRule="exact"/>
        <w:rPr>
          <w:rFonts w:ascii="Times New Roman" w:cs="Times New Roman" w:eastAsia="Times New Roman" w:hAnsi="Times New Roman"/>
          <w:sz w:val="18"/>
          <w:szCs w:val="18"/>
          <w:color w:val="auto"/>
        </w:rPr>
      </w:pPr>
    </w:p>
    <w:p>
      <w:pPr>
        <w:ind w:left="1140" w:hanging="268"/>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1180" w:hanging="308"/>
        <w:spacing w:after="0"/>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including the constraint on variable consideration;</w:t>
      </w:r>
    </w:p>
    <w:p>
      <w:pPr>
        <w:spacing w:after="0" w:line="225" w:lineRule="exact"/>
        <w:rPr>
          <w:rFonts w:ascii="Times New Roman" w:cs="Times New Roman" w:eastAsia="Times New Roman" w:hAnsi="Times New Roman"/>
          <w:sz w:val="18"/>
          <w:szCs w:val="18"/>
          <w:color w:val="auto"/>
        </w:rPr>
      </w:pPr>
    </w:p>
    <w:p>
      <w:pPr>
        <w:ind w:left="1180" w:hanging="308"/>
        <w:spacing w:after="0"/>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225" w:lineRule="exact"/>
        <w:rPr>
          <w:rFonts w:ascii="Times New Roman" w:cs="Times New Roman" w:eastAsia="Times New Roman" w:hAnsi="Times New Roman"/>
          <w:sz w:val="18"/>
          <w:szCs w:val="18"/>
          <w:color w:val="auto"/>
        </w:rPr>
      </w:pPr>
    </w:p>
    <w:p>
      <w:pPr>
        <w:ind w:left="1120" w:hanging="248"/>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performance obligations are satisfied.</w:t>
      </w:r>
    </w:p>
    <w:p>
      <w:pPr>
        <w:spacing w:after="0" w:line="225"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condensed consolidated balance sheet.</w:t>
      </w:r>
    </w:p>
    <w:p>
      <w:pPr>
        <w:spacing w:after="0" w:line="176"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Under ASC 606, assuming all other revenue recognition criteria have been met, the Company will recognize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 The Company currently generates its revenues through the following performance obligations: (1) hosted services, (2) professional services, (3) monetization and (4) licensing.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229" w:lineRule="exact"/>
        <w:rPr>
          <w:sz w:val="20"/>
          <w:szCs w:val="20"/>
          <w:color w:val="auto"/>
        </w:rPr>
      </w:pPr>
    </w:p>
    <w:p>
      <w:pPr>
        <w:jc w:val="both"/>
        <w:ind w:left="440" w:right="20"/>
        <w:spacing w:after="0" w:line="266" w:lineRule="auto"/>
        <w:rPr>
          <w:sz w:val="20"/>
          <w:szCs w:val="20"/>
          <w:color w:val="auto"/>
        </w:rPr>
      </w:pPr>
      <w:r>
        <w:rPr>
          <w:rFonts w:ascii="Times New Roman" w:cs="Times New Roman" w:eastAsia="Times New Roman" w:hAnsi="Times New Roman"/>
          <w:sz w:val="18"/>
          <w:szCs w:val="18"/>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Warrants</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w:t>
      </w:r>
    </w:p>
    <w:p>
      <w:pPr>
        <w:spacing w:after="0" w:line="174"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 xml:space="preserve">The warrants are considered freestanding instruments that qualify as liabilities under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as the Company is committed to issuing an instrument that ultimately may require a transfer of assets. The warrant liability is accounted for at fair value and remeasured at each reporting date. Accordingly, the Company classifies the warrants as a liability at their fair value and adjusts the instruments to fair value at each balance sheet date until the warrants are exercised or expired. Any change in the fair value of the warrants is recognized as other expense, net in the condensed consolidated statements of operations and comprehensive loss.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229"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187"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Company classifies interest and penalties related to uncertain tax positions in income tax expense, if applicable. There were no interest expenses or penalties related to unrecognized tax benefits recorded through March 31, 2022.</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Stock-Based Compensation</w:t>
      </w:r>
    </w:p>
    <w:p>
      <w:pPr>
        <w:spacing w:after="0" w:line="229" w:lineRule="exact"/>
        <w:rPr>
          <w:sz w:val="20"/>
          <w:szCs w:val="20"/>
          <w:color w:val="auto"/>
        </w:rPr>
      </w:pPr>
    </w:p>
    <w:p>
      <w:pPr>
        <w:jc w:val="both"/>
        <w:ind w:left="440"/>
        <w:spacing w:after="0" w:line="255" w:lineRule="auto"/>
        <w:rPr>
          <w:sz w:val="20"/>
          <w:szCs w:val="20"/>
          <w:color w:val="auto"/>
        </w:rPr>
      </w:pPr>
      <w:r>
        <w:rPr>
          <w:rFonts w:ascii="Times New Roman" w:cs="Times New Roman" w:eastAsia="Times New Roman" w:hAnsi="Times New Roman"/>
          <w:sz w:val="18"/>
          <w:szCs w:val="18"/>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uses the Black-Scholes-Merton (“Black-Scholes”) option-pricing model to determine the fair value of stock 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187" w:lineRule="exact"/>
        <w:rPr>
          <w:sz w:val="20"/>
          <w:szCs w:val="20"/>
          <w:color w:val="auto"/>
        </w:rPr>
      </w:pPr>
    </w:p>
    <w:p>
      <w:pPr>
        <w:jc w:val="both"/>
        <w:ind w:left="8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Company estimates volatility for option grants by evaluating the average historical volatility of a peer group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for the period immediately preceding the option grant for a term that is approximately equal to the option’s expected term.</w:t>
      </w:r>
    </w:p>
    <w:p>
      <w:pPr>
        <w:spacing w:after="0" w:line="158" w:lineRule="exact"/>
        <w:rPr>
          <w:sz w:val="20"/>
          <w:szCs w:val="20"/>
          <w:color w:val="auto"/>
        </w:rPr>
      </w:pPr>
    </w:p>
    <w:p>
      <w:pPr>
        <w:jc w:val="both"/>
        <w:ind w:left="8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of the Company’s options represents the period that the stock-based awards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180" w:lineRule="exact"/>
        <w:rPr>
          <w:sz w:val="20"/>
          <w:szCs w:val="20"/>
          <w:color w:val="auto"/>
        </w:rPr>
      </w:pPr>
    </w:p>
    <w:p>
      <w:pPr>
        <w:jc w:val="both"/>
        <w:ind w:left="88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implied yield currently available on U.S. Treasury zero-coupon issues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term that is equal to the options’ expected term at the grant date.</w:t>
      </w:r>
    </w:p>
    <w:p>
      <w:pPr>
        <w:spacing w:after="0" w:line="158" w:lineRule="exact"/>
        <w:rPr>
          <w:sz w:val="20"/>
          <w:szCs w:val="20"/>
          <w:color w:val="auto"/>
        </w:rPr>
      </w:pPr>
    </w:p>
    <w:p>
      <w:pPr>
        <w:jc w:val="both"/>
        <w:ind w:left="8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 The Company has not declared or paid dividends to date and does not anticipate declaring dividends. As such, the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yield has been estimated to be zero.</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Units</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 issues restricted stock unit awards (“RSUs”) to grantees as compensation for services. The Company’s RSUs are classified as equity awards because the RSUs will be settled in the Company’s common stock upon vesting. The fair value of the RSUs is determined at the grant date based on the fair value of the Company's common stock on the date of grant and is recognized straight-line over the service period.</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29" w:lineRule="exact"/>
        <w:rPr>
          <w:sz w:val="20"/>
          <w:szCs w:val="20"/>
          <w:color w:val="auto"/>
        </w:rPr>
      </w:pPr>
    </w:p>
    <w:p>
      <w:pPr>
        <w:jc w:val="both"/>
        <w:ind w:left="440" w:right="20"/>
        <w:spacing w:after="0" w:line="266" w:lineRule="auto"/>
        <w:rPr>
          <w:sz w:val="20"/>
          <w:szCs w:val="20"/>
          <w:color w:val="auto"/>
        </w:rPr>
      </w:pPr>
      <w:r>
        <w:rPr>
          <w:rFonts w:ascii="Times New Roman" w:cs="Times New Roman" w:eastAsia="Times New Roman" w:hAnsi="Times New Roman"/>
          <w:sz w:val="18"/>
          <w:szCs w:val="18"/>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74"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25" w:lineRule="exact"/>
        <w:rPr>
          <w:rFonts w:ascii="Times New Roman" w:cs="Times New Roman" w:eastAsia="Times New Roman" w:hAnsi="Times New Roman"/>
          <w:sz w:val="18"/>
          <w:szCs w:val="18"/>
          <w:color w:val="auto"/>
        </w:rPr>
      </w:pPr>
    </w:p>
    <w:p>
      <w:pPr>
        <w:ind w:left="1300" w:hanging="320"/>
        <w:spacing w:after="0" w:line="284"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Inputs (other than quoted market prices included in Level 1) are either directly or indirectly observable for the asset or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correlation with market data at the measurement date and for the duration of the instrument’s anticipated life.</w:t>
      </w:r>
    </w:p>
    <w:p>
      <w:pPr>
        <w:spacing w:after="0" w:line="158" w:lineRule="exact"/>
        <w:rPr>
          <w:rFonts w:ascii="Times New Roman" w:cs="Times New Roman" w:eastAsia="Times New Roman" w:hAnsi="Times New Roman"/>
          <w:sz w:val="18"/>
          <w:szCs w:val="18"/>
          <w:color w:val="auto"/>
        </w:rPr>
      </w:pPr>
    </w:p>
    <w:p>
      <w:pPr>
        <w:ind w:left="1300" w:hanging="320"/>
        <w:spacing w:after="0" w:line="284"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Inputs reflect management’s best estimate of what market participants would use in pricing the asset or liability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 Consideration is given to the risk inherent in the valuation technique and the risk inherent in the inputs to the model.</w:t>
      </w:r>
    </w:p>
    <w:p>
      <w:pPr>
        <w:spacing w:after="0" w:line="160"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condensed consolidated statements of operations and comprehensive loss.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Redeemable Convertible Preferred Stock</w:t>
      </w:r>
    </w:p>
    <w:p>
      <w:pPr>
        <w:spacing w:after="0" w:line="229"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The Company’s shares of redeemable convertible preferred stock (“Preferred Stock”) do not have a mandatory redemption date and are assessed at issuance for classification and redemption features requiring bifurcation.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The Company’s Preferred Stock is redeemable upon a deemed liquidation event which the Company determined is not solely within its control and thus has classified shares of Preferred Stock as temporary equity until such time as the conditions are removed or lapse. Because the occurrence of a deemed liquidation event is not currently probable, the carrying values of the shares of Preferred Stock are not being accreted to their redemption values. Subsequent adjustments to the carrying values of the shares of Preferred Stock would be made only when a deemed liquidation event becomes probable.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Convertible Notes and Derivative Liabilities</w:t>
      </w:r>
    </w:p>
    <w:p>
      <w:pPr>
        <w:spacing w:after="0" w:line="229" w:lineRule="exact"/>
        <w:rPr>
          <w:sz w:val="20"/>
          <w:szCs w:val="20"/>
          <w:color w:val="auto"/>
        </w:rPr>
      </w:pPr>
    </w:p>
    <w:p>
      <w:pPr>
        <w:jc w:val="both"/>
        <w:ind w:left="440"/>
        <w:spacing w:after="0" w:line="273" w:lineRule="auto"/>
        <w:rPr>
          <w:sz w:val="20"/>
          <w:szCs w:val="20"/>
          <w:color w:val="auto"/>
        </w:rPr>
      </w:pPr>
      <w:r>
        <w:rPr>
          <w:rFonts w:ascii="Times New Roman" w:cs="Times New Roman" w:eastAsia="Times New Roman" w:hAnsi="Times New Roman"/>
          <w:sz w:val="17"/>
          <w:szCs w:val="17"/>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condensed consolidated statements of operations and comprehensive loss. The fair value of the conversion features has been estimated using a probability-weighted discount model with and without the conversion feature (see Note 9 for additional information).</w:t>
      </w:r>
    </w:p>
    <w:p>
      <w:pPr>
        <w:spacing w:after="0" w:line="171"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 holds its convertible notes at amortized cost and amortizes the associated debt discount created from bifurcated derivatives and issuance costs under the effective interest or straight-line method until maturity or early conversion pursuant to the contractual terms of the arrangement.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Net Loss Per Share</w:t>
      </w:r>
    </w:p>
    <w:p>
      <w:pPr>
        <w:spacing w:after="0" w:line="229"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62"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warrants and convertible notes are considered to be potentially dilutive securities. See Note 15 for further information.</w:t>
      </w:r>
    </w:p>
    <w:p>
      <w:pPr>
        <w:spacing w:after="0" w:line="180"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 — Adopted</w:t>
      </w:r>
    </w:p>
    <w:p>
      <w:pPr>
        <w:spacing w:after="0" w:line="229"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 During the three-month period ended March 31, 2022, no additional accounting pronouncements were adopted. Refer to Note 2 of our audited consolidated financial statements for the fiscal year ended December 31, 2021 contained within the proxy statement/prospectus/consent solicitation for adopted accounting pronouncements.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 — Not Yet Adopted</w:t>
      </w:r>
    </w:p>
    <w:p>
      <w:pPr>
        <w:spacing w:after="0" w:line="229"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condensed consolidated financial statements and related disclosures.</w:t>
      </w:r>
    </w:p>
    <w:p>
      <w:pPr>
        <w:spacing w:after="0" w:line="188" w:lineRule="exact"/>
        <w:rPr>
          <w:sz w:val="20"/>
          <w:szCs w:val="20"/>
          <w:color w:val="auto"/>
        </w:rPr>
      </w:pPr>
    </w:p>
    <w:p>
      <w:pPr>
        <w:jc w:val="both"/>
        <w:ind w:left="440"/>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 an instrument-by-instrument basis. ASU 2019-10 and ASU 2016-13 are effective for years beginning after December 15, 2022, with early adoption permitted. The Company is currently evaluating the impact the standard will have on the Company’s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left="440"/>
        <w:spacing w:after="0" w:line="257" w:lineRule="auto"/>
        <w:rPr>
          <w:sz w:val="20"/>
          <w:szCs w:val="20"/>
          <w:color w:val="auto"/>
        </w:rPr>
      </w:pPr>
      <w:r>
        <w:rPr>
          <w:rFonts w:ascii="Times New Roman" w:cs="Times New Roman" w:eastAsia="Times New Roman" w:hAnsi="Times New Roman"/>
          <w:sz w:val="18"/>
          <w:szCs w:val="18"/>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w:t>
      </w:r>
    </w:p>
    <w:p>
      <w:pPr>
        <w:spacing w:after="0" w:line="1" w:lineRule="exact"/>
        <w:rPr>
          <w:sz w:val="20"/>
          <w:szCs w:val="20"/>
          <w:color w:val="auto"/>
        </w:rPr>
      </w:pPr>
    </w:p>
    <w:p>
      <w:pPr>
        <w:jc w:val="both"/>
        <w:ind w:left="440"/>
        <w:spacing w:after="0" w:line="252" w:lineRule="auto"/>
        <w:tabs>
          <w:tab w:leader="none" w:pos="72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amendments in ASU 2019-12 are effective for the Company in fiscal years beginning after December 15, 2021. Early adoption of the amendments is permitted. An entity that elects early adoption must adopt all the amendments in the same period. Adoption of ASU 2019-12 is not expected to result in any material changes to the way the tax provision is prepared and is not expected to have a material impact on the Company’s condensed consolidated financial statements.</w:t>
      </w:r>
    </w:p>
    <w:p>
      <w:pPr>
        <w:spacing w:after="0" w:line="18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29"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183"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The Company derives its revenue primarily from the following performance obligations: (1) hosted services, (2) professional services, (3) monetization, and (4) licensing. Revenue is reported net of applicable sales and use taxes that are passed through to customers.</w:t>
      </w:r>
    </w:p>
    <w:p>
      <w:pPr>
        <w:spacing w:after="0" w:line="162"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the following performance obligations in contracts with customers: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Hosted Services</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176"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180"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REVENUE RECOGNITION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left="440" w:right="20"/>
        <w:spacing w:after="0" w:line="282" w:lineRule="auto"/>
        <w:rPr>
          <w:sz w:val="20"/>
          <w:szCs w:val="20"/>
          <w:color w:val="auto"/>
        </w:rPr>
      </w:pPr>
      <w:r>
        <w:rPr>
          <w:rFonts w:ascii="Times New Roman" w:cs="Times New Roman" w:eastAsia="Times New Roman" w:hAnsi="Times New Roman"/>
          <w:sz w:val="18"/>
          <w:szCs w:val="18"/>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Professional Services</w:t>
      </w:r>
    </w:p>
    <w:p>
      <w:pPr>
        <w:spacing w:after="0" w:line="229" w:lineRule="exact"/>
        <w:rPr>
          <w:sz w:val="20"/>
          <w:szCs w:val="20"/>
          <w:color w:val="auto"/>
        </w:rPr>
      </w:pPr>
    </w:p>
    <w:p>
      <w:pPr>
        <w:jc w:val="both"/>
        <w:ind w:left="440"/>
        <w:spacing w:after="0" w:line="255" w:lineRule="auto"/>
        <w:rPr>
          <w:sz w:val="20"/>
          <w:szCs w:val="20"/>
          <w:color w:val="auto"/>
        </w:rPr>
      </w:pPr>
      <w:r>
        <w:rPr>
          <w:rFonts w:ascii="Times New Roman" w:cs="Times New Roman" w:eastAsia="Times New Roman" w:hAnsi="Times New Roman"/>
          <w:sz w:val="18"/>
          <w:szCs w:val="18"/>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89"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three months ended March 31, 2022, $567 of professional service revenue was recognized over time, with the remaining $0 recognized at a point in time when the performance obligation was completed and control of the service was transferred to the customer. During the three months ended March 31, 2021, no professional service revenue was recognized over time.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Monetization</w:t>
      </w:r>
    </w:p>
    <w:p>
      <w:pPr>
        <w:spacing w:after="0" w:line="229"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Licensing</w:t>
      </w:r>
    </w:p>
    <w:p>
      <w:pPr>
        <w:spacing w:after="0" w:line="229"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The Company licenses voice solutions that are embedded in customer products. Licensing revenue is a distinct performance obligation that is recognized when control is transferred to the customer, which is at a point-in-time for non-customized solutions. Revenues generated from licensing is based on royalty models with a combination of minimum guarantees and per unit pricing. Royalty periods are generally subsequent to when control of the license passes to the customer. The Company records licensing revenue as a usage-based royalty from customers’ usage of intellectual property in the same period in which the underlying sale occurs. The Company provides assurance-type warranty services and to date, post-contract support has been an immaterial performance obligation within the context of the contract.</w:t>
      </w:r>
    </w:p>
    <w:p>
      <w:pPr>
        <w:spacing w:after="0" w:line="187"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83"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supplying each performance obligation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groupings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objectives and pricing practices, such as contractually stated prices, discounts offered, and applicable price lists</w:t>
      </w:r>
    </w:p>
    <w:p>
      <w:pPr>
        <w:spacing w:after="0" w:line="225"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 the three months ended March 31, 2022 and 2021, revenues under each performance obligation were: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Hosted services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Licensing</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three months ended March 31, 2022 and 2021, the disaggregated revenue by geographic location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three months ended March 31, 2022 and 2021, the disaggregated revenue by recognition pattern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4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tcPr>
          <w:p>
            <w:pPr>
              <w:spacing w:after="0"/>
              <w:rPr>
                <w:sz w:val="20"/>
                <w:szCs w:val="20"/>
                <w:color w:val="auto"/>
              </w:rPr>
            </w:pPr>
          </w:p>
        </w:tc>
        <w:tc>
          <w:tcPr>
            <w:tcW w:w="5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 revenue</w:t>
            </w:r>
          </w:p>
        </w:tc>
        <w:tc>
          <w:tcPr>
            <w:tcW w:w="5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Point-in-time</w:t>
            </w:r>
          </w:p>
        </w:tc>
        <w:tc>
          <w:tcPr>
            <w:tcW w:w="5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7"/>
        </w:trPr>
        <w:tc>
          <w:tcPr>
            <w:tcW w:w="3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vMerge w:val="continue"/>
            <w:shd w:val="clear" w:color="auto" w:fill="CCEEFF"/>
          </w:tcPr>
          <w:p>
            <w:pPr>
              <w:spacing w:after="0"/>
              <w:rPr>
                <w:sz w:val="21"/>
                <w:szCs w:val="21"/>
                <w:color w:val="auto"/>
              </w:rPr>
            </w:pPr>
          </w:p>
        </w:tc>
        <w:tc>
          <w:tcPr>
            <w:tcW w:w="5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3,739</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4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REVENUE RECOGNITION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 platform to fit customers’ specific needs. Revenue from Monetization is generated from the SoundHound music identification app and is primarily attributable to user ad impression revenue. For the three months ended March 31, 2022 and 2021, the disaggregated revenue by service type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Service Subscriptions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3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Contract Balances</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spacing w:after="0" w:line="176"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As of March 31, 2022 and December 31, 2021, the Company had contract assets included in prepaid expenses and other current assets of $141 and $54, respectively, in the condensed consolidated balance sheets. The Company did not record any asset impairment charges related to contract assets during the three-month period ended March 31, 2022.</w:t>
      </w:r>
    </w:p>
    <w:p>
      <w:pPr>
        <w:spacing w:after="0" w:line="176"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Revenue recognized for the three-month period ended March 31, 2022 and year ended December 31, 2021 that was included in the deferred revenues balances at the beginning of the reporting period was $2,162 and $14,945, respectively.</w:t>
      </w:r>
    </w:p>
    <w:p>
      <w:pPr>
        <w:spacing w:after="0" w:line="162"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As of March 31, 2022, the aggregate amount of the transaction price allocated to the remaining performance obligations related to customer contracts that were unsatisfied or partially unsatisfied was $27,253. Given the applicable contract terms, $10,811 is expected to be recognized as revenue within one year and $12,144 is expected to be recognized between two to five years, with the remainder of $4,298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92"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176"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voice recordings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8,687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3,567</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at cost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(28,691)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(27,399)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6,155</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The property and equipment account includes assets under finance lease obligations (see Note 13 for additional information) with an aggregate cost of approximately $6,731 and $6,975 as of March 31, 2022 and December 31, 2021 and accumulated depreciation of approximately $4,470 and $4,293 as of March 31, 2022 and December 31, 2021, respectively. Depreciation and amortization expense totaled approximately $1,292 and $1,451 for the three months ended March 31, 2022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LIABILITIES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Accrued liabilities on the consolidated balance sheets are comprised of the following as of March 31, 2022 and December 31, 2021,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vendor payables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1,511</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934</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11,703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8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Contingent Bonuses</w:t>
      </w:r>
    </w:p>
    <w:p>
      <w:pPr>
        <w:spacing w:after="0" w:line="229"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the Company declared discretionary bonuses of $670, with payment contingent upon the closing of the Business Combination.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Contracts</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In August 2021, the Company entered into an exclusive agreement with a cloud service provider to host its voice artificial intelligence platform pursuant to which the Company committed to pay a minimum of $99,000 in cloud costs over a seven-year period subject to variable increases based on usage.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Aggregate noncancelable future minimum payments are as follows: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Remainder of 2022 as of March 31, 2022</w:t>
            </w:r>
          </w:p>
        </w:tc>
        <w:tc>
          <w:tcPr>
            <w:tcW w:w="6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5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5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5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5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16,000</w:t>
            </w:r>
          </w:p>
        </w:tc>
        <w:tc>
          <w:tcPr>
            <w:tcW w:w="0" w:type="dxa"/>
            <w:vAlign w:val="bottom"/>
          </w:tcPr>
          <w:p>
            <w:pPr>
              <w:spacing w:after="0"/>
              <w:rPr>
                <w:sz w:val="1"/>
                <w:szCs w:val="1"/>
                <w:color w:val="auto"/>
              </w:rPr>
            </w:pPr>
          </w:p>
        </w:tc>
      </w:tr>
      <w:tr>
        <w:trPr>
          <w:trHeight w:val="236"/>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99,000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bottom w:val="single" w:sz="8" w:color="CCEEFF"/>
            </w:tcBorders>
            <w:vMerge w:val="restart"/>
          </w:tcPr>
          <w:p>
            <w:pPr>
              <w:jc w:val="right"/>
              <w:ind w:right="421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34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Legal Proceedings</w:t>
      </w:r>
    </w:p>
    <w:p>
      <w:pPr>
        <w:spacing w:after="0" w:line="229"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29"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and estimated and recorded a liability, in accordance with ASC 450, Contingencies, of $1,105 as of December 31, 2021 and March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WARRANTS</w:t>
      </w:r>
    </w:p>
    <w:p>
      <w:pPr>
        <w:spacing w:after="0" w:line="229"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April 2013 Note and November 2013 Note, the Company issued detachable warrants to purchase 44,708 and 89,418 shares of Series C Preferred Stock (“Series C Warrants”), respectively, at $6.71 per share to the lenders, which were immediately exercisable. In December 2021, all outstanding 134,126 shares of warrants related to April 2013 Note and November 2013 were net exercised, leading to a net issuance of 116,150 shares of Series C Preferred Stock. As of March 31, 2022 and December 31, 2021, the fair value of the warrant liability was $0.</w:t>
      </w:r>
    </w:p>
    <w:p>
      <w:pPr>
        <w:spacing w:after="0" w:line="180"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Company’s 2021 note payable (“SVB March 2021 Note”) and 2021 convertible note (“SCI June 2021 Note”), the Company issued detachable warrants to purchase 127,570 and 63,785 shares of common stock, respectively, with an exercise price of $20.37 per share to the lenders, which were immediately exercisable. The Company recorded the warrants initially at fair value (see Note 9 for additional information) as paid-in-capital on the condensed consolidated balance sheets based on the allocation of its relative fair value of the debt proceeds. See Note 9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$2,316 and $1,526, respectively. The warrants have a ten-year expiration date from the applicable closing date of March 2031 and June 2031, respectively.</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three months ended March 31, 2022, no warrants were exercised.</w:t>
      </w:r>
    </w:p>
    <w:p>
      <w:pPr>
        <w:spacing w:after="0" w:line="221" w:lineRule="exact"/>
        <w:rPr>
          <w:sz w:val="20"/>
          <w:szCs w:val="20"/>
          <w:color w:val="auto"/>
        </w:rPr>
      </w:pPr>
    </w:p>
    <w:p>
      <w:pPr>
        <w:ind w:left="440" w:right="7220" w:hanging="432"/>
        <w:spacing w:after="0" w:line="503" w:lineRule="auto"/>
        <w:tabs>
          <w:tab w:leader="none" w:pos="188"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NOTES AND NOTE PAYABLE </w:t>
      </w:r>
      <w:r>
        <w:rPr>
          <w:rFonts w:ascii="Times New Roman" w:cs="Times New Roman" w:eastAsia="Times New Roman" w:hAnsi="Times New Roman"/>
          <w:sz w:val="18"/>
          <w:szCs w:val="18"/>
          <w:b w:val="1"/>
          <w:bCs w:val="1"/>
          <w:i w:val="1"/>
          <w:iCs w:val="1"/>
          <w:color w:val="auto"/>
        </w:rPr>
        <w:t>SNAP June 2020 Note</w:t>
      </w: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In June 2020, the Company issued a promissory note, the SNAP June 2020 Note, to a Lender in exchange for $15,000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80" w:lineRule="exact"/>
        <w:rPr>
          <w:sz w:val="20"/>
          <w:szCs w:val="20"/>
          <w:color w:val="auto"/>
        </w:rPr>
      </w:pPr>
    </w:p>
    <w:p>
      <w:pPr>
        <w:jc w:val="both"/>
        <w:ind w:left="440"/>
        <w:spacing w:after="0" w:line="255" w:lineRule="auto"/>
        <w:rPr>
          <w:sz w:val="20"/>
          <w:szCs w:val="20"/>
          <w:color w:val="auto"/>
        </w:rPr>
      </w:pPr>
      <w:r>
        <w:rPr>
          <w:rFonts w:ascii="Times New Roman" w:cs="Times New Roman" w:eastAsia="Times New Roman" w:hAnsi="Times New Roman"/>
          <w:sz w:val="18"/>
          <w:szCs w:val="18"/>
          <w:color w:val="auto"/>
        </w:rPr>
        <w:t>The outstanding principal balance and unpaid accrued interest of the SNAP June 2020 Note are convertible pursuant to the following terms (“SNAP June 2020 Note Conversion Feature” or “Conversion Feature”): automatic conversion into equity shares in the next equity financing round (“SNAP June 2020 Note Qualified Financing,” or “Qualified Financing”) at a conversion price equal to either (a) the lowest cash price per share paid by investors in such qualified financing (which will reflect at least a 20% discount to the price per share paid by other investors purchasing securities in additional closings), or (b) if there are no additional closings, 0.80 times the price per share paid by investors purchasing equity securities in the Qualified Financing. The SNAP June 2020 Note Qualified Financing shall be at least $30,000, which excludes the conversion of the SNAP June 2020 Note and any other indebtedness.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CONVERTIBLE NOTES AND NOTE PAYABLE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Furthermore, upon a change of control event, the Company shall settle the SNAP June 2020 Note in cash, pursuant to the following terms (“Redemption Features”):</w:t>
      </w:r>
    </w:p>
    <w:p>
      <w:pPr>
        <w:spacing w:after="0" w:line="162" w:lineRule="exact"/>
        <w:rPr>
          <w:sz w:val="20"/>
          <w:szCs w:val="20"/>
          <w:color w:val="auto"/>
        </w:rPr>
      </w:pPr>
    </w:p>
    <w:p>
      <w:pPr>
        <w:ind w:left="1300" w:hanging="324"/>
        <w:spacing w:after="0" w:line="282" w:lineRule="auto"/>
        <w:rPr>
          <w:sz w:val="20"/>
          <w:szCs w:val="20"/>
          <w:color w:val="auto"/>
        </w:rPr>
      </w:pPr>
      <w:r>
        <w:rPr>
          <w:rFonts w:ascii="Times New Roman" w:cs="Times New Roman" w:eastAsia="Times New Roman" w:hAnsi="Times New Roman"/>
          <w:sz w:val="18"/>
          <w:szCs w:val="18"/>
          <w:color w:val="auto"/>
        </w:rPr>
        <w:t>— 200% of the then outstanding principal amount of the respective note plus any unpaid accrued interest on the original principal of such note; and</w:t>
      </w:r>
    </w:p>
    <w:p>
      <w:pPr>
        <w:spacing w:after="0" w:line="161" w:lineRule="exact"/>
        <w:rPr>
          <w:sz w:val="20"/>
          <w:szCs w:val="20"/>
          <w:color w:val="auto"/>
        </w:rPr>
      </w:pPr>
    </w:p>
    <w:p>
      <w:pPr>
        <w:ind w:left="1300" w:hanging="324"/>
        <w:spacing w:after="0" w:line="282" w:lineRule="auto"/>
        <w:rPr>
          <w:sz w:val="20"/>
          <w:szCs w:val="20"/>
          <w:color w:val="auto"/>
        </w:rPr>
      </w:pPr>
      <w:r>
        <w:rPr>
          <w:rFonts w:ascii="Times New Roman" w:cs="Times New Roman" w:eastAsia="Times New Roman" w:hAnsi="Times New Roman"/>
          <w:sz w:val="18"/>
          <w:szCs w:val="18"/>
          <w:color w:val="auto"/>
        </w:rPr>
        <w:t>— 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162"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The Company evaluated whether the SNAP June 2020 Note contains embedded features that meet the definition of derivatives under ASC 815, Derivatives and Hedging. The Conversion Feature qualifies as a derivative as it continuously resets as the underlying stock price increases or decreases so as to provide a variable number of shares for a fixed value of equity to the holders at any conversion date. As such, the Conversion Feature is bifurcated and</w:t>
      </w:r>
    </w:p>
    <w:p>
      <w:pPr>
        <w:spacing w:after="0" w:line="180"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accounted for as a derivative liability to be remeasured at the end of each reporting period. The Company recorded the bifurcated Conversion Feature initially at fair value with the residual value being allocated to the SNAP June 2020 Note as a debt discount. The fair value of the Conversion Feature upon issuance in June 2020 was $2,460, which was recorded as a derivative liability on the Company’s condensed consolidated balance sheet. The Redemption Feature of the SNAP June 2020 Note does not meet the definition of a derivative. Therefore, the Redemption Feature is not bifurcated.</w:t>
      </w:r>
    </w:p>
    <w:p>
      <w:pPr>
        <w:spacing w:after="0" w:line="180"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The total amount of debt discount at issuance for the SNAP June 2020 Note was $2,529. The Company amortized the aggregate debt discount using the effective interest method. The Company recognized total interest expense of $515 associated with the SNAP June 2020 Note for the three months ended March 31, 2022, out of which $330 relates to the amortization of the debt discount. The debt discount related to the SNAP June 2020 Note is amortized over the life of the instrument, beginning at note issuance and ending on June 26, 2022, the date of maturity.</w:t>
      </w:r>
    </w:p>
    <w:p>
      <w:pPr>
        <w:spacing w:after="0" w:line="180"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SNAP June 2020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$30,000, excluding the face value of the SNAP June 2020 Note (“SNAP June 2020 Note Qualified Financing”).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unamortized debt discount, fair value of conversion feature, and accrued interest as of March 31, 2022 and</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December 31, 2021, and fair value remeasurement for the three months ended March 31, 2022 and March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920" w:type="dxa"/>
            <w:vAlign w:val="bottom"/>
            <w:tcBorders>
              <w:bottom w:val="single" w:sz="8" w:color="CCEEFF"/>
            </w:tcBorders>
          </w:tcPr>
          <w:p>
            <w:pPr>
              <w:spacing w:after="0"/>
              <w:rPr>
                <w:sz w:val="21"/>
                <w:szCs w:val="21"/>
                <w:color w:val="auto"/>
              </w:rPr>
            </w:pPr>
          </w:p>
        </w:tc>
        <w:tc>
          <w:tcPr>
            <w:tcW w:w="46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46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conversion feature</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4,080</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3,488</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4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r>
      <w:tr>
        <w:trPr>
          <w:trHeight w:val="655"/>
        </w:trPr>
        <w:tc>
          <w:tcPr>
            <w:tcW w:w="39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jc w:val="right"/>
              <w:ind w:right="275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8. CONVERTIBLE NOTES AND NOTE PAYABLE </w:t>
            </w:r>
            <w:r>
              <w:rPr>
                <w:rFonts w:ascii="Times New Roman" w:cs="Times New Roman" w:eastAsia="Times New Roman" w:hAnsi="Times New Roman"/>
                <w:sz w:val="18"/>
                <w:szCs w:val="18"/>
                <w:color w:val="auto"/>
              </w:rPr>
              <w:t>(cont.)</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16"/>
        </w:trPr>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4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Ended</w:t>
            </w:r>
          </w:p>
        </w:tc>
      </w:tr>
      <w:tr>
        <w:trPr>
          <w:trHeight w:val="216"/>
        </w:trPr>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85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conversion feature – gain/(loss)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Accrued interest is included in accrued liabilities on the condensed consolidated balance sheets to reflect the classification of the SNAP June 2020 Note as short-term in nature on March 31, 2022 and December 31, 2021. The Company recorded the remeasurement of derivative liabilities in other expense, net on the condensed consolidated statements of operations and comprehensive loss.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SVB March 2021 Note</w:t>
      </w:r>
    </w:p>
    <w:p>
      <w:pPr>
        <w:spacing w:after="0" w:line="229"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In March 2021, the Company entered into a loan and security agreement with a commercial bank to borrow $30,000 along with the issuance of warrants to purchase 127,570 shares of the Company’s common stock. The warrant’s allocated fair value was $2,316 at issuance. The SVB March 2021 Note also contains a final payment provision of $1,050.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is amortizing the discounts on an effective interest basis over the period from issuance through the Early Maturity Date (as defined below).</w:t>
      </w:r>
    </w:p>
    <w:p>
      <w:pPr>
        <w:spacing w:after="0" w:line="187" w:lineRule="exact"/>
        <w:rPr>
          <w:sz w:val="20"/>
          <w:szCs w:val="20"/>
          <w:color w:val="auto"/>
        </w:rPr>
      </w:pPr>
    </w:p>
    <w:p>
      <w:pPr>
        <w:jc w:val="both"/>
        <w:ind w:left="440" w:right="20"/>
        <w:spacing w:after="0" w:line="261" w:lineRule="auto"/>
        <w:rPr>
          <w:sz w:val="20"/>
          <w:szCs w:val="20"/>
          <w:color w:val="auto"/>
        </w:rPr>
      </w:pPr>
      <w:r>
        <w:rPr>
          <w:rFonts w:ascii="Times New Roman" w:cs="Times New Roman" w:eastAsia="Times New Roman" w:hAnsi="Times New Roman"/>
          <w:sz w:val="18"/>
          <w:szCs w:val="18"/>
          <w:color w:val="auto"/>
        </w:rPr>
        <w:t>The loan bears interest at an annual rate equal to the greater of 9% or 5.75% above the Prime Rate. As of March 31, 2022, the interest rate was 9.25%. Payments are interest-only for the first twelve months and are fully amortizable thereafter. The Company recorded interest expense in the condensed consolidated statements of operations and comprehensive loss for the three-month period ended March 31, 2022 of $675, of which $233 remained unpaid as accrued interest.</w:t>
      </w:r>
    </w:p>
    <w:p>
      <w:pPr>
        <w:spacing w:after="0" w:line="180"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The term loan amortization date is April 1, 2022, with an opportunity for a six-month extension if certain performance milestones are met. The total amount of debt discount at issuance was $3,532. As of March 31, 2022 and December 31, 2021, the unamortized debt discount totaled $240 and $1,086, respectively. The maturity date of the loan is April 26, 2022 (“Early Maturity Date”), with an opportunity for extension to September 2024 or March 2025 if certain performance milestones are met, including the conversion of the SNAP June 2020 Note. Accordingly, the Company has classified the entire note payable balance as short-term as of March 31, 2022.</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SCI June 2021 Note</w:t>
      </w:r>
    </w:p>
    <w:p>
      <w:pPr>
        <w:spacing w:after="0" w:line="229"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In June 2021, the Company entered into a loan and security agreement with a lender to obtain credit extensions to the Company. Extensions may be requested in $5,000 increments up to a total commitment amount of $15,000. The Company drew an initial $5,000 on June 14, 2021 and the remaining $10,000 on December 1, 2021. The SCI June 2021 Note also contains a final payment provision of 3.5% on each draw or $525 in total. Additionally, warrants were issued alongside the convertible note to purchase 63,785 shares of SoundHound’s common stock. The warrant’s allocated fair value was $1,526 at issuance. The Company recorded the final payment as an increase to the principal balance and debt discount for the entire payment amount upon each draw.</w:t>
      </w:r>
    </w:p>
    <w:p>
      <w:pPr>
        <w:spacing w:after="0" w:line="187"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As the warrants and discounts of $2,150 are directly attributable to the total commitment of $15,000, the Company has presented its unamortized debt issuance cost associated with this convertible note as a current asset, recorded as debt issuance cost on the condensed consolidated balance sheets. The Company is amortizing the cost on a straight-line basis from the issuance date through the early maturity date of June 26, 2022. The Company recorded $566 in interest expense related to the debt discounts during the three-month period ended March 31, 2022. As of March 31, 2022, the unamortized debt discount totaled $566.</w:t>
      </w:r>
    </w:p>
    <w:p>
      <w:pPr>
        <w:spacing w:after="0" w:line="183"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loan bears interest at an annual rate equal to the greater of 9% or 5.75% above the Prime Rate. As of March 31, 2022, the interest rate is 9.25%. Payments are interest-only for the first twelve months and are fully amortizing thereafter. The Company incurred and paid $338 in stated interest in the condensed consolidated statements of operations and comprehensive loss for the three-month period ended March 31,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CONVERTIBLE NOTES AND NOTE PAYABLE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The loan amortization date is June 1, 2022, with an opportunity for a six-month extension if certain performance milestones are met. The maturity date of the loan is the earlier of May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 As of March 31, 2022, the Company has classified the SCI June 2021 Note as a current liability on its condensed consolidated balance sheet.</w:t>
      </w:r>
    </w:p>
    <w:p>
      <w:pPr>
        <w:sectPr>
          <w:pgSz w:w="11900" w:h="16838" w:orient="portrait"/>
          <w:cols w:equalWidth="0" w:num="1">
            <w:col w:w="11240"/>
          </w:cols>
          <w:pgMar w:left="320" w:top="873" w:right="339" w:bottom="1440" w:gutter="0" w:footer="0" w:header="0"/>
        </w:sectPr>
      </w:pP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below table summarizes the Company’s debt balances as of March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864870</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payable, current portion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Unamortized loan discount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797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9780" cy="17145"/>
                    </a:xfrm>
                    <a:prstGeom prst="rect">
                      <a:avLst/>
                    </a:prstGeom>
                    <a:noFill/>
                  </pic:spPr>
                </pic:pic>
              </a:graphicData>
            </a:graphic>
          </wp:anchor>
        </w:drawing>
      </w: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SVB</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2021</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18" w:lineRule="exact"/>
        <w:rPr>
          <w:sz w:val="20"/>
          <w:szCs w:val="20"/>
          <w:color w:val="auto"/>
        </w:rPr>
      </w:pPr>
    </w:p>
    <w:p>
      <w:pPr>
        <w:ind w:left="620" w:hanging="615"/>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31,050</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w:t>
      </w:r>
    </w:p>
    <w:p>
      <w:pPr>
        <w:spacing w:after="0" w:line="58" w:lineRule="exact"/>
        <w:rPr>
          <w:sz w:val="20"/>
          <w:szCs w:val="20"/>
          <w:color w:val="auto"/>
        </w:rPr>
      </w:pPr>
    </w:p>
    <w:p>
      <w:pPr>
        <w:ind w:left="620" w:hanging="615"/>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73" w:right="339" w:bottom="1440" w:gutter="0" w:footer="0" w:header="0"/>
          <w:type w:val="continuous"/>
        </w:sectPr>
      </w:pP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SNAP</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4"/>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SCI</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June 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June 2021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7"/>
        </w:trPr>
        <w:tc>
          <w:tcPr>
            <w:tcW w:w="73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30,198</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Unamortized debt issuance cost recorded as an asset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gridSpan w:val="2"/>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SVB</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March 2021</w:t>
            </w:r>
          </w:p>
        </w:tc>
        <w:tc>
          <w:tcPr>
            <w:tcW w:w="0" w:type="dxa"/>
            <w:vAlign w:val="bottom"/>
          </w:tcPr>
          <w:p>
            <w:pPr>
              <w:spacing w:after="0"/>
              <w:rPr>
                <w:sz w:val="1"/>
                <w:szCs w:val="1"/>
                <w:color w:val="auto"/>
              </w:rPr>
            </w:pPr>
          </w:p>
        </w:tc>
      </w:t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current portion</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60" w:type="dxa"/>
            <w:vAlign w:val="bottom"/>
            <w:gridSpan w:val="7"/>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7"/>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SNAP</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4"/>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SCI</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June 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June 2021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7"/>
        </w:trPr>
        <w:tc>
          <w:tcPr>
            <w:tcW w:w="73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29,868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Unamortized debt issuance cost recorded as an asset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gridSpan w:val="2"/>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Additionally, interest expense on the condensed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present the fair value of the Company’s financial instruments that are measured or disclosed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gridSpan w:val="11"/>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Fair Value Measurements as of</w:t>
            </w:r>
          </w:p>
        </w:tc>
      </w:tr>
      <w:tr>
        <w:trPr>
          <w:trHeight w:val="245"/>
        </w:trPr>
        <w:tc>
          <w:tcPr>
            <w:tcW w:w="7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r>
      <w:tr>
        <w:trPr>
          <w:trHeight w:val="236"/>
        </w:trPr>
        <w:tc>
          <w:tcPr>
            <w:tcW w:w="73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50"/>
        </w:trPr>
        <w:tc>
          <w:tcPr>
            <w:tcW w:w="7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20" w:type="dxa"/>
            <w:vAlign w:val="bottom"/>
            <w:gridSpan w:val="11"/>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Fair Value Measurements as of</w:t>
            </w:r>
          </w:p>
        </w:tc>
      </w:tr>
      <w:tr>
        <w:trPr>
          <w:trHeight w:val="245"/>
        </w:trPr>
        <w:tc>
          <w:tcPr>
            <w:tcW w:w="7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4,863</w:t>
            </w: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r>
      <w:tr>
        <w:trPr>
          <w:trHeight w:val="237"/>
        </w:trPr>
        <w:tc>
          <w:tcPr>
            <w:tcW w:w="73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50"/>
        </w:trPr>
        <w:tc>
          <w:tcPr>
            <w:tcW w:w="7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4,863</w:t>
            </w: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fair values of the warrants were determined based on significant inputs not observable in the market, which represent Level 3 measurements within the fair value hierarchy.</w:t>
      </w:r>
    </w:p>
    <w:p>
      <w:pPr>
        <w:spacing w:after="0" w:line="162"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In order to determine the fair value of the warrants, the Company utilized a Black-Scholes option-pricing model. Estimates and assumptions impacting the fair value measurement include the fair value of the underlying shares, the remaining contractual or expected term of the warrants, risk-free interest rate, expected dividend yield and expected volatility of the price of the underlying stock on an as-converted basis.</w:t>
      </w:r>
    </w:p>
    <w:p>
      <w:pPr>
        <w:spacing w:after="0" w:line="176"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The Company considered the probability of a deemed liquidation event in determining the remaining expected term of the warrants, which was used as an input to the model. The Company lacks Company-specific historical and implied volatility information of its stock since there is currently no market. Therefore, it estimated its expected stock volatility based on the historical volatility of publicly traded guideline companies for a term equal to the remaining contractual or expected term of the warrants. The risk-free interest rate was determined by reference to the U.S. Treasury yield curve for time periods approximately equal to the remaining contractual or expected term of the warrants. The Company estimated no expected dividend yield based on the fact that the Company has never paid or declared dividends and does not intend to do so in the foreseeable future.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Series C Warrants (April 2013 and November 2013)</w:t>
      </w:r>
    </w:p>
    <w:p>
      <w:pPr>
        <w:spacing w:after="0" w:line="229"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Company revalued the warrants as of March 31, 2021 resulting in a change in fair value of $253. This change in fair value was recorded as a component of other expense, net, in the accompanying condensed consolidated statements of operations and comprehensive loss.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FAIR VALUE MEASUREMENTS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left="440" w:right="2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April 2013 Series C redeemable convertible preferred stock warrants using the Black-Scholes-Merton option-pricing model using the following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986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exercise in December 2021, the warrants were recorded as Series C Preferred Stock at their fair value of $5,816 upon net share settlement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Warrants (SVB March 2021 Note)</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 issued common stock warrants in connection with the SVB March 2021 Note (See Note 8 for additional information). The SVB March 2021 Note warrants were recorded based on the allocation of its relative fair of the debt proceeds of $2,316. The warrants were classified as equity instruments at inception with a corresponding discount recorded at issuance</w:t>
      </w:r>
    </w:p>
    <w:p>
      <w:pPr>
        <w:spacing w:after="0" w:line="176"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against the outstanding notes in connection with the SVB March 2021 Note. The common stock warrants are not subject to remeasurement at each subsequent balance sheet date due to their classification as equity instruments as they are considered indexed to the Company’s stock. As of March 31, 2022, none of these warrants have been exercised. The SVB March 2021 Note warrants expire in March 2031.</w:t>
      </w:r>
    </w:p>
    <w:p>
      <w:pPr>
        <w:spacing w:after="0" w:line="176"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SVB March 2021 Note common stock warrants at issuance using the Black-Scholes option-pricing model using the following assumptions: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SVB March 2021 Note Common Stock Warrants</w:t>
            </w:r>
          </w:p>
        </w:tc>
        <w:tc>
          <w:tcPr>
            <w:tcW w:w="1380" w:type="dxa"/>
            <w:vAlign w:val="bottom"/>
            <w:tcBorders>
              <w:bottom w:val="single" w:sz="8" w:color="CCEEFF"/>
            </w:tcBorders>
          </w:tcPr>
          <w:p>
            <w:pPr>
              <w:spacing w:after="0"/>
              <w:rPr>
                <w:sz w:val="21"/>
                <w:szCs w:val="21"/>
                <w:color w:val="auto"/>
              </w:rPr>
            </w:pP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Liability (SNAP June 2020 Note)</w:t>
      </w:r>
    </w:p>
    <w:p>
      <w:pPr>
        <w:spacing w:after="0" w:line="229"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Derivatives was determined as the differential value from the perspective of the With and Without Method. The Company utilized the following assumptions at the valuation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99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Next Equity Financing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SPAC/PIPE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IPO</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99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99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term (years)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w:t>
            </w:r>
          </w:p>
        </w:tc>
      </w:t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r>
    </w:tbl>
    <w:p>
      <w:pPr>
        <w:spacing w:after="0" w:line="17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FAIR VALUE MEASUREMENTS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As of March 31, 2022, the embedded derivative was valued at its intrinsic value due to the proximity of the valuation date to the closing of the Business Combination. This valuation method was materially consistent when compared to a fair value model adjusted for timing of the valuation to the transaction and using an increased probability of SPAC occurrence of 100%.</w:t>
      </w:r>
    </w:p>
    <w:p>
      <w:pPr>
        <w:spacing w:after="0" w:line="176" w:lineRule="exact"/>
        <w:rPr>
          <w:sz w:val="20"/>
          <w:szCs w:val="20"/>
          <w:color w:val="auto"/>
        </w:rPr>
      </w:pPr>
    </w:p>
    <w:p>
      <w:pPr>
        <w:jc w:val="both"/>
        <w:ind w:left="440"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changes in fair value of the Company’s derivative liability and warrant liability for which fair value was determined by Level 3 inputs: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16"/>
        </w:trPr>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2021</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3"/>
              </w:rPr>
              <w:t>2,380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tcPr>
          <w:p>
            <w:pPr>
              <w:spacing w:after="0"/>
              <w:rPr>
                <w:sz w:val="19"/>
                <w:szCs w:val="19"/>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2021</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2,257</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16"/>
        </w:trPr>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right="20"/>
        <w:spacing w:after="0" w:line="282" w:lineRule="auto"/>
        <w:rPr>
          <w:sz w:val="20"/>
          <w:szCs w:val="20"/>
          <w:color w:val="auto"/>
        </w:rPr>
      </w:pPr>
      <w:r>
        <w:rPr>
          <w:rFonts w:ascii="Times New Roman" w:cs="Times New Roman" w:eastAsia="Times New Roman" w:hAnsi="Times New Roman"/>
          <w:sz w:val="18"/>
          <w:szCs w:val="18"/>
          <w:color w:val="auto"/>
        </w:rPr>
        <w:t>There were no transfers of financial instruments between the three levels of the fair value hierarchy for the three-month period ended March 31, 2022. The Company had no other financial assets or liabilities that were required to be measured at fair value on a recurring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PREFERRED STOCK</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Preferred Stock authorized, issued and outstanding as of March 31, 2022 is as follows</w:t>
      </w: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Liquidation</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34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00" w:type="dxa"/>
            <w:vAlign w:val="bottom"/>
          </w:tcPr>
          <w:p>
            <w:pPr>
              <w:spacing w:after="0"/>
              <w:rPr>
                <w:sz w:val="21"/>
                <w:szCs w:val="21"/>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Preference</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3,438,670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3,438,670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6,065,646</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6,065,646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1,041,607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1,023,631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C-1</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798,399</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798,399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16,061</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3,646,050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3,646,050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85,648</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D-1</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1,515,152</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1,515,152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49,957</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D-2</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1,515,151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1,515,151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49,949</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D-3</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3,750,000</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1,245,838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49,834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50,046</w:t>
            </w:r>
          </w:p>
        </w:tc>
      </w:tr>
      <w:tr>
        <w:trPr>
          <w:trHeight w:val="22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D-3A</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4,545,454</w:t>
            </w: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26,316,129</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19,248,537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284,826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279,503</w:t>
            </w:r>
          </w:p>
        </w:tc>
        <w:tc>
          <w:tcPr>
            <w:tcW w:w="80" w:type="dxa"/>
            <w:vAlign w:val="bottom"/>
          </w:tcPr>
          <w:p>
            <w:pPr>
              <w:spacing w:after="0"/>
              <w:rPr>
                <w:sz w:val="21"/>
                <w:szCs w:val="2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The holders of the Company’s Series A, Series B, Series C, Series C-1, Series D, Series D-1, Series D-2, Series D-3 and Series D-3A Preferred Stock (collectively, “Preferred Stock”) have the following rights, preferences and privileges: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dividends have been declared during the three-month period ended March 31, 2022.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Conversion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conversion events have occurred during the three-month period ended March 31,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jc w:val="center"/>
        <w:ind w:right="8660"/>
        <w:spacing w:after="0"/>
        <w:rPr>
          <w:sz w:val="20"/>
          <w:szCs w:val="20"/>
          <w:color w:val="auto"/>
        </w:rPr>
      </w:pPr>
      <w:r>
        <w:rPr>
          <w:rFonts w:ascii="Times New Roman" w:cs="Times New Roman" w:eastAsia="Times New Roman" w:hAnsi="Times New Roman"/>
          <w:sz w:val="18"/>
          <w:szCs w:val="18"/>
          <w:b w:val="1"/>
          <w:bCs w:val="1"/>
          <w:color w:val="auto"/>
        </w:rPr>
        <w:t xml:space="preserve">10. PREFERRED STOCK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Liquidation Preference</w:t>
      </w:r>
    </w:p>
    <w:p>
      <w:pPr>
        <w:spacing w:after="0" w:line="225"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 holders of Preferred Stock are entitled to receive distributions of any assets of the Company in order of their preferences.</w:t>
      </w:r>
    </w:p>
    <w:p>
      <w:pPr>
        <w:spacing w:after="0" w:line="162" w:lineRule="exact"/>
        <w:rPr>
          <w:sz w:val="20"/>
          <w:szCs w:val="20"/>
          <w:color w:val="auto"/>
        </w:rPr>
      </w:pPr>
    </w:p>
    <w:p>
      <w:pPr>
        <w:jc w:val="both"/>
        <w:ind w:left="440" w:right="20"/>
        <w:spacing w:after="0" w:line="282" w:lineRule="auto"/>
        <w:rPr>
          <w:sz w:val="20"/>
          <w:szCs w:val="20"/>
          <w:color w:val="auto"/>
        </w:rPr>
      </w:pPr>
      <w:r>
        <w:rPr>
          <w:rFonts w:ascii="Times New Roman" w:cs="Times New Roman" w:eastAsia="Times New Roman" w:hAnsi="Times New Roman"/>
          <w:sz w:val="18"/>
          <w:szCs w:val="18"/>
          <w:color w:val="auto"/>
        </w:rPr>
        <w:t>The Company has not experienced any voluntary or involuntary liquidation, dissolution or winding up during the three months ended March 31, 2022.</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Redemption</w:t>
      </w:r>
    </w:p>
    <w:p>
      <w:pPr>
        <w:spacing w:after="0" w:line="225"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Preferred Stock is not mandatorily redeemable. The Company has not experienced any redemptions during the three months ended March 31, 2022.</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Voting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Voting rights have not changed during the three months ended March 31,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COMMON STOCK</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2022, the Company has authorized the issuance of 45,000,000 shares of common stock.</w:t>
      </w:r>
    </w:p>
    <w:p>
      <w:pPr>
        <w:spacing w:after="0" w:line="225"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Company has reserved shares of common stock for future issuance on an as-if converted basis related to the following outstanding Preferred Stock, warrants, stock options and future grants as of March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3,438,670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6,065,646</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1,023,631</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Series C-1 Preferred Stock</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798,399</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Preferred Stock</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3,646,050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Series D-1 Preferred Stock</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1,515,152</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D-2 Preferred Stock</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1,515,151</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Series D-3 Preferred Stock</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1,245,838</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191,355</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5,039,511</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362,652</w:t>
            </w:r>
          </w:p>
        </w:tc>
      </w:tr>
      <w:tr>
        <w:trPr>
          <w:trHeight w:val="23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Stock incentive plan shares reserved for future issuance</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133,441</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24,975,496</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INCENTIVE PLAN</w:t>
      </w:r>
    </w:p>
    <w:p>
      <w:pPr>
        <w:spacing w:after="0" w:line="229"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The Board of Directors has authorized and in April 2016 adopted the 2016 Equity Incentive Plan (the “2016 Plan”) as a successor and continuation of the 2006 Plan (collectively, the “Plans”). Under the Plans, the Board of Directors may grant awards of options and restricted stock, as well as stock appreciation rights and other stock awards. During the year ended December 31, 2021, the Company amended the 2016 Plan to increase the number of shares of common stock reserved for issuance under the Plans by 1,200,000 to an aggregate of 8,701,460. During the three months ended March 31, 2022, no further amendments to the Plans were made.</w:t>
      </w:r>
    </w:p>
    <w:p>
      <w:pPr>
        <w:spacing w:after="0" w:line="183"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 RSUs granted generally vest over a four-year period, with 25% cliff vesting after one year and then ratably on a quarterly basis for the remaining three years.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STOCK INCENTIVE PLAN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Option Activity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Shares available for grant under the Plans is as follows for the three-month period ended March 31, 2022 and the year ended December 31,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2021</w:t>
            </w:r>
          </w:p>
        </w:tc>
        <w:tc>
          <w:tcPr>
            <w:tcW w:w="112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57,535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Authorized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2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(1,134,542)</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Awards forfeited or cancelled</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376,245</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Authorized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2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(362,652)</w:t>
            </w:r>
          </w:p>
        </w:tc>
        <w:tc>
          <w:tcPr>
            <w:tcW w:w="0" w:type="dxa"/>
            <w:vAlign w:val="bottom"/>
          </w:tcPr>
          <w:p>
            <w:pPr>
              <w:spacing w:after="0"/>
              <w:rPr>
                <w:sz w:val="1"/>
                <w:szCs w:val="1"/>
                <w:color w:val="auto"/>
              </w:rPr>
            </w:pP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forfeited or cancelled</w:t>
            </w: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left w:val="single" w:sz="8" w:color="CCEEFF"/>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March 31, 2022</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133,441</w:t>
            </w:r>
          </w:p>
        </w:tc>
        <w:tc>
          <w:tcPr>
            <w:tcW w:w="0" w:type="dxa"/>
            <w:vAlign w:val="bottom"/>
          </w:tcPr>
          <w:p>
            <w:pPr>
              <w:spacing w:after="0"/>
              <w:rPr>
                <w:sz w:val="1"/>
                <w:szCs w:val="1"/>
                <w:color w:val="auto"/>
              </w:rPr>
            </w:pPr>
          </w:p>
        </w:tc>
      </w:tr>
      <w:tr>
        <w:trPr>
          <w:trHeight w:val="20"/>
        </w:trPr>
        <w:tc>
          <w:tcPr>
            <w:tcW w:w="8700" w:type="dxa"/>
            <w:vAlign w:val="bottom"/>
            <w:gridSpan w:val="6"/>
            <w:vMerge w:val="restart"/>
          </w:tcPr>
          <w:p>
            <w:pPr>
              <w:ind w:left="420"/>
              <w:spacing w:after="0"/>
              <w:rPr>
                <w:sz w:val="20"/>
                <w:szCs w:val="20"/>
                <w:color w:val="auto"/>
              </w:rPr>
            </w:pPr>
            <w:r>
              <w:rPr>
                <w:rFonts w:ascii="Times New Roman" w:cs="Times New Roman" w:eastAsia="Times New Roman" w:hAnsi="Times New Roman"/>
                <w:sz w:val="18"/>
                <w:szCs w:val="18"/>
                <w:color w:val="auto"/>
              </w:rPr>
              <w:t>Stock option activity under the Plans is as follows for the three-month period ended March 31, 2022 and 2021:</w:t>
            </w: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700" w:type="dxa"/>
            <w:vAlign w:val="bottom"/>
            <w:gridSpan w:val="6"/>
            <w:vMerge w:val="continue"/>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5,178,276</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Authorized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(297,850)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7,133</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forfeited or cancelled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(94,272)</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Outstanding, March 31, 2021</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6.85</w:t>
            </w:r>
          </w:p>
        </w:tc>
        <w:tc>
          <w:tcPr>
            <w:tcW w:w="1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69,274</w:t>
            </w: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4,926,154</w:t>
            </w:r>
          </w:p>
        </w:tc>
        <w:tc>
          <w:tcPr>
            <w:tcW w:w="2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13.91</w:t>
            </w:r>
          </w:p>
        </w:tc>
        <w:tc>
          <w:tcPr>
            <w:tcW w:w="1320" w:type="dxa"/>
            <w:vAlign w:val="bottom"/>
            <w:gridSpan w:val="2"/>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5,475,283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168,923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32,000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(438,917)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19,420</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Awards forfeited or cancelled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(28,855)</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March 31, 2022</w:t>
            </w:r>
          </w:p>
        </w:tc>
        <w:tc>
          <w:tcPr>
            <w:tcW w:w="1120" w:type="dxa"/>
            <w:vAlign w:val="bottom"/>
            <w:shd w:val="clear" w:color="auto" w:fill="000000"/>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169,930</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5,039,511</w:t>
            </w:r>
          </w:p>
        </w:tc>
        <w:tc>
          <w:tcPr>
            <w:tcW w:w="260" w:type="dxa"/>
            <w:vAlign w:val="bottom"/>
            <w:tcBorders>
              <w:lef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20.52</w:t>
            </w:r>
          </w:p>
        </w:tc>
        <w:tc>
          <w:tcPr>
            <w:tcW w:w="1320" w:type="dxa"/>
            <w:vAlign w:val="bottom"/>
            <w:gridSpan w:val="2"/>
            <w:vMerge w:val="continue"/>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Options exercisable as of March 31, 2022</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124,137</w:t>
            </w:r>
          </w:p>
        </w:tc>
        <w:tc>
          <w:tcPr>
            <w:tcW w:w="0" w:type="dxa"/>
            <w:vAlign w:val="bottom"/>
          </w:tcPr>
          <w:p>
            <w:pPr>
              <w:spacing w:after="0"/>
              <w:rPr>
                <w:sz w:val="1"/>
                <w:szCs w:val="1"/>
                <w:color w:val="auto"/>
              </w:rPr>
            </w:pPr>
          </w:p>
        </w:tc>
      </w:tr>
      <w:tr>
        <w:trPr>
          <w:trHeight w:val="263"/>
        </w:trPr>
        <w:tc>
          <w:tcPr>
            <w:tcW w:w="5980" w:type="dxa"/>
            <w:vAlign w:val="bottom"/>
            <w:vMerge w:val="continue"/>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3,050,249</w:t>
            </w:r>
          </w:p>
        </w:tc>
        <w:tc>
          <w:tcPr>
            <w:tcW w:w="26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20" w:type="dxa"/>
            <w:vAlign w:val="bottom"/>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873" w:right="339" w:bottom="623" w:gutter="0" w:footer="0" w:header="0"/>
        </w:sectPr>
      </w:pPr>
    </w:p>
    <w:p>
      <w:pPr>
        <w:ind w:left="440"/>
        <w:spacing w:after="0"/>
        <w:rPr>
          <w:sz w:val="20"/>
          <w:szCs w:val="20"/>
          <w:color w:val="auto"/>
        </w:rPr>
      </w:pPr>
      <w:r>
        <w:rPr>
          <w:rFonts w:ascii="Times New Roman" w:cs="Times New Roman" w:eastAsia="Times New Roman" w:hAnsi="Times New Roman"/>
          <w:sz w:val="18"/>
          <w:szCs w:val="18"/>
          <w:color w:val="auto"/>
        </w:rPr>
        <w:t>Restricted stock activity under the Plans are as follows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Value Per</w:t>
            </w:r>
          </w:p>
        </w:tc>
      </w:tr>
      <w:tr>
        <w:trPr>
          <w:trHeight w:val="245"/>
        </w:trPr>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00" w:type="dxa"/>
            <w:vAlign w:val="bottom"/>
          </w:tcPr>
          <w:p>
            <w:pPr>
              <w:spacing w:after="0"/>
              <w:rPr>
                <w:sz w:val="21"/>
                <w:szCs w:val="21"/>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362,652</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54.26</w:t>
            </w:r>
          </w:p>
        </w:tc>
      </w:tr>
      <w:tr>
        <w:trPr>
          <w:trHeight w:val="230"/>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r>
      <w:tr>
        <w:trPr>
          <w:trHeight w:val="250"/>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362,652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54.26</w:t>
            </w: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873" w:right="339" w:bottom="623" w:gutter="0" w:footer="0" w:header="0"/>
          <w:type w:val="continuous"/>
        </w:sect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Options exercised early are subject to the vesting provisions mentioned above, and any unvested shares are subject to repurchase at the original price upon termination of employment, death, or disability. There were no option exercises during the three-month period ended March 31, 2022 or year ended December 31, 2021 that were subject to repurchase.</w:t>
      </w:r>
    </w:p>
    <w:p>
      <w:pPr>
        <w:spacing w:after="0" w:line="176" w:lineRule="exact"/>
        <w:rPr>
          <w:sz w:val="20"/>
          <w:szCs w:val="20"/>
          <w:color w:val="auto"/>
        </w:rPr>
      </w:pPr>
    </w:p>
    <w:p>
      <w:pPr>
        <w:jc w:val="both"/>
        <w:ind w:left="440" w:right="20"/>
        <w:spacing w:after="0" w:line="282" w:lineRule="auto"/>
        <w:rPr>
          <w:sz w:val="20"/>
          <w:szCs w:val="20"/>
          <w:color w:val="auto"/>
        </w:rPr>
      </w:pPr>
      <w:r>
        <w:rPr>
          <w:rFonts w:ascii="Times New Roman" w:cs="Times New Roman" w:eastAsia="Times New Roman" w:hAnsi="Times New Roman"/>
          <w:sz w:val="18"/>
          <w:szCs w:val="18"/>
          <w:color w:val="auto"/>
        </w:rPr>
        <w:t>The total fair value of options vested was approximately $1,578 and $1,036, during the three-month period ended March 31, 2022 and 2021,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623"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STOCK INCENTIVE PLAN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stock options outstanding and exercisable as of March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25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0" w:type="dxa"/>
            <w:vAlign w:val="bottom"/>
          </w:tcPr>
          <w:p>
            <w:pPr>
              <w:spacing w:after="0"/>
              <w:rPr>
                <w:sz w:val="1"/>
                <w:szCs w:val="1"/>
                <w:color w:val="auto"/>
              </w:rPr>
            </w:pPr>
          </w:p>
        </w:tc>
      </w:tr>
      <w:tr>
        <w:trPr>
          <w:trHeight w:val="194"/>
        </w:trPr>
        <w:tc>
          <w:tcPr>
            <w:tcW w:w="5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Range of Exercise Prices Per Share</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0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0" w:type="dxa"/>
            <w:vAlign w:val="bottom"/>
          </w:tcPr>
          <w:p>
            <w:pPr>
              <w:spacing w:after="0"/>
              <w:rPr>
                <w:sz w:val="1"/>
                <w:szCs w:val="1"/>
                <w:color w:val="auto"/>
              </w:rPr>
            </w:pPr>
          </w:p>
        </w:tc>
      </w:tr>
      <w:tr>
        <w:trPr>
          <w:trHeight w:val="216"/>
        </w:trPr>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$0.00 - $12.06</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869,350</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869,350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$12.07 - $15.34</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1,176,127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1,136,881</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$15.35 - $19.31</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845,592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7.43</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558,563</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$19.32 - $24.17</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1,131,944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476,053</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$24.18 - $50.07</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1,016,498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9.53</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9,402</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7.03</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line="20" w:lineRule="exact"/>
              <w:rPr>
                <w:sz w:val="1"/>
                <w:szCs w:val="1"/>
                <w:color w:val="auto"/>
              </w:rPr>
            </w:pPr>
          </w:p>
        </w:tc>
      </w:tr>
      <w:tr>
        <w:trPr>
          <w:trHeight w:val="237"/>
        </w:trPr>
        <w:tc>
          <w:tcPr>
            <w:tcW w:w="5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5,039,511</w:t>
            </w:r>
          </w:p>
        </w:tc>
        <w:tc>
          <w:tcPr>
            <w:tcW w:w="1340" w:type="dxa"/>
            <w:vAlign w:val="bottom"/>
            <w:gridSpan w:val="2"/>
            <w:vMerge w:val="continue"/>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3,050,249</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40"/>
        <w:spacing w:after="0" w:line="281" w:lineRule="auto"/>
        <w:rPr>
          <w:sz w:val="20"/>
          <w:szCs w:val="20"/>
          <w:color w:val="auto"/>
        </w:rPr>
      </w:pPr>
      <w:r>
        <w:rPr>
          <w:rFonts w:ascii="Times New Roman" w:cs="Times New Roman" w:eastAsia="Times New Roman" w:hAnsi="Times New Roman"/>
          <w:sz w:val="17"/>
          <w:szCs w:val="17"/>
          <w:color w:val="auto"/>
        </w:rPr>
        <w:t>During the three-month period ended March 31, 2022 and 2021, the Company’s stock compensation expense was $2,464 and $1,388, respectively. As of March 31, 2022, the unamortized expense related to outstanding awards was $43,336. The weighted average remaining amortization period over which the balance as of March 31, 2022 is to be amortized is 2.93 years. No income tax benefit was recognized for this compensation expense in the condensed consolidated statements of operations and comprehensive loss, as the Company does not anticipate realizing any such benefit in the future.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Employee Stock-Based Compensation</w:t>
      </w:r>
    </w:p>
    <w:p>
      <w:pPr>
        <w:spacing w:after="0" w:line="229"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162"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assumptions under the Black-Scholes option-pricing model and the weighted average calculated fair value of the options granted to employees as of March 31, 2022 and December 31, 2021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r>
    </w:tbl>
    <w:p>
      <w:pPr>
        <w:spacing w:after="0" w:line="198"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Stock-based compensation is classified in the following operating expense accounts on the condensed consolidated statements of operations and comprehensive loss for the three-month period ended March 31, 2022 and 2021:</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45"/>
        </w:trPr>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8"/>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1,603</w:t>
            </w:r>
          </w:p>
        </w:tc>
        <w:tc>
          <w:tcPr>
            <w:tcW w:w="220" w:type="dxa"/>
            <w:vAlign w:val="bottom"/>
          </w:tcPr>
          <w:p>
            <w:pPr>
              <w:spacing w:after="0"/>
              <w:rPr>
                <w:sz w:val="17"/>
                <w:szCs w:val="17"/>
                <w:color w:val="auto"/>
              </w:rPr>
            </w:pP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1,039</w:t>
            </w:r>
          </w:p>
        </w:tc>
      </w:tr>
      <w:tr>
        <w:trPr>
          <w:trHeight w:val="230"/>
        </w:trPr>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4"/>
        </w:trPr>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r>
        <w:trPr>
          <w:trHeight w:val="250"/>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-642620</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-359410</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STOCK INCENTIVE PLAN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Options</w:t>
      </w:r>
    </w:p>
    <w:p>
      <w:pPr>
        <w:spacing w:after="0" w:line="229"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The Company historically issued option awards to key personnel with contractual expirations of 5 to 10 years. Certain individuals had not exercised their options prior to expiration. As a result of the expiration of unexercised but fully vested options awards, the Company issued new options for the same quantity previously granted, but with an exercise price set to the then fair value of common stock determined in accordance with a board approved 409A.</w:t>
      </w:r>
    </w:p>
    <w:p>
      <w:pPr>
        <w:spacing w:after="0" w:line="180"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Furthermore, in an effort to make the holders whole, the Company entered into a change in control bonus Letter Agreement with each individual. Pursuant to the agreement, each individual is entitled to an additional lump sum payment capped at the difference between the original aggregate exercise price and the new aggregate exercise price upon a change in control transaction as defined in the Company’s 2016 Equity Incentive Plan, provided that such a transaction also constitutes a “Liquidation Transaction” as defined in the Company’s Certificate of Incorporation.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maximum change in control bonus for executive award holders is $5,837 and remains unamortized as of March 31,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 leases certain facilities under non-cancelable operating leases that expire at various dates through 2025.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Aggregate noncancelable future minimum lease payments under operating and finance leases as of March 31,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40" w:type="dxa"/>
            <w:vAlign w:val="bottom"/>
          </w:tcPr>
          <w:p>
            <w:pPr>
              <w:spacing w:after="0"/>
              <w:rPr>
                <w:sz w:val="21"/>
                <w:szCs w:val="21"/>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Remainder of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1,739</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(1,541)</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(3,519)</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information related to the Company’s lease balances during the period ended March 31, 2022 and 2021 and as of March 31, 2022 and</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December 31, 2021 includes: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4120" w:type="dxa"/>
            <w:vAlign w:val="bottom"/>
            <w:tcBorders>
              <w:bottom w:val="single" w:sz="8" w:color="CCEEFF"/>
            </w:tcBorders>
          </w:tcPr>
          <w:p>
            <w:pPr>
              <w:spacing w:after="0"/>
              <w:rPr>
                <w:sz w:val="21"/>
                <w:szCs w:val="21"/>
                <w:color w:val="auto"/>
              </w:rPr>
            </w:pPr>
          </w:p>
        </w:tc>
        <w:tc>
          <w:tcPr>
            <w:tcW w:w="45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41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lease cost:</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finance leased assets</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Interest of lease liabilities</w:t>
            </w: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r>
      <w:tr>
        <w:trPr>
          <w:trHeight w:val="637"/>
        </w:trPr>
        <w:tc>
          <w:tcPr>
            <w:tcW w:w="41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13. LEASES </w:t>
            </w:r>
            <w:r>
              <w:rPr>
                <w:rFonts w:ascii="Times New Roman" w:cs="Times New Roman" w:eastAsia="Times New Roman" w:hAnsi="Times New Roman"/>
                <w:sz w:val="18"/>
                <w:szCs w:val="18"/>
                <w:color w:val="auto"/>
              </w:rPr>
              <w:t>(cont.)</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860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Financing</w:t>
            </w:r>
          </w:p>
        </w:tc>
      </w:tr>
      <w:tr>
        <w:trPr>
          <w:trHeight w:val="245"/>
        </w:trPr>
        <w:tc>
          <w:tcPr>
            <w:tcW w:w="86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1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4.12</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Borders>
              <w:top w:val="single" w:sz="8" w:color="CCEEFF"/>
            </w:tcBorders>
            <w:shd w:val="clear" w:color="auto" w:fill="CCEEFF"/>
          </w:tcPr>
          <w:p>
            <w:pPr>
              <w:spacing w:after="0"/>
              <w:rPr>
                <w:sz w:val="18"/>
                <w:szCs w:val="18"/>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5.92%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10.24%</w:t>
            </w: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rent expense totaled approximately $922 and $1,036 during the period ended March 31, 2022 and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OTHER EXPENSE, NET</w:t>
      </w:r>
    </w:p>
    <w:p>
      <w:pPr>
        <w:spacing w:after="0" w:line="229"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Other expense, net on the condensed consolidated statements of operations and comprehensive loss is comprised of the following for the three months ended March 31, 2022 and 2021, respectively:</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Change in fair value of derivative and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other expense, net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08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45"/>
        </w:trPr>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4"/>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255"/>
        </w:trPr>
        <w:tc>
          <w:tcPr>
            <w:tcW w:w="100" w:type="dxa"/>
            <w:vAlign w:val="bottom"/>
          </w:tcPr>
          <w:p>
            <w:pPr>
              <w:spacing w:after="0"/>
              <w:rPr>
                <w:sz w:val="22"/>
                <w:szCs w:val="22"/>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2"/>
                <w:szCs w:val="2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50"/>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29"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attributable to common stockholders for the three-month period ended March 31, 2022 and 2021,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(25,103)</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(19,260)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dilutive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12,527,229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11,872,698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For the three-month period ended March 31, 2022 and 2021, the diluted earnings per share is equal to the basic earnings per share as the effect of potentially dilutive securities would have been antidilutive.</w:t>
      </w:r>
    </w:p>
    <w:p>
      <w:pPr>
        <w:spacing w:after="0" w:line="162"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shares of potentially dilutive securities that were excluded from the calculation of diluted earnings per share because their inclusion would have been anti-dilutive for the three-month period ended March 31, 2022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5"/>
        </w:trPr>
        <w:tc>
          <w:tcPr>
            <w:tcW w:w="3660" w:type="dxa"/>
            <w:vAlign w:val="bottom"/>
          </w:tcPr>
          <w:p>
            <w:pPr>
              <w:spacing w:after="0"/>
              <w:rPr>
                <w:sz w:val="21"/>
                <w:szCs w:val="21"/>
                <w:color w:val="auto"/>
              </w:rPr>
            </w:pPr>
          </w:p>
        </w:tc>
        <w:tc>
          <w:tcPr>
            <w:tcW w:w="61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0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5,039,511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4,926,154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Series C warrants</w:t>
            </w:r>
          </w:p>
        </w:tc>
        <w:tc>
          <w:tcPr>
            <w:tcW w:w="6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362,652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6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191,355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261,696</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50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19,248,537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19,132,387</w:t>
            </w:r>
          </w:p>
        </w:tc>
        <w:tc>
          <w:tcPr>
            <w:tcW w:w="0" w:type="dxa"/>
            <w:vAlign w:val="bottom"/>
          </w:tcPr>
          <w:p>
            <w:pPr>
              <w:spacing w:after="0"/>
              <w:rPr>
                <w:sz w:val="1"/>
                <w:szCs w:val="1"/>
                <w:color w:val="auto"/>
              </w:rPr>
            </w:pPr>
          </w:p>
        </w:tc>
      </w:tr>
      <w:tr>
        <w:trPr>
          <w:trHeight w:val="27"/>
        </w:trPr>
        <w:tc>
          <w:tcPr>
            <w:tcW w:w="36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0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vMerge w:val="continue"/>
            <w:shd w:val="clear" w:color="auto" w:fill="CCEEFF"/>
          </w:tcPr>
          <w:p>
            <w:pPr>
              <w:spacing w:after="0"/>
              <w:rPr>
                <w:sz w:val="21"/>
                <w:szCs w:val="21"/>
                <w:color w:val="auto"/>
              </w:rPr>
            </w:pPr>
          </w:p>
        </w:tc>
        <w:tc>
          <w:tcPr>
            <w:tcW w:w="50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24,842,055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24,320,237</w:t>
            </w:r>
          </w:p>
        </w:tc>
        <w:tc>
          <w:tcPr>
            <w:tcW w:w="0" w:type="dxa"/>
            <w:vAlign w:val="bottom"/>
          </w:tcPr>
          <w:p>
            <w:pPr>
              <w:spacing w:after="0"/>
              <w:rPr>
                <w:sz w:val="1"/>
                <w:szCs w:val="1"/>
                <w:color w:val="auto"/>
              </w:rPr>
            </w:pPr>
          </w:p>
        </w:tc>
      </w:tr>
      <w:tr>
        <w:trPr>
          <w:trHeight w:val="21"/>
        </w:trPr>
        <w:tc>
          <w:tcPr>
            <w:tcW w:w="366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16. INCOME TAXES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51"/>
        </w:trPr>
        <w:tc>
          <w:tcPr>
            <w:tcW w:w="8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tax expense and the effective tax rate resulting from operations were as follows: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3"/>
        </w:trPr>
        <w:tc>
          <w:tcPr>
            <w:tcW w:w="8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8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16"/>
                <w:szCs w:val="16"/>
                <w:color w:val="auto"/>
              </w:rPr>
            </w:pPr>
          </w:p>
        </w:tc>
      </w:tr>
      <w:tr>
        <w:trPr>
          <w:trHeight w:val="245"/>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r>
      <w:tr>
        <w:trPr>
          <w:trHeight w:val="216"/>
        </w:trPr>
        <w:tc>
          <w:tcPr>
            <w:tcW w:w="8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r>
    </w:tbl>
    <w:p>
      <w:pPr>
        <w:spacing w:after="0" w:line="117"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increase in the effective tax rate for the three months ended March 31, 2022, compared to the three months ended March 31, 2021, is primarily due to the amount and mix of income (loss) from multiple tax jurisdictions and withholding taxes in excluded loss jurisdictions.</w:t>
      </w:r>
    </w:p>
    <w:p>
      <w:pPr>
        <w:spacing w:after="0" w:line="162"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162"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The Company currently has valuation allowances recorded against its deductible temporary differences and net operating loss carryforwards in certain jurisdictions where the realizability of such deferred tax assets is substantially in doubt. Each quarter, the Company assesses the likelihood that it will be able to recover its deferred tax assets. The Company considers available evidence, including significant events and transactions, both positive and negative, including reversing taxable temporary differences and forecasted earnings in assessing its need for a valuation allowance in each jurisdiction. As a result of the Company’s analysis, it concluded that it is more likely than not that a portion of its deferred tax assets will not be realized. Therefore, the Company continues to provide a valuation allowance against its deferred tax assets in certain jurisdictions. The Company continues to monitor available evidence and may reverse some or all its remaining valuation allowance in future periods, if appropriate. The Company has a recorded valuation allowance against its deferred tax assets of $86,694 thousand as of March 31, 2022, and $50,821 thousand as of March 31, 2021.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148"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 entered into revenue contracts to perform professional services for certain companies who are also investors in the Company. These companies are holders of either the Company’s common stock or Preferred Stock. The following is financial information on related party transactions as of and for the three-month period ended March 31, 2022 and for the year ended December 31,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9"/>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0" w:type="dxa"/>
            <w:vAlign w:val="bottom"/>
          </w:tcPr>
          <w:p>
            <w:pPr>
              <w:spacing w:after="0"/>
              <w:rPr>
                <w:sz w:val="24"/>
                <w:szCs w:val="24"/>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evaluated subsequent events through May 16, 2022, the date the condensed consolidated financial statements were issued.</w:t>
      </w:r>
    </w:p>
    <w:p>
      <w:pPr>
        <w:spacing w:after="0" w:line="144"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In April 2022, the Company received additional PIPE funding in connection with the Business Combination, resulting in an increase of $2,000 to the gross proceeds to be received from the transaction.</w:t>
      </w:r>
    </w:p>
    <w:p>
      <w:pPr>
        <w:spacing w:after="0" w:line="81"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In April 2022, the Company entered into a loan modification agreement with Silicon Valley Bank, which modified the original maturity date term of the SVB March 2021 Note. The agreement extended the note’s Early Maturity Date from April 26, 2022 to May 26, 2022. Refer to Note 8 for the SVB March 2021 Note’s original maturity date terms.</w:t>
      </w:r>
    </w:p>
    <w:p>
      <w:pPr>
        <w:spacing w:after="0" w:line="95"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On April 26, 2022, the Company and Archimedes Tech SPAC Partners Co. (“ATSP”) completed a merger resulting in the reverse recapitalization of the Company (the “Business Combination”) and the issuance of common stock in the PIPE investment. Upon the Closing of the Business Combination, ATSP changed its name to SoundHound AI, Inc. Cash proceeds of the Business Combination were funded through a combination of $5,357 held in trust by ATSP (following satisfaction of redemptions by public stockholders), and $113,000 in aggregate gross proceeds from PIPE investors in exchange for 11,300,000 shares of SoundHound AI Class A common stock that closed substantially contemporaneously with the Closing of the Business Combination. The combined company incurred $25,293 of expenses related to the transaction. After giving effect to these transactions, SoundHound received $93,064 in net proceeds, which are intended to be used for general corporate purposes, including investments in sales, marketing and advancement of product development, but which may also be used to acquire other companies in the Voice AI industry.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663"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OF SOUNDHOUND, INC.</w:t>
      </w:r>
    </w:p>
    <w:p>
      <w:pPr>
        <w:spacing w:after="0" w:line="2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SoundHound should be read together with our unaudited interim condensed consolidated financial statements as of March 31, 2022 and for the three-month periods ended March 31, 2022 and 2021, together with related notes thereto, and our pro forma financial information as of and for year ended December 31, 2021 included elsewhere in this amendment to our current report on Form 8-K, which was originally filed with the SEC on May 2, 2022 and amended by Amendment No. 1 to Current Report on Form 8-K of which this Management’s Discussion and Analysis of Financial Condition and Results of Operations is included as Exhibit 99.2 (as originally filed, the “Form 8-K” and, as amended hereby, the “Form 8-K/A”). The discussion and analysis should also be read together with our audited consolidated financial statements as of December 31, 2021 and 2020 and for the years ended December 31, 2021, and 2020 and 2019 and the sections entitled “Business of SoundHound and ATSP” and “Management’s Discussion and Analysis of Financial Condition and Results of Operations of SoundHound” included in the Proxy Statement (as such term is defined in the Form 8-K) and incorporated by reference into the Form 8-K/A herein. Some of the information contained in this discussion and analysis or set forth elsewhere in this the Form 8-K/A, including information with respect to SoundHound’s plans and strategy for its business and related financing, includes forward-looking statements that involve risks and uncertainties. As a result of many factors, including those factors set forth in the “Risk Factors” and “Cautionary Statement Regarding Forward Looking Statements” section of this the Form 8-K/A,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Inc.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and Collective AI breakthrough technologies developed over the past 16 years, our advanced Voice AI platform provides exceptional speed and accuracy and enables humans to interact with products and services like they interact with each other — by speaking naturally.</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Houndify’s Collective AI is an architecture for connecting domain knowledge that encourages collaboration and contribution among developers, is always learning, and is greater than the sum of its parts — ensuring the platform continues to become smarter at a faster rate.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SoundHound’s technology is live in production and at scale with companies around the globe, including Hyundai, Mercedes-Benz, Pandora, Deutsche Telekom, Snap, VIZIO, KIA and Stellantis. Houndify traffic has experienced 10x growth in the past 2 years, with 2x growth in approximately 6 months through the first half of 2021. As a result, we have surpassed 1 billion annual queries in 2021.</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current partners span multiple industries and geographies, and together have a combined reach of over 2 billion end users. By growing these strategic relationships, our year-over-year revenues have grown by more than 50% over the past three years. We project to exceed $1.0 billion in annual gross revenues within 5 years, and as a testament to the strength of our current revenue-generating strategic partnerships, a sizeable portion of this future revenue is expected to come from existing customers.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227 patents granted or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 which is estimated to grow to $160.0 billion by 2026.</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creates a great opportunity for SoundHound: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we offer a superior ecosystem, benefitting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are three pillars to our revenue model. The first pillar is Product Royalties, where we voice enable a product and the product creator pays us a royalty based on volume, usage or duration. SoundHound collects royalties when Houndify is placed in a car, smart speaker or an appliance, for example.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generates monetization revenue from the services for generating these leads and transactions, and we will share the revenue with the product creators of pillar one. For example, when the driver of a voice-enabled car places an order to a restaurant that’s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periods presented in the condensed consolidated financial statements,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from leads and transactions on voice-enabled products from voice-enabled services.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All three pillars contribute to our revenues today in 2022. While the majority of the contribution is currently from our first pillar of royalties, over time, the subscription and monetization portions are expected to grow and make a bigger contribution to our overall revenue.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ATSP Merger</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15, 2021, ATSP, SoundHound and Merger Sub, entered into a merger agreement (“Merger Agreement”), resulting in the reverse recapitalization of SoundHound (the “Business Combination”) and the issuance of Archimedes Tech SPAC Partners Co. (“ATSP”) common stock in the PIPE investment. The Business Combination was completed on April 26, 2022 (the "Closing"). Upon the Closing of the Business Combination, ATSP changed its name to SoundHound AI, Inc.</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Cash proceeds of the Business Combination were funded through a combination of $5.4 million in cash held in trust by ATSP (following satisfaction of redemptions by public stockholders), and $113.0 million in aggregate gross proceeds from PIPE investors in exchange for 11,3000,000 shares of SoundHound AI Class A common stock that closed substantially contemporaneously with the Closing of the Business Combination. The combined company incurred $25.3 million of expenses related to the transaction. After giving effect to these transactions, SoundHound received $93.0 million in net proceeds, which are intended to be used for general corporate purposes, including investments in sales, marketing and advancement of product development, but which may also be used to acquire other companies in the Voice AI industry. SoundHound has not entered into any agreements to acquire companies in the Voice AI industry, nor does it require consummation of mergers or acquisitions of other businesses to achieve its stated goals. That said, if there are candidates that makes strategic, operational and financial sense, the combined company may consider such opportunities from time to time as they become available.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Impact of the Business Combination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with no goodwill or other intangible assets recorded, in accordance with GAAP. A reverse recapitalization did not result in a new basis of accounting, and the financial statements of the combined entity represent the continuation of the financial statements of SoundHound in many respects.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this method of accounting, Archimedes was treated as the “acquired” company for financial reporting purposes. For accounting purposes, SoundHound was deemed to be the accounting acquirer in the transaction and, consequently, the transaction was treated as a recapitalization of SoundHound (i.e., a capital transaction involving the issuance of stock by ATSP for the stock of SoundHound). Accordingly, the consolidated assets, liabilities and results of operations of SoundHound became the historical financial statements of the combined company, and ATSP’s assets, liabilities and results of operations were consolidated with SoundHound’s beginning on the acquisition date. Operations prior to the Business Combination were presented as those of SoundHound in future reports. The net assets of SoundHound were recognized at carrying value, with no goodwill or other intangible assets recorded.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the full impact of the COVID-19 pandemic on our business continues to develop, we are closely monitoring the global situation. As a supplier to multiple industries, including the automotive industry, we are adversely impacted by the decline in the production of certain of our customers’ products in connection with the COVID-19 pandemic, including reductions in automotive production, chip shortages in the semiconductor industry and broader supply chain challenges across the globe. We are unable at this time to predict the full impact of COVID-19 on our operations, liquidity and financial results, and, depending on the magnitude and duration of the COVID-19 pandemic, such impact may be material. During the three months ended March 31, 2022 and three months ended March 31, 2021, the COVID-19 pandemic had an impact on our billings and revenue recognized from per unit royalties for Houndify Solutions which may also continue beyond fiscal year 2022. The extent of this impact is not currently determinable. However, we expect billings to increase as car manufacturers recover from delayed production due to the pandemic. Accordingly, it may not be indicative of future results and trends for reasons other than COVID-19 discussed herein may not be indicative of future operating results and trends. While we are unable to accurately predict the full impact that COVID-19 will have on our results from operations, financial condition, liquidity and cash flows due to numerous uncertainties, including the duration and severity of the pandemic and containment measures, these measures have impacted, and may continue to impact, our business, as well as our customers and consumers.</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SoundHound continues to monitor its operations and government recommendations and has modified its operations because of the COVID-19 pandemic, including making remote work more accessible to its employees. SoundHound does not yet know the full extent of potential impacts on our business and operations. Given the extant uncertainty, SoundHound cannot reasonably estimate the impact on our future results of operations, cash flows or financial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Known Trends, Demands, Commitments, Events or Uncertainties Impacting Our Business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SoundHound believes that its performance and future success depend on many factors that present significant opportunities for us but also pose risks and challenges, including the following:</w:t>
      </w:r>
    </w:p>
    <w:p>
      <w:pPr>
        <w:spacing w:after="0" w:line="158" w:lineRule="exact"/>
        <w:rPr>
          <w:sz w:val="20"/>
          <w:szCs w:val="20"/>
          <w:color w:val="auto"/>
        </w:rPr>
      </w:pPr>
    </w:p>
    <w:p>
      <w:pPr>
        <w:jc w:val="both"/>
        <w:ind w:left="660" w:hanging="328"/>
        <w:spacing w:after="0" w:line="26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Investments in Technology. </w:t>
      </w:r>
      <w:r>
        <w:rPr>
          <w:rFonts w:ascii="Times New Roman" w:cs="Times New Roman" w:eastAsia="Times New Roman" w:hAnsi="Times New Roman"/>
          <w:sz w:val="18"/>
          <w:szCs w:val="18"/>
          <w:color w:val="auto"/>
        </w:rPr>
        <w:t>Our business model since inception has been to invest significantly in our Houndify platform technology in the 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dedicated research and development. We will continue to invest in the development of our software platform to deliver consumers with continually improving value and delight. Our investments include continuous enhancements to our ASR and NLU models, investments in data to help refine and improve our underlying algorithms, and other costs to attract and retain a world-class technical workforce.</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Revenue Growth. </w:t>
      </w:r>
      <w:r>
        <w:rPr>
          <w:rFonts w:ascii="Times New Roman" w:cs="Times New Roman" w:eastAsia="Times New Roman" w:hAnsi="Times New Roman"/>
          <w:sz w:val="18"/>
          <w:szCs w:val="18"/>
          <w:color w:val="auto"/>
        </w:rPr>
        <w:t>Our commercial success, including acceptance and use of our applications, will depend on a number of factors, some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 Our revenue consists of subscription revenue, royalties, and monetization revenues, which we consider recurring if our customer contract does not terminate the relationship and we continue to provide the customer with same or other services in the subsequent year. For example, if we perform a one-time non-recurring engineering project for a customer and that same customer engages with us afterwards for a Product Royalty contract, the revenue in both years, regardless of the specific service, would contribute towards our overall customer retention rate. By contrast, if SoundHound provides an annual subscription contract to a customer and that customer does not execute an agreement for services for the subsequent annual period, SoundHound would not consider that customer as retained. As determined on the foregoing basis, based on the number of customers to whom we provide services during one year compared to the prior year period, our customer retention rate as of March 31, 2022 is at least 90%.</w:t>
      </w:r>
    </w:p>
    <w:p>
      <w:pPr>
        <w:spacing w:after="0" w:line="19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The results of our business will depend in part on our ability to establish and increase our gross margins by scaling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Seasonality. </w:t>
      </w:r>
      <w:r>
        <w:rPr>
          <w:rFonts w:ascii="Times New Roman" w:cs="Times New Roman" w:eastAsia="Times New Roman" w:hAnsi="Times New Roman"/>
          <w:sz w:val="18"/>
          <w:szCs w:val="18"/>
          <w:color w:val="auto"/>
        </w:rPr>
        <w:t>Our ability to accurately forecast demand for our technology could be negatively affected by many factors, including seasonal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We anticipate that we will experience fluctuations in customer and user demand based on seasonality. Given that we address markets across several different industry verticals, the associated overall seasonality impact to us may not be consistent year-to-year.</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Development of International Markets. </w:t>
      </w:r>
      <w:r>
        <w:rPr>
          <w:rFonts w:ascii="Times New Roman" w:cs="Times New Roman" w:eastAsia="Times New Roman" w:hAnsi="Times New Roman"/>
          <w:sz w:val="18"/>
          <w:szCs w:val="18"/>
          <w:color w:val="auto"/>
        </w:rPr>
        <w:t>We have rapidly expanded our capabilities and global reach. We have globalized our solution from 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22 languages, with a roadmap of 38 languages and 114 acoustic variations. We view opportunities for conversational Voice AI to be global in reach, and we expect our growth to be fueled across multiple geographies.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ind w:left="660" w:hanging="328"/>
        <w:spacing w:after="0" w:line="256" w:lineRule="auto"/>
        <w:tabs>
          <w:tab w:leader="none" w:pos="66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Industry Risks. </w:t>
      </w:r>
      <w:r>
        <w:rPr>
          <w:rFonts w:ascii="Times New Roman" w:cs="Times New Roman" w:eastAsia="Times New Roman" w:hAnsi="Times New Roman"/>
          <w:sz w:val="18"/>
          <w:szCs w:val="18"/>
          <w:color w:val="auto"/>
        </w:rPr>
        <w:t>The COVID-19 pandemic has adversely affected our business and results of operations as of March 31, 2022 and 2021.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duration and extent to which the COVID-19 pandemic will continue to adversely impact our business and results of operations remains uncertain and could be material. Additionally, the military conflict between Russia and Ukraine, which began on February 24, 2022, has had an adverse impact on the global economy and financial markets. Although our business has not been materially impacted by this ongoing military conflict, it is impossible to predict the extent to which our operations, or those of our customers’ suppliers and manufacturers, will be impacted in the short and long term, or the ways in which the conflict may impact our business. The extent and duration of the military action, sanctions and resulting market disruptions are impossible to predict, but could be substantial.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were prepared in accordance with U.S. GAAP for the three-month period ended March 31, 2022 (“Q1 2022”) and March 31, 2021 (“Q1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SoundHound generates revenues through: (1) “Product Royalties,” meaning royalties from voice-enabled products which are driven by volume, usage or life of applicable products and are affected by number of devices, users and units of usage time, (2) “Service Subscriptions,” meaning subscription revenues, derived from monthly fees based on usage-based revenue, revenue per query or revenue per user, (3) “Monetization,” meaning revenues generated from focused ad targeting to users of products and services that employ our technologies, and (4) “Licensing,” meaning licensed voice solutions that are embedded in customer products. Currently, our monetization revenue is derived exclusively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classify our operating expenses into the following four categories, which are cost of revenues, sales and marketing, research and development, and general and administrative. Excluding cost of revenues, each expense category includes overhead, including rent and related occupancy costs, which is allocated based on headcount.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SoundHound’s cost of revenues are comprised of direct costs associated directly with SoundHound’s three revenue streams as described above. This primarily includes costs and depreciation related to hosting for cloud-based services, such as data centers, electricity charges, content fees and certain personnel-related expenses that are directly related to these revenue streams.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consist of personnel-related expenses related costs of the sales and marketing team, promotional campaigns, advertising fees and other marketing related costs. Advertising costs are expensed to sales and marketing when incurred.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are our largest operating expense as we continue to develop our software platforms and produce new technological capabilities.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in the periods in which they are incurred. We expect that our research and development expenses will continue to increase as we continue to invest in development activities related to our current and future applications.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accounting and legal expenses, third-party consulting costs, insurance and allocated overhead including rent, depreciation and utilities.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due to our operations as a public company, including expenses related to compliance with the rules and regulations applicable to companies listed on a national securities exchange and related to compliance and reporting obligations pursuant to the rules and regulations of the SEC, as well as increased expenses for insurance (including director and officer insurance), investor relations activities and other administrative and professional services such as accounting, legal, regulatory and tax. We also expect our administrative expenses, including personnel related expenses, to increase as we increase our headcount and expand our facilities and information technology to support our operations as a public company. Our general and administrative expenses may fluctuate from period-to-period due to seasonality.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consists of stated interest incurred on our outstanding convertible notes and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issuance of debt instruments with direct transaction costs and the bifurcation of embedded derivatives and warrant instruments has resulted in debt discounts. Direct transaction costs consist of various transaction fees, such as bank and legal fees, that are incurred upon issuance. Overall, the discounts from debt issuance costs result in an increased amount of interest expense over the amortization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and Warrant Liability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account for certain warrants and conversion features as liabilities at fair value and adjust the instruments to fair value at each reporting period. We determined that the conversion feature associated with one of our debt instruments is a freestanding derivative instrument. The derivative and warrant liabilities’ changes in fair value that result from remeasurement at each balance sheet date is recognized in the Company’s Condensed Consolidated Statement of Operations and Comprehensive Loss as other expense, net.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expense, net consists of realized and unrealized gains and losses related to foreign currency revaluation. As the functional currency of the Company and its subsidiaries is the U.S. dollar, transactions denominated in foreign currency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Income tax expense includes federal, state and foreign taxes and is based on reported income before income taxes. We are in a cumulative loss position for tax purposes based on historical earnings. As of December 31, 2021, the Company had net operating loss carry forwards of approximately $301.5 million and $102.9 million available to reduce future taxable income, if any, for both federal and state income tax purposes, respectively. Additionally, as of December 31, 2021 the Company had net operating loss carryforwards of $3.4 million relating to net operating losses in Germany (“Germany Net Operating Losses”). The federal and state net operating loss carry forwards will start to expire in 2025 and 2028, respectively, with the exception of $212.9 million in federal net operating loss carryforwards, which can be carried forward indefinitely. The Germany Net Operating Losses can be carried forward indefinitely. The Company also had federal and state research and development credit carry forwards of approximately $8.9 million and $8.0 million, respectively, at December 31, 2021. The federal credits will expire starting in 2029 if not utilized. State research and development tax credits will carry forward indefinitely.</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may in the future experience ownership changes as a result of changes in our stock ownership (some of which are not in our control). For these reasons, or other factors outside of our control, such as future regulatory or other changes, our ability to utilize our NOL carryforwards and other tax attributes to reduce future tax liabilities may be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Q1 2022 and Q1 2021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4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200" w:type="dxa"/>
            <w:vAlign w:val="bottom"/>
            <w:gridSpan w:val="3"/>
            <w:vMerge w:val="restart"/>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200" w:type="dxa"/>
            <w:vAlign w:val="bottom"/>
            <w:tcBorders>
              <w:bottom w:val="single" w:sz="8" w:color="CCEEFF"/>
            </w:tcBorders>
          </w:tcPr>
          <w:p>
            <w:pPr>
              <w:spacing w:after="0"/>
              <w:rPr>
                <w:sz w:val="21"/>
                <w:szCs w:val="21"/>
                <w:color w:val="auto"/>
              </w:rPr>
            </w:pPr>
          </w:p>
        </w:tc>
        <w:tc>
          <w:tcPr>
            <w:tcW w:w="17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1,593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16,650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14,443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42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vMerge w:val="continue"/>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25,007</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20,358</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(4,034)</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(2,474)</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(1,560)</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Provision for income taxes</w:t>
            </w:r>
          </w:p>
        </w:tc>
        <w:tc>
          <w:tcPr>
            <w:tcW w:w="17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5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4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w w:val="99"/>
              </w:rPr>
              <w:t>The following tables summarizes our revenues by type and geographic regions for Q1 2022 and Q1 2021 (in thousands):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940" w:type="dxa"/>
            <w:vAlign w:val="bottom"/>
          </w:tcPr>
          <w:p>
            <w:pPr>
              <w:spacing w:after="0"/>
              <w:rPr>
                <w:sz w:val="24"/>
                <w:szCs w:val="24"/>
                <w:color w:val="auto"/>
              </w:rPr>
            </w:pPr>
          </w:p>
        </w:tc>
        <w:tc>
          <w:tcPr>
            <w:tcW w:w="13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94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Service Subscriptions</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51"/>
        </w:trPr>
        <w:tc>
          <w:tcPr>
            <w:tcW w:w="594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24"/>
                <w:szCs w:val="24"/>
                <w:color w:val="auto"/>
              </w:rPr>
            </w:pPr>
          </w:p>
        </w:tc>
        <w:tc>
          <w:tcPr>
            <w:tcW w:w="12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20" w:type="dxa"/>
            <w:vAlign w:val="bottom"/>
          </w:tcPr>
          <w:p>
            <w:pPr>
              <w:spacing w:after="0"/>
              <w:rPr>
                <w:sz w:val="18"/>
                <w:szCs w:val="18"/>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59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50"/>
        </w:trPr>
        <w:tc>
          <w:tcPr>
            <w:tcW w:w="5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Total revenues increased by $0.6 million, or 15%, in Q1 2022 compared to Q1 2021. Product Royalties revenue increased by $0.7 million during Q1 2022 compared to Q1 2021. $0.2 million of the increase is attributable to the Company’s first sales of licensing revenue from its embedded solution during Q1 2022. Additionally, we earned $0.5 million of professional services revenue in Q1 2022, which is comprised primarily of contracts for customized and proof-of-concept projects with multiple customers. The Company had no professional services revenue during Q1 2021. Royalties based on usage and hosting remained relatively consistent period over period.</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Monetization revenue decreased by $0.1 million during Q1 2022 the decrease is due to one customer whose contract terminated during the year ended December 31, 2021, and therefore, did not generate any revenue for Q1 2022. Additionally, the decrease was due to a decrease in advertising revenue through decreased user impressions on the SoundHound music application.</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benefited from growth across the United States, France and other smaller foreign regions from scaling our Houndify Products with large automotive and device makers. We have experienced additional growth of revenue of Houndified Products in geographic regions of France and the United Kingdom of $0.5 million and $0.3 million, respectively, during Q1 2022 compared to Q1 2021. In France, our revenue increased due to distinct customization services sold to an existing large automotive company which also commenced production of our Houndified Product in their vehicles. Additionally, we further experienced a $0.3 million decrease in revenue from Germany in Q1 2022 compared to Q1 2021. This was due to a one-time contract modification to end a distinct professional service contract prior to completion with a customer during the year ended December 31, 2021. This customer was retained through ongoing hosting services. Revenue in both periods came principally from customers across the automotive and IoT sectors, with less significant amounts derived from other industry verticals.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revenues increased by $0.2 million, or 11%, in Q1 2022, compared to Q1 2021. This increase is primarily related to incurring additional data center and hosting costs in order to support our revenue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$2.2 million, or 15%, in Q1 2022, compared to Q1 2021. This increase in research and development expenses was primarily related to increasing our full-time engineer headcount partially offset by a reduction in third-party contractors.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by $1.5 million, or 140%, in Q1 2022, compared to Q1 2021. This increase is due to a greater investment to support go-to market strategies, as we continue to customer engagement and overall revenue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costs increased by $0.8 million, or 23%, in Q1 2022 compared to Q1 2021. This increase represents investments in our human resources, finance and legal functions, including increased personnel-related expenses as we prepare to function as a public entity. Our expansion efforts, focused both on geographical reach and service compatibility, led to an increase of operational costs and resources incurred. Expenses related to the proposed Business Combination also contributed to an increase in costs related to third-party specialists.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Interest expense increased by $2.2 million, or 298%, during Q1 2022, compared to Q1 2021. This increase was attributable to the issuance of SoundHound’s 2021 note payable (“SVB March 2021 Note”) and 2021 convertible note (“SCI June 2021 Note”), resulting in $30.0 million and $15.0 million draws, respectively. These debt instruments were accompanied by the issuances of related common stock warrants, resulting in debt discounts to be amortized over the life of the instrument. As our debt balance significantly increased, our interest expense, which is incurred monthly, and our amortized debt issuance costs have proportionally increased as well.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summarizes our other expenses by type that comprise the other expense, net account for Q1 2022 and Q1 2021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4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200" w:type="dxa"/>
            <w:vAlign w:val="bottom"/>
            <w:gridSpan w:val="3"/>
            <w:vMerge w:val="restart"/>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4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62"/>
        </w:trPr>
        <w:tc>
          <w:tcPr>
            <w:tcW w:w="4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68"/>
        </w:trPr>
        <w:tc>
          <w:tcPr>
            <w:tcW w:w="4740" w:type="dxa"/>
            <w:vAlign w:val="bottom"/>
            <w:vMerge w:val="continue"/>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(467</w:t>
            </w: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(328</w:t>
            </w: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00" w:type="dxa"/>
            <w:vAlign w:val="bottom"/>
            <w:gridSpan w:val="2"/>
            <w:shd w:val="clear" w:color="auto" w:fill="CCEEFF"/>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(139</w:t>
            </w: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vMerge w:val="restart"/>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37"/>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and Warrant Liability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change in fair value of derivative and warrant liability decreased by $0.8 million, or 58%, in Q1 2022 compared to Q1 2021. The decrease was attributed to the change in fair value of the warrant liability in Q1 2021 of $0.2 million, as compared to no change in the fair value of the warrant liability during Q1 2022 due to the exercise of Series C Warrants in December 2021, which extinguished the Company’s corresponding warrant liability. The Company no longer recognizes quarterly revaluation gains and losses associated with the warrant liability, therefore leading to an overall decrease.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balance as of the end of March 31, 2022 solely reflects the changes in fair value of the embedded derivative from its promissory note issued in June 2020 (“SNAP June 2020 Note”). The fair value of the derivative liability increased by $0.6 million during Q1 2022 in comparison to an increase of $1.2 million during Q1 2021, representing a corresponding $0.6 million loss on the Condensed Consolidated Statement of Operations and Comprehensive Loss due to increases in probability assumptions of a change in control or SPAC transaction.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Other expense, net increased by $0.1 million, or 42%, in Q1 2022 compared to Q1 2021. This was primarily due to unfavorable foreign currency exchange rates during Q1 2022, resulting in greater losses from currency revaluation on transactions denominated in a foreign currency compared to those conducted in Q1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had $8.2 million in cash and cash equivalents as of March 31, 2022. On a pro forma basis, assuming the Business Combination occurred as of March 31, 2022, our cash and cash equivalents would have amounted to $101.3 million as of March 31, 2022. We believe our operating cash flows, together with our cash on hand and the cash obtained as a result of the Business Combination is sufficient to meet our current working capital and capital expenditure requirements for a period of at least twelve months from the date of the Form 8-K/A.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we expect to continue significantly increasing our investments in software application and development, we enter into various contracts and agreements to increase our funding resources.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See Note 6 and Note 13 to our audited consolidated financial statements included within our proxy statement/prospectus/consent solicitation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are our material debt agreements as of March 31, 2022:</w:t>
      </w:r>
    </w:p>
    <w:p>
      <w:pPr>
        <w:spacing w:after="0" w:line="223" w:lineRule="exact"/>
        <w:rPr>
          <w:sz w:val="20"/>
          <w:szCs w:val="20"/>
          <w:color w:val="auto"/>
        </w:rPr>
      </w:pPr>
    </w:p>
    <w:p>
      <w:pPr>
        <w:jc w:val="both"/>
        <w:ind w:left="660" w:hanging="328"/>
        <w:spacing w:after="0" w:line="258"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SNAP June 2020 Note </w:t>
      </w:r>
      <w:r>
        <w:rPr>
          <w:rFonts w:ascii="Times New Roman" w:cs="Times New Roman" w:eastAsia="Times New Roman" w:hAnsi="Times New Roman"/>
          <w:sz w:val="18"/>
          <w:szCs w:val="18"/>
          <w:color w:val="auto"/>
        </w:rPr>
        <w:t>— In June 2020, we issued the SNAP June 2020 Note to a lender in exchange for $15.0 million in cash proceeds.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principal balance and unpaid accrued interest are otherwise automatically convertible into equity shares in the next equity financing round if the financing round is at least $30.0 million, excluding the conversion of the SNAP June 2020 Note and any other indebtedness. Upon closing of the Business Combination, conversion conditions were satisfied, and the SNAP June 2020 Note converted into 2,046,827 shares of SoundHound Class A common stock at a price of $8.00 per share.</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SVB March 2021 Note and SCI June 2021 Note </w:t>
      </w:r>
      <w:r>
        <w:rPr>
          <w:rFonts w:ascii="Times New Roman" w:cs="Times New Roman" w:eastAsia="Times New Roman" w:hAnsi="Times New Roman"/>
          <w:sz w:val="18"/>
          <w:szCs w:val="18"/>
          <w:color w:val="auto"/>
        </w:rPr>
        <w:t>— In March 2021, we entered into a loan and security agreement with a commercial bank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 $30.0 million and, concurrent therewith, issued such commercial bank warrant to 127,570 shares of SoundHound’s common stock during a ten-year exercise period at an exercise price of $20.37 per share. The maturity date of the loan is either September 1, 2024 or March 1, 2025 if a performance milestone is met by March 31, 2022, and could be earlier if, prior to April 26, 2022, the SNAP June 2020 Note is not converted into our equity securities. In April 2022, the Company entered into a loan modification agreement, which extended the SVB March 2021 Note’s early maturity date from April 26, 2022 to May 26, 2022. As the SNAP June 2020 Note converted on April 26, 2022 and the performance milestone was not met as of March 31, 2022, the SVB March 2021 Note’s maturity date is September 1, 2024.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4" w:name="page45"/>
    <w:bookmarkEnd w:id="44"/>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June 2021, we issued the SCI June 2021 Note pursuant to a loan and security agreement with a lender to borrow up to a commitment amount of $15.0 million in $5.0 million increments along with warrants issued to purchase 63,785 shares of SoundHound’s common stock during a ten-year exercise period at an exercise price of $20.37 per share. Through December 31, 2021, we have borrowed $15.0 million. The maturity date of the loan is the earlier of May 31, 2025 or the SNAP June 2020 Note maturity date if it has not converted into our equity securities prior to such date. However, as the SNAP June 2020 Note converted into equity securities prior to June 26, 2022, the maturity date is May 31, 2025.</w:t>
      </w:r>
    </w:p>
    <w:p>
      <w:pPr>
        <w:sectPr>
          <w:pgSz w:w="11900" w:h="16838" w:orient="portrait"/>
          <w:cols w:equalWidth="0" w:num="1">
            <w:col w:w="11240"/>
          </w:cols>
          <w:pgMar w:left="320" w:top="904" w:right="339" w:bottom="1440" w:gutter="0" w:footer="0" w:header="0"/>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our cash flows for Q1 2022 and Q1 2021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changes in cash and cash equivalents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3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180" w:type="dxa"/>
            <w:vAlign w:val="bottom"/>
            <w:gridSpan w:val="4"/>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16"/>
        </w:trPr>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04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4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8"/>
        </w:trPr>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(14,989)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(14,704)</w:t>
            </w:r>
          </w:p>
        </w:tc>
        <w:tc>
          <w:tcPr>
            <w:tcW w:w="60" w:type="dxa"/>
            <w:vAlign w:val="bottom"/>
            <w:gridSpan w:val="2"/>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1"/>
        </w:trPr>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40" w:type="dxa"/>
            <w:vAlign w:val="bottom"/>
          </w:tcPr>
          <w:p>
            <w:pPr>
              <w:spacing w:after="0"/>
              <w:rPr>
                <w:sz w:val="20"/>
                <w:szCs w:val="20"/>
                <w:color w:val="auto"/>
              </w:rPr>
            </w:pPr>
          </w:p>
        </w:tc>
      </w:tr>
      <w:tr>
        <w:trPr>
          <w:trHeight w:val="250"/>
        </w:trPr>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(14,162</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1"/>
        </w:trPr>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7840" w:space="720"/>
            <w:col w:w="2680"/>
          </w:cols>
          <w:pgMar w:left="320" w:top="904" w:right="339" w:bottom="1440" w:gutter="0" w:footer="0" w:header="0"/>
          <w:type w:val="continuous"/>
        </w:sectPr>
      </w:pPr>
    </w:p>
    <w:p>
      <w:pPr>
        <w:spacing w:after="0" w:line="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during Q1 2022 was $15.0 million, consisting primarily of our net loss of $25.1 million adjusted for non-cash charges of $6.9 million and changes in our net operating assets of $3.2 million. The non-cash charges were primarily driven by $2.5 million in stock-based compensation expense, $1.7 million in amortization of debt issuance cost, $1.3 million in depreciation and amortization expense, $0.8 million in non-cash lease amortization, and $0.6 million in remeasurement of derivative and warrant liability fair value. Net cash provided by changes in our operating assets and liabilities of $3.2 million resulted largely from an increase of $4.4 million in accrued liabilities, an increase of $3.2 million in accounts payable, and a decrease in accounts receivable of $0.7 million due to customer collections, which were offset by a decrease of $2.1 million from deferred offering costs related to the Business Combination.</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during Q1 2021 was $14.7 million, consisting primarily of our net loss of $19.3 million, partially offset by non-cash charges of $5.4 million and cash used by changes in our operating assets and liabilities of $0.8 million. The non-cash charges were primarily driven by depreciation and amortization expense of $1.5 million, stock-based compensation expense of $1.4 million, change in fair value of derivative and warrant liability of $1.4 million, non-cash lease amortization of $0.8 million and amortization of debt issuance costs of $0.3 million. Net cash used by changes in our operating assets and liabilities of $0.8 million was driven by a $1.4 million decrease in deferred revenue and a $1.2 million decrease in operating lease liabilities. This was offset by a decrease of $1.7 million in accounts receivable due to increased customer collections and an increase of $0.7 million in accrued liabilities. The decrease in deferred revenue is primarily attributed to upfront billings in 2020 for three projects that began in 2021.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Q1 2022 was $0.6 million. The decrease in cash was due to $0.6 million used for purchases of property and equipment.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Q1 2021 was $0.1 million. The decrease in cash was due to $0.1 million used for purchases of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Q1 2022 was $2.0 million, consisting primarily of $2.5 million from proceeds from common stock options exercised. This was offset by $0.5 million in repayments of finance lease obligations.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Q1 2021 was $0.6 million, consisting primarily of $1.2 million in proceeds from common stock options exercised. This was offset by $0.6 million in repayments of capital lease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no material changes to our commitments and contingencies as of March 31, 2022 as disclosed in the contractual obligations and commitment section in our audited consolidated financial statements as of December 31, 2021 included within our proxy statement/prospectus/consent solicitation.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unaudited condensed consolidated financial statements included elsewhere in the Form 8-K/A, that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a discussion of our critical accounting estimates, see “Management’s discussion and analysis of financial condition and results of operations of SoundHound”, our audited consolidated financial statements for the year ended December 31, 2021, and the notes to those audited financial statements, which are included in the Proxy Statement, for more information. Additionally, refer to the notes to the unaudited condensed consolidated financial statements appearing elsewhere in the Form 8-K/A. There have been no material changes to these critical accounting policies and estimates through March 31, 2022 from those discussed in our proxy statement/prospectus/consent solicitation.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 Reports First Quarter 2022 Financial Results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SANTA CLARA, Calif. – May 16, 2022 – SoundHound AI, Inc. (Nasdaq: SOUN) (“SoundHound,” “we,” or “our”), a global leader in voice artificial intelligence (“voice AI”), today reported the financial results of SoundHound, Inc. (“Legacy SoundHound”), at and for the three months ended March 31, 2022. The financial statements reflect the operations of Legacy SoundHound prior to it becoming a wholly-owned subsidiary of SoundHound, as a result of the business combination with Archimedes, which closed on April 26, 2022. In connection with the business combination, the Company changed its name to SoundHound AI, Inc. The Company also published a Letter to Shareholders today which details SoundHound’s technology moat, revenue models, commercial alliances, opportunities and near-term goals which can be accessed on its investor website at investors.soundhound.com.</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“SoundHound’s momentum in 2021 continued in the first quarter of 2022, with key business wins and tremendous growth in user engagement,” stated Keyvan Mohajer, CEO and Co-Founder of SoundHound. “Our deep history of technological breakthroughs and competitive differentiators are rapidly enabling our mission to voice-enable the world, and our $230 million of cumulative bookings backlog highlight the confidence and commitment our customers have working with us to build the future together.”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Business Highlights</w:t>
      </w:r>
    </w:p>
    <w:p>
      <w:pPr>
        <w:spacing w:after="0" w:line="229"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revenues were $4.3 million, up 15% compared to prior year</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bookings were $230 million, up 134% over prior year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queries in first quarter grew +90% versus prior year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several new and expanded customer partnerships, including with Hyundai, Netflix, Qualcomm, Snap, and VIZIO</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Revenue Officer, Zubin Irani, joined the team and began accelerating growth through investments in sales and marketing</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first quarter results demonstrate the momentum we are experiencing with our customers and the continued voice AI market expansion and acceptance,” said Nitesh Sharan, Chief Financial Officer, SoundHound. “We are accelerating growth through sales and marketing investments to expand into new verticals while deepening partnerships with existing customers.”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First Quarter 2022 Summary Financial Results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1,773</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1,593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180</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2,581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1,076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1,505</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16,650</w:t>
            </w:r>
          </w:p>
        </w:tc>
        <w:tc>
          <w:tcPr>
            <w:tcW w:w="32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14,443</w:t>
            </w:r>
          </w:p>
        </w:tc>
        <w:tc>
          <w:tcPr>
            <w:tcW w:w="3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2,207</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4,003</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3,246</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757</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vMerge w:val="continue"/>
          </w:tcPr>
          <w:p>
            <w:pPr>
              <w:spacing w:after="0"/>
              <w:rPr>
                <w:sz w:val="17"/>
                <w:szCs w:val="17"/>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25,007</w:t>
            </w:r>
          </w:p>
        </w:tc>
        <w:tc>
          <w:tcPr>
            <w:tcW w:w="220" w:type="dxa"/>
            <w:vAlign w:val="bottom"/>
            <w:vMerge w:val="continue"/>
          </w:tcPr>
          <w:p>
            <w:pPr>
              <w:spacing w:after="0"/>
              <w:rPr>
                <w:sz w:val="17"/>
                <w:szCs w:val="17"/>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20,358</w:t>
            </w:r>
          </w:p>
        </w:tc>
        <w:tc>
          <w:tcPr>
            <w:tcW w:w="220" w:type="dxa"/>
            <w:vAlign w:val="bottom"/>
            <w:vMerge w:val="continue"/>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4,649</w:t>
            </w:r>
          </w:p>
        </w:tc>
        <w:tc>
          <w:tcPr>
            <w:tcW w:w="2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49"/>
        </w:trPr>
        <w:tc>
          <w:tcPr>
            <w:tcW w:w="5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(20,717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(16,619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(4,098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w:t>
            </w: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SoundHound expects to file its Form 10-Q for the quarterly period ended March 31, 2022 on May 16, 2022. In addition, on May 16, 2022, SoundHound expects to file an amendment to its Form 8-K, originally filed on May 2, 2022, to reflect Legacy SoundHound’s financial statements for the three months ended March 31, 2022 and Management’s Discussion and Analysis of Financial Condition and Results of Operations relating to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Closing of 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26, SoundHound Inc. successfully completed its previously announced business combination with Archimedes. The resulting company, SoundHound AI, Inc., began trading on Nasdaq under the ticker symbol “SOUN” on April 28. SoundHound received gross cash proceeds of $118 million from transactions related to the business combination, which will enable the Company to continue its forward momentum in the rapidly growing voice AI market, where voice assistants are forecast to exceed the number of humans on earth, at 8.4 billion, by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 pro forma basis, assuming the Business Combination occurred as of March 31, 2022, the Company’s cash and cash equivalents would have amounted to $101.3 million at quarter-end. Primary use of proceeds from the transaction is expected to be in sales and marketing to fuel growth, in continued advancements in innovation and technology, and in global operating functions to support business expansion.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2022 Summary Cash Flows</w:t>
      </w:r>
    </w:p>
    <w:p>
      <w:pPr>
        <w:spacing w:after="0" w:line="22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(14,989)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(14,704)</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(611)</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(63)</w:t>
            </w:r>
          </w:p>
        </w:tc>
      </w:tr>
      <w:tr>
        <w:trPr>
          <w:trHeight w:val="25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1,955</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changes in cash and cash equivalents</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(13,645</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(14,162</w:t>
            </w:r>
          </w:p>
        </w:tc>
        <w:tc>
          <w:tcPr>
            <w:tcW w:w="80" w:type="dxa"/>
            <w:vAlign w:val="bottom"/>
            <w:tcBorders>
              <w:top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7"/>
        </w:trPr>
        <w:tc>
          <w:tcPr>
            <w:tcW w:w="8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expects to generate full year 2022 revenue of between $27 million to $33 million, with revenue momentum accelerating in the second half of the year principally due to seasonality and the expected benefits from sales and marketing investments.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timing related to the closing of the business combination, SoundHound will begin hosting regularly scheduled quarterly earnings conference calls beginning in the second quarter of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please see SoundHound’s Shareholder Letter and other SEC filings which can be obtained on our website at investors.soundhound.com or 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SoundHound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SoundHound, a leading innovator of conversational intelligence, offers an independent voice AI platform that enables businesses across industries to deliver best-in-class conversational experiences to their customers. Built on proprietary Speech-to-Meaning® and Deep Meaning Understanding® technologies, SoundHound’s advanced voice AI platform provides exceptional speed and accuracy and enables humans to interact with products and services like they interact with each other—by speaking naturally. SoundHound is trusted by companies around the globe, including Hyundai, Mercedes-Benz, Pandora, Deutsche Telekom, Snap, VIZIO, KIA, and Stellantis. www.soundhound.com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which are not historical facts, within the meaning of Section 27A of the Securities Act of 1933, as amended, and Section 21E of the Securities Exchange Act of 1934, as amended. Our actual results, performance or achievements may differ materially from those expressed or implied by these forward-looking statements.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Such forward-looking statements are necessarily based upon estimates and assumptions that, while considered reasonable by us and our management, are inherently uncertain. As a result, readers are cautioned not to place undue reliance on these forward-looking statements. Actual results may differ materially from those indicated by these forward-looking statements as a result of risks and uncertainties impacting SoundHound’s business including, current uncertainties associated with the COVID-19 pandemic, our inability to predict or measure supply chain disruptions resulting from the COVID-19 pandemic and other causes, the potential future revenue associated with our AI platform products and services; our rate of growth; our ability to predict direct and indirect customer demand for our existing and future products and to secure adequate manufacturing capacity; our ability to hire, retain and motivate employees; the effects of competition, including price competition within our industry segment; technological, regulatory and legal developments that uniquely or disproportionately impact our industry segment; developments in the economy and financial markets and other risks detailed from time to time in SoundHound’s filings with the Securities and Exchange Commission.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Neuman</w:t>
      </w:r>
    </w:p>
    <w:p>
      <w:pPr>
        <w:spacing w:after="0" w:line="27" w:lineRule="exact"/>
        <w:rPr>
          <w:sz w:val="20"/>
          <w:szCs w:val="20"/>
          <w:color w:val="auto"/>
        </w:rPr>
      </w:pPr>
    </w:p>
    <w:p>
      <w:pPr>
        <w:ind w:right="9720" w:firstLine="8"/>
        <w:spacing w:after="0" w:line="260" w:lineRule="auto"/>
        <w:tabs>
          <w:tab w:leader="none" w:pos="4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835-8500 ir@soundhound.com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Flattery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(408)441-3294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press@soundhound.com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for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80" w:type="dxa"/>
            <w:vAlign w:val="bottom"/>
            <w:tcBorders>
              <w:bottom w:val="single" w:sz="8" w:color="CCEEFF"/>
            </w:tcBorders>
          </w:tcPr>
          <w:p>
            <w:pPr>
              <w:spacing w:after="0"/>
              <w:rPr>
                <w:sz w:val="20"/>
                <w:szCs w:val="20"/>
                <w:color w:val="auto"/>
              </w:rPr>
            </w:pPr>
          </w:p>
        </w:tc>
        <w:tc>
          <w:tcPr>
            <w:tcW w:w="35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2,581</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16,650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14,443</w:t>
            </w:r>
          </w:p>
        </w:tc>
        <w:tc>
          <w:tcPr>
            <w:tcW w:w="0" w:type="dxa"/>
            <w:vAlign w:val="bottom"/>
          </w:tcPr>
          <w:p>
            <w:pPr>
              <w:spacing w:after="0"/>
              <w:rPr>
                <w:sz w:val="1"/>
                <w:szCs w:val="1"/>
                <w:color w:val="auto"/>
              </w:rPr>
            </w:pPr>
          </w:p>
        </w:tc>
      </w:tr>
      <w:tr>
        <w:trPr>
          <w:trHeight w:val="23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4,003</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3,246</w:t>
            </w:r>
          </w:p>
        </w:tc>
        <w:tc>
          <w:tcPr>
            <w:tcW w:w="0" w:type="dxa"/>
            <w:vAlign w:val="bottom"/>
          </w:tcPr>
          <w:p>
            <w:pPr>
              <w:spacing w:after="0"/>
              <w:rPr>
                <w:sz w:val="1"/>
                <w:szCs w:val="1"/>
                <w:color w:val="auto"/>
              </w:rPr>
            </w:pPr>
          </w:p>
        </w:tc>
      </w:tr>
      <w:tr>
        <w:trPr>
          <w:trHeight w:val="236"/>
        </w:trPr>
        <w:tc>
          <w:tcPr>
            <w:tcW w:w="51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5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3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(20,717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(16,619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(2,977)</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5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3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(1,057)</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expense, net</w:t>
            </w:r>
          </w:p>
        </w:tc>
        <w:tc>
          <w:tcPr>
            <w:tcW w:w="35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(4,034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352</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(25,103)</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w:t>
            </w: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holding gain on available-for-sale securities, net of tax</w:t>
            </w:r>
          </w:p>
        </w:tc>
        <w:tc>
          <w:tcPr>
            <w:tcW w:w="3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7"/>
        </w:trPr>
        <w:tc>
          <w:tcPr>
            <w:tcW w:w="5180" w:type="dxa"/>
            <w:vAlign w:val="bottom"/>
            <w:vMerge w:val="continue"/>
          </w:tcPr>
          <w:p>
            <w:pPr>
              <w:spacing w:after="0"/>
              <w:rPr>
                <w:sz w:val="24"/>
                <w:szCs w:val="24"/>
                <w:color w:val="auto"/>
              </w:rPr>
            </w:pPr>
          </w:p>
        </w:tc>
        <w:tc>
          <w:tcPr>
            <w:tcW w:w="37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(25,103</w:t>
            </w:r>
          </w:p>
        </w:tc>
        <w:tc>
          <w:tcPr>
            <w:tcW w:w="220" w:type="dxa"/>
            <w:vAlign w:val="bottom"/>
            <w:vMerge w:val="continue"/>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3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7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(2.00</w:t>
            </w:r>
            <w:r>
              <w:rPr>
                <w:rFonts w:ascii="Times New Roman" w:cs="Times New Roman" w:eastAsia="Times New Roman" w:hAnsi="Times New Roman"/>
                <w:sz w:val="29"/>
                <w:szCs w:val="29"/>
                <w:color w:val="auto"/>
                <w:vertAlign w:val="superscript"/>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(1.62</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16"/>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12,527,229</w:t>
            </w:r>
          </w:p>
        </w:tc>
        <w:tc>
          <w:tcPr>
            <w:tcW w:w="300" w:type="dxa"/>
            <w:vAlign w:val="bottom"/>
          </w:tcPr>
          <w:p>
            <w:pPr>
              <w:spacing w:after="0"/>
              <w:rPr>
                <w:sz w:val="22"/>
                <w:szCs w:val="22"/>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8"/>
              </w:rPr>
              <w:t>11,872,698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50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1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par value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8,211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21,626</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allowances of $109 as of March 31, 2022 and December 31, 2021, respectively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2,676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issuance cost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13,015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27,471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 equivalents,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10,225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6,155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2,169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1,005</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35,942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49,203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8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6,938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11,703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7,298</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3,519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Financing lease liabilities,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liability</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2,730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2,737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6,042</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30,198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29,868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liability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 payable, current portion</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30,810</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29,964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8,073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lease liabilities, net of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13,372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14,959</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119,841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112,937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$0.0001 par value; 26,316,129 shares authorized; 19,248,537 shares issued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outstanding, liquidation preference of $284,826 as of March 31, 2022 and December 31, 2021, respectively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279,503</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279,503</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$0.0001 par value; 45,000,000 shares authorized; 12,718,968 and 12,280,051 shares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outstanding as of March 31, 2022 and December 31, 2021,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48,429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43,491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(411,832)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(386,729)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(363,402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(343,237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35,942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49,203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(25,103)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2,464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1,742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Non-cash lease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1,705</w:t>
            </w:r>
          </w:p>
        </w:tc>
        <w:tc>
          <w:tcPr>
            <w:tcW w:w="0" w:type="dxa"/>
            <w:vAlign w:val="bottom"/>
          </w:tcPr>
          <w:p>
            <w:pPr>
              <w:spacing w:after="0"/>
              <w:rPr>
                <w:sz w:val="1"/>
                <w:szCs w:val="1"/>
                <w:color w:val="auto"/>
              </w:rPr>
            </w:pPr>
          </w:p>
        </w:tc>
      </w:tr>
      <w:tr>
        <w:trPr>
          <w:trHeight w:val="216"/>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(483)</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16"/>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offering costs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(2,054)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3,178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16"/>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(1,623)</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82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(14,989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(14,704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the exercise of common stock options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of finance and capital lease obligations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(519)</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820"/>
              <w:spacing w:after="0" w:line="203" w:lineRule="exact"/>
              <w:rPr>
                <w:sz w:val="20"/>
                <w:szCs w:val="20"/>
                <w:color w:val="auto"/>
              </w:rPr>
            </w:pPr>
            <w:r>
              <w:rPr>
                <w:rFonts w:ascii="Times New Roman" w:cs="Times New Roman" w:eastAsia="Times New Roman" w:hAnsi="Times New Roman"/>
                <w:sz w:val="18"/>
                <w:szCs w:val="18"/>
                <w:color w:val="auto"/>
              </w:rPr>
              <w:t>Net (decrease) in cash, cash equivalents, and restricted cash equivalents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(13,645)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(14,162)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equivalents, beginning of period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22,822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44,982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equivalents, end of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9,177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30,820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to amounts on the condensed consolidated balance sheets: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8,211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29,530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restricted cash equivalents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portion of restricted cash equivalents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184"/>
        </w:trPr>
        <w:tc>
          <w:tcPr>
            <w:tcW w:w="8680" w:type="dxa"/>
            <w:vAlign w:val="bottom"/>
            <w:tcBorders>
              <w:top w:val="single" w:sz="8" w:color="CCEEFF"/>
            </w:tcBorders>
            <w:shd w:val="clear" w:color="auto" w:fill="CCEEFF"/>
          </w:tcPr>
          <w:p>
            <w:pPr>
              <w:ind w:left="500"/>
              <w:spacing w:after="0" w:line="184" w:lineRule="exact"/>
              <w:rPr>
                <w:sz w:val="20"/>
                <w:szCs w:val="20"/>
                <w:color w:val="auto"/>
              </w:rPr>
            </w:pPr>
            <w:r>
              <w:rPr>
                <w:rFonts w:ascii="Times New Roman" w:cs="Times New Roman" w:eastAsia="Times New Roman" w:hAnsi="Times New Roman"/>
                <w:sz w:val="18"/>
                <w:szCs w:val="18"/>
                <w:color w:val="auto"/>
              </w:rPr>
              <w:t>Total cash, cash equivalents, and restricted cash equivalents shown in the condensed consolidated statements of</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flows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9,177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30,820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and right-of-use assets through adoption of ASC 842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11,428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color w:val="auto"/>
              </w:rPr>
              <w:t>Property and equipment acquired under capital leases or debt</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52" w:name="page53"/>
    <w:bookmarkEnd w:id="52"/>
    <w:p>
      <w:pPr>
        <w:ind w:left="10320"/>
        <w:spacing w:after="0"/>
        <w:rPr>
          <w:sz w:val="20"/>
          <w:szCs w:val="20"/>
          <w:color w:val="auto"/>
        </w:rPr>
      </w:pPr>
      <w:r>
        <w:rPr>
          <w:rFonts w:ascii="Times New Roman" w:cs="Times New Roman" w:eastAsia="Times New Roman" w:hAnsi="Times New Roman"/>
          <w:sz w:val="17"/>
          <w:szCs w:val="17"/>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164465</wp:posOffset>
            </wp:positionV>
            <wp:extent cx="1457325" cy="3003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5732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ph: +1.408.441.3200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fax: +1.408.516.9575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www.soundhound.com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16,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[Keyvan Mohajer, Chief Executive Officer]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with pleasure that we write to you from the newly public SoundHound AI. We closed our merger with Archimedes on April 26th and celebrated our listing on the Nasdaq under the ticker SOUN on the 28th. We are happy to share this letter to highlight key messages and look forward to engaging with you directly on earnings calls beginning with our June quarter-end.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began in a small dorm room at Stanford when my co-founders and I decided that within our lifetime, we should be able to talk to our computers, and we embarked on this journey to make that happen.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worked tirelessly for over a decade to create what we believe is the best voice AI technology and platform. Our vision is to make computers better than humans in language understanding, while being more human in the way they respond. We aim to power billions of devices and services, and help product creators innovate and monetize while delighting their users.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timing is fortuitous because the world is in the process of being voice enabled, and we believe conversational AI presents the next major disruption in computing. Today, we are proud to power cars, TVs, mobile apps, and IoT devices, and services like voice enabled food ordering. Last year we doubled our traffic to over 100 million queries per month in 6 months, and this is just the beginning.</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Natural language understanding is an especially challenging form of artificial intelligence. It is complex, takes a long time to perfect, and requires a full technology stack to deliver value. This creates very high barriers to entry, which is why there are not many companies delivering voice AI. In fact, we believe we are the only global, independent cross-industry voice AI platform. With our Speech-to-Meaning® and Deep Meaning Understanding® breakthroughs, along with our industry-leading cloud and edge (embedded) integrations, we have best-in-class technology and are strategically positioned between two major industry gaps: legacy, inflexible, expensive competitors whose technology is outdated, and big tech players whose voice assistants override other brands’ connections with consumers along with hidden agendas and conflicts of interest. This competitive and technological differentiation is why we win.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launched our initial voice AI platform in 2016, have radically evolved it, and now have scaled into major enterprises across several industries. Large customers such as Mercedes-Benz, Hyundai, Kia, Stellantis, Deutsche Telekom, Mastercard, VIZIO, Snap, and Pandora have helped build our foundation. We further extended this momentum with major announcements over the past several months, such as with Qualcomm and Netflix. One of our key measures of customer adoption is queries into our voice AI platform. After exceeding 1 billion queries last year, in Q1 we continued to accelerate with query growth of +90%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8"/>
          <w:szCs w:val="18"/>
          <w:color w:val="auto"/>
        </w:rPr>
        <w:t>We also demonstrate our momentum through the committed long-term contracts our large enterprise partners sign with us to unlock the power of voice AI. Through Q1, we now have a cumulative bookings backlog of $230 million. This consists of agreements ranging from 1-year to more than 7-years, with a roughly 4-year weighted-average contract length, highlighting the confidence and commitment our customers have working with us in partnership to build the future together.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2022 starting off with macroeconomic dislocation and geopolitical volatility, we are pleased that SoundHound is performing right on plan and delivering against expectations for this year, and we reiterate our 2022 guidance. The potential opportunity in front of us is only expanding and now with the additional resources we acquired through the merger, we are aggressively moving forward.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[Nitesh Sharan, Chief Financial Officer]</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excited to be a public company and are committed to having direct and ongoing dialogue with our shareholders. As an overview of our business, there are three pillars to our revenue generating business model. First, we get royalty revenue when we voice-enable products like cars, TVs and the other billions of IoT devices around the world. Second, we generate recurring subscription revenue when we voice-enable services like food ordering, appointments, voice commerce and customer service. And, third, we create monetization revenue when we connect those voice-enabled products with the voice-enabled services, such as if you were to order a coffee from a voice-enabled coffee shop by speaking to your voice-enabled car on your commute to work. That natural, seamless interaction unlocks value to all parties involved as the coffee sale generates revenue for the coffee shop, and we share revenue that we receive from the transaction with the product creator, or car manufacturer, in this example. Most importantly, you get your morning coffee when and how you want it.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three revenue pillars create a network platform effect that compounds, expanding our addressable market and increasing customer adoption. The monetization pillar, in particular, extends voice AI from a valuable cost component to a new, incremental revenue-generating pathway for customers, meaning the unit economics become increasingly more attractive as the ecosystem scales and expands.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Q1, we continued to build out this ecosystem. After delivering full year 2021 revenue of $21.2 million, ahead of plan, we generated $4.3 million in Q1 2022, marking 15% year-over-year growth. First quarter revenue was predominantly from the product royalty pillar, although our expectation going forward is that subscriptions and monetization will be increasingly important and growing pieces of our revenue mix. More specifically, for full year 2022, we expect to deliver revenue in the range of $27 million to $33 million, with the midpoint consistent with our expectations prior to our merger close. That revenue is expected to be back-half weighted given seasonality and the growth derived from our sales and marketing investments.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As a newly public company, in a rapidly evolving industry with such significant growth potential, we are committed to being transparent about how we see our business evolving while ensuring we stay focused on creating long-term shareholder value. Accordingly, we think at this stage providing annual revenue guidance is most appropriate, and you can expect that cadence to continue for the foreseeable future.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expenses in Q1 were also largely in line with plan. As a software business, we are capital light. Our Costs of Goods Sold are primarily related to data center hosting costs (mostly via cloud service providers), production-related labor costs and knowledge content payments we make to partners who provide some of the intelligence engines behind our voice AI systems. Our operating expenses have historically been heavily weighted towards R&amp;D as we have built up our voice AI platform and deep patent portfolio. Our first and primary use of proceeds from the recently completed transaction is to invest in Sales &amp; Marketing to accelerate our growth, and we are extremely excited to have recently added Chief Revenue Officer, Zubin Irani, to our leadership team. A former CEO himself, we believe Zubin brings the right experience and record of success to help us achieve our growth ambitions. And while growth is paramount, we know that over the long-term creating value through innovation and breakthrough technology is what will fuel the topline.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still in investment mode as a company, and the $118 million of gross proceeds we received from the merger will help us move closer towards break-even, which we expect in 2024. Given our stage, progress will not always be linear but our current momentum is unquestionable. We are excited to be at this juncture and look forward to many years of constructive engagement ahead with all of you.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feel free to reach out to ir@soundhound.com if you have any questions or would like to follow up. Thank you.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letter may contain forward-looking statements, which are not historical facts, within the meaning of Section 27A of the Securities Act of 1933, as amended, and Section 21E of the Securities Exchange Act of 1934, as amended. Our actual results, performance or achievements may differ materially from those expressed or implied by these forward-looking statements.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Such forward-looking statements are necessarily based upon estimates and assumptions that, while considered reasonable by us and our management, are inherently uncertain. As a result, readers are cautioned not to place undue reliance on these forward-looking statements. Actual results may differ materially from those indicated by these forward-looking statements as a result of risks and uncertainties impacting our business including, current uncertainties associated with the COVID-19 pandemic, our inability to predict or measure supply chain disruptions resulting from the COVID-19 pandemic and other causes, the potential future revenue associated with our AI platform products and services; our rate of growth; our ability to predict direct and indirect customer demand for our existing and future products and to secure adequate manufacturing capacity; our ability to hire, retain and motivate employees; the effects of competition, including price competition within our industry segment; technological, regulatory and legal developments that uniquely or disproportionately impact our industry segment; developments in the economy and financial markets and other risks detailed from time to time in our filings with the Securities and Exchange Commission.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04"/>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2"/>
    </w:lvl>
  </w:abstractNum>
  <w:abstractNum w:abstractNumId="6">
    <w:nsid w:val="4E6AFB66"/>
    <w:multiLevelType w:val="hybridMultilevel"/>
    <w:lvl w:ilvl="0">
      <w:lvlJc w:val="left"/>
      <w:lvlText w:val="(%1)"/>
      <w:numFmt w:val="lowerRoman"/>
      <w:start w:val="1"/>
    </w:lvl>
  </w:abstractNum>
  <w:abstractNum w:abstractNumId="7">
    <w:nsid w:val="25E45D32"/>
    <w:multiLevelType w:val="hybridMultilevel"/>
    <w:lvl w:ilvl="0">
      <w:lvlJc w:val="left"/>
      <w:lvlText w:val="%1."/>
      <w:numFmt w:val="decimal"/>
      <w:start w:val="2"/>
    </w:lvl>
  </w:abstractNum>
  <w:abstractNum w:abstractNumId="8">
    <w:nsid w:val="519B500D"/>
    <w:multiLevelType w:val="hybridMultilevel"/>
    <w:lvl w:ilvl="0">
      <w:lvlJc w:val="left"/>
      <w:lvlText w:val="%1."/>
      <w:numFmt w:val="decimal"/>
      <w:start w:val="2"/>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2"/>
    </w:lvl>
  </w:abstractNum>
  <w:abstractNum w:abstractNumId="11">
    <w:nsid w:val="7C83E458"/>
    <w:multiLevelType w:val="hybridMultilevel"/>
    <w:lvl w:ilvl="0">
      <w:lvlJc w:val="left"/>
      <w:lvlText w:val="%1"/>
      <w:numFmt w:val="decimal"/>
      <w:start w:val="1"/>
    </w:lvl>
    <w:lvl w:ilvl="1">
      <w:lvlJc w:val="left"/>
      <w:lvlText w:val="(%2)"/>
      <w:numFmt w:val="decimal"/>
      <w:start w:val="3"/>
    </w:lvl>
  </w:abstractNum>
  <w:abstractNum w:abstractNumId="12">
    <w:nsid w:val="257130A3"/>
    <w:multiLevelType w:val="hybridMultilevel"/>
    <w:lvl w:ilvl="0">
      <w:lvlJc w:val="left"/>
      <w:lvlText w:val="%1."/>
      <w:numFmt w:val="decimal"/>
      <w:start w:val="3"/>
    </w:lvl>
    <w:lvl w:ilvl="1">
      <w:lvlJc w:val="left"/>
      <w:lvlText w:val="%2"/>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3"/>
    </w:lvl>
    <w:lvl w:ilvl="1">
      <w:lvlJc w:val="left"/>
      <w:lvlText w:val="●"/>
      <w:numFmt w:val="bullet"/>
      <w:start w:val="1"/>
    </w:lvl>
  </w:abstractNum>
  <w:abstractNum w:abstractNumId="15">
    <w:nsid w:val="628C895D"/>
    <w:multiLevelType w:val="hybridMultilevel"/>
    <w:lvl w:ilvl="0">
      <w:lvlJc w:val="left"/>
      <w:lvlText w:val="%1."/>
      <w:numFmt w:val="decimal"/>
      <w:start w:val="6"/>
    </w:lvl>
  </w:abstractNum>
  <w:abstractNum w:abstractNumId="16">
    <w:nsid w:val="333AB105"/>
    <w:multiLevelType w:val="hybridMultilevel"/>
    <w:lvl w:ilvl="0">
      <w:lvlJc w:val="left"/>
      <w:lvlText w:val="%1."/>
      <w:numFmt w:val="decimal"/>
      <w:start w:val="8"/>
    </w:lvl>
  </w:abstractNum>
  <w:abstractNum w:abstractNumId="17">
    <w:nsid w:val="721DA317"/>
    <w:multiLevelType w:val="hybridMultilevel"/>
    <w:lvl w:ilvl="0">
      <w:lvlJc w:val="left"/>
      <w:lvlText w:val="\emdash "/>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2022-05-17T13:20:08Z</dcterms:created>
  <dcterms:modified xsi:type="dcterms:W3CDTF">2022-05-17T13:20:08Z</dcterms:modified>
</cp:coreProperties>
</file>