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7, 2022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Archimedes Tech SPAC Partners Co.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2940" w:type="dxa"/>
            <w:vAlign w:val="bottom"/>
          </w:tcPr>
          <w:p>
            <w:pPr>
              <w:jc w:val="center"/>
              <w:ind w:left="550"/>
              <w:spacing w:after="0"/>
              <w:rPr>
                <w:sz w:val="20"/>
                <w:szCs w:val="20"/>
                <w:color w:val="auto"/>
              </w:rPr>
            </w:pPr>
            <w:r>
              <w:rPr>
                <w:rFonts w:ascii="Arial" w:cs="Arial" w:eastAsia="Arial" w:hAnsi="Arial"/>
                <w:sz w:val="18"/>
                <w:szCs w:val="18"/>
                <w:b w:val="1"/>
                <w:bCs w:val="1"/>
                <w:color w:val="auto"/>
                <w:w w:val="93"/>
              </w:rPr>
              <w:t>Delaware</w:t>
            </w:r>
          </w:p>
        </w:tc>
        <w:tc>
          <w:tcPr>
            <w:tcW w:w="44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001-40193</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86-1286799</w:t>
            </w:r>
          </w:p>
        </w:tc>
      </w:tr>
      <w:tr>
        <w:trPr>
          <w:trHeight w:val="215"/>
        </w:trPr>
        <w:tc>
          <w:tcPr>
            <w:tcW w:w="294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92"/>
              </w:rPr>
              <w:t>(State or other jurisdiction</w:t>
            </w: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Number)</w:t>
            </w: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3"/>
              </w:rPr>
              <w:t>(I.R.S. Employer</w:t>
            </w:r>
          </w:p>
        </w:tc>
      </w:tr>
      <w:tr>
        <w:trPr>
          <w:trHeight w:val="230"/>
        </w:trPr>
        <w:tc>
          <w:tcPr>
            <w:tcW w:w="2940" w:type="dxa"/>
            <w:vAlign w:val="bottom"/>
          </w:tcPr>
          <w:p>
            <w:pPr>
              <w:jc w:val="center"/>
              <w:ind w:left="550"/>
              <w:spacing w:after="0"/>
              <w:rPr>
                <w:sz w:val="20"/>
                <w:szCs w:val="20"/>
                <w:color w:val="auto"/>
              </w:rPr>
            </w:pPr>
            <w:r>
              <w:rPr>
                <w:rFonts w:ascii="Arial" w:cs="Arial" w:eastAsia="Arial" w:hAnsi="Arial"/>
                <w:sz w:val="18"/>
                <w:szCs w:val="18"/>
                <w:color w:val="auto"/>
                <w:w w:val="96"/>
              </w:rPr>
              <w:t>of incorporation)</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0" w:type="dxa"/>
            <w:vAlign w:val="bottom"/>
          </w:tcPr>
          <w:p>
            <w:pPr>
              <w:jc w:val="center"/>
              <w:ind w:right="650"/>
              <w:spacing w:after="0"/>
              <w:rPr>
                <w:sz w:val="20"/>
                <w:szCs w:val="20"/>
                <w:color w:val="auto"/>
              </w:rPr>
            </w:pPr>
            <w:r>
              <w:rPr>
                <w:rFonts w:ascii="Arial" w:cs="Arial" w:eastAsia="Arial" w:hAnsi="Arial"/>
                <w:sz w:val="18"/>
                <w:szCs w:val="18"/>
                <w:color w:val="auto"/>
                <w:w w:val="95"/>
              </w:rPr>
              <w:t>Identification No.)</w:t>
            </w:r>
          </w:p>
        </w:tc>
      </w:tr>
      <w:tr>
        <w:trPr>
          <w:trHeight w:val="427"/>
        </w:trPr>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1"/>
              </w:rPr>
              <w:t>2093 Philadelphia Pike #1968</w:t>
            </w:r>
          </w:p>
        </w:tc>
        <w:tc>
          <w:tcPr>
            <w:tcW w:w="280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Claymont, DE 19703</w:t>
            </w:r>
          </w:p>
        </w:tc>
        <w:tc>
          <w:tcPr>
            <w:tcW w:w="280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20" w:type="dxa"/>
            <w:vAlign w:val="bottom"/>
            <w:gridSpan w:val="4"/>
          </w:tcPr>
          <w:p>
            <w:pPr>
              <w:jc w:val="center"/>
              <w:ind w:right="780"/>
              <w:spacing w:after="0"/>
              <w:rPr>
                <w:sz w:val="20"/>
                <w:szCs w:val="20"/>
                <w:color w:val="auto"/>
              </w:rPr>
            </w:pPr>
            <w:r>
              <w:rPr>
                <w:rFonts w:ascii="Arial" w:cs="Arial" w:eastAsia="Arial" w:hAnsi="Arial"/>
                <w:sz w:val="18"/>
                <w:szCs w:val="18"/>
                <w:color w:val="auto"/>
                <w:w w:val="92"/>
              </w:rPr>
              <w:t>(Address of Principal Executive Offices and Zip Code)</w:t>
            </w:r>
          </w:p>
        </w:tc>
        <w:tc>
          <w:tcPr>
            <w:tcW w:w="2800" w:type="dxa"/>
            <w:vAlign w:val="bottom"/>
          </w:tcPr>
          <w:p>
            <w:pPr>
              <w:spacing w:after="0"/>
              <w:rPr>
                <w:sz w:val="24"/>
                <w:szCs w:val="24"/>
                <w:color w:val="auto"/>
              </w:rPr>
            </w:pPr>
          </w:p>
        </w:tc>
      </w:tr>
      <w:tr>
        <w:trPr>
          <w:trHeight w:val="432"/>
        </w:trPr>
        <w:tc>
          <w:tcPr>
            <w:tcW w:w="294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(650) 560-4753</w:t>
            </w:r>
          </w:p>
        </w:tc>
        <w:tc>
          <w:tcPr>
            <w:tcW w:w="2800" w:type="dxa"/>
            <w:vAlign w:val="bottom"/>
          </w:tcPr>
          <w:p>
            <w:pPr>
              <w:spacing w:after="0"/>
              <w:rPr>
                <w:sz w:val="24"/>
                <w:szCs w:val="24"/>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3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5980" w:type="dxa"/>
            <w:vAlign w:val="bottom"/>
            <w:gridSpan w:val="2"/>
          </w:tcPr>
          <w:p>
            <w:pPr>
              <w:ind w:left="2260"/>
              <w:spacing w:after="0"/>
              <w:rPr>
                <w:sz w:val="20"/>
                <w:szCs w:val="20"/>
                <w:color w:val="auto"/>
              </w:rPr>
            </w:pPr>
            <w:r>
              <w:rPr>
                <w:rFonts w:ascii="Arial" w:cs="Arial" w:eastAsia="Arial" w:hAnsi="Arial"/>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216"/>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each consisting of one subunit and one-quarter of one warrant</w:t>
            </w:r>
          </w:p>
        </w:tc>
        <w:tc>
          <w:tcPr>
            <w:tcW w:w="2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ATSPU</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5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Subunits included as part of the units, each consisting of one share of common</w:t>
            </w:r>
          </w:p>
        </w:tc>
        <w:tc>
          <w:tcPr>
            <w:tcW w:w="268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ATSPT</w:t>
            </w:r>
          </w:p>
        </w:tc>
        <w:tc>
          <w:tcPr>
            <w:tcW w:w="2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$0.0001 par value, and one-quarter of one warrant</w:t>
            </w:r>
          </w:p>
        </w:tc>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$0.0001 per share</w:t>
            </w:r>
          </w:p>
        </w:tc>
        <w:tc>
          <w:tcPr>
            <w:tcW w:w="2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ATSP</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warrants</w:t>
            </w:r>
          </w:p>
        </w:tc>
        <w:tc>
          <w:tcPr>
            <w:tcW w:w="2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ATSPW</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4.02. Non-Reliance on Previously Issued Financial Statements or Related Audit Report or Completed Interim Report.</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management of Archimedes Tech SPAC Partners Co. (the “Company”) has re-evaluated the fair value of the 350,000 representative shares the Company had issued prior to the closing of the Company’s initial public offering (the “IPO”) on March 15, 2021. Historically, the original purchase price of the representative shares had been recognized as the fair value of the representative shares. However, pursuant to management’s re-evaluation, management has determined that the representative shares required a comprehensive fair value analysis conducted by valuation professionals to determine their fair value. The fair value analysis was conducted by valuation professionals and completed on November 9, 2021. Management initially determined that the change in the fair value of the representative shares was not qualitatively material to the Company’s previously issued financial statements and thus concluded that the Company did need to restate or revise its previously issued financial statements. However, after management re-evaluated this conclusion in conjunction with the Company’s decision to restate its previously issued financial statements to report all of the Company’s redeemable shares as temporary equity, management concluded that the Company should restate its previously issued financial statements to correct the fair value of the representative shares as well.</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Therefore, on January 7, 2022, the Company’s management and the audit committee of the Company’s board of directors (the “Audit Committee”) concluded that the Company’s previously issued unaudited interim financial statements included in the Company’s Quarterly Report on Form 10-Q for the quarterly period ended March 31, 2021, June 30, 2021, and September 30, 2021 filed with the SEC on July 27, 2021, August 27, 2021, and November 15, 2021, respectively, (collectively, the “Affected Periods”), should be restated for the fair value of the representative shares as determined by the valuation professionals and thus should no longer be relied upon. As such, the Company intends to restate its financial statements for the Affected Periods in an amendment to the Company’s Quarterly Report on Form 10-Q for the quarterly period ended September 30, 2021 (“Q3 Form 10-Q/A”), to be filed with the SEC. This restatement will be completed concurrently with the restatement to report all of the Company’s redeemable shares as temporary equity as disclosed in the Company’s Form 8-K filed with the SEC on December 28, 2021.</w:t>
      </w:r>
    </w:p>
    <w:p>
      <w:pPr>
        <w:spacing w:after="0" w:line="17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does not expect any of the above changes will have any impact on its cash position and cash held in the trust account established in connection with the IPO (the “Trust Account”).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management has concluded that, in light of the fair value error described above, a material weakness exists in the Company’s internal control over financial reporting and that the Company’s disclosure controls and procedures were not effective at the reasonable assurance level as of March 31, 2021; June 30, 2021 and September 30, 2021. The Company’s remediation plan with respect to such material weakness will be described in more detail in the Q3 Form 10-Q/A.</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management and the Audit Committee have discussed the matters disclosed in this Current Report on Form 8-K pursuant to this Item 4.02 with UHY LLP, the Company’s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Current Report on Form 8-K includes “forward-looking statements” within the meaning of the federal securities laws. Certain of these forward-looking statements can be identified by the use of words such as “believes,” “expects,” “intends,” “plans,” “estimates,” “assumes,” “may,” “should,” “will,” “seeks,” or other similar expressions. Such statements may include, but are not limited to, statements regarding the impact of the Company’s restatement of certain historical financial statements, the Company’s cash position and cash held in the Trust Account and any proposed remediation measures with respect to identified material weaknesses. These statements are based on current expectations on the date of this Current Report on Form 8-K and involve a number of risks and uncertainties that may cause actual results to differ significantly. These risks and uncertainties include, but are not limited to, further changes in or developments regarding accounting treatment, among others. The Company does not assume any obligation to update or revise any such forward-looking statements, whether as the result of new developments or otherwise. Readers are cautioned not to put undue reliance on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7,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Long Long</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2022-01-10T05:10:22Z</dcterms:created>
  <dcterms:modified xsi:type="dcterms:W3CDTF">2022-01-10T05:10:22Z</dcterms:modified>
</cp:coreProperties>
</file>