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26,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29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44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001-40193</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86-1286799</w:t>
            </w:r>
          </w:p>
        </w:tc>
      </w:tr>
      <w:tr>
        <w:trPr>
          <w:trHeight w:val="215"/>
        </w:trPr>
        <w:tc>
          <w:tcPr>
            <w:tcW w:w="294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(I.R.S. Employer</w:t>
            </w:r>
          </w:p>
        </w:tc>
      </w:tr>
      <w:tr>
        <w:trPr>
          <w:trHeight w:val="230"/>
        </w:trPr>
        <w:tc>
          <w:tcPr>
            <w:tcW w:w="2940" w:type="dxa"/>
            <w:vAlign w:val="bottom"/>
          </w:tcPr>
          <w:p>
            <w:pPr>
              <w:jc w:val="center"/>
              <w:ind w:left="550"/>
              <w:spacing w:after="0"/>
              <w:rPr>
                <w:sz w:val="20"/>
                <w:szCs w:val="20"/>
                <w:color w:val="auto"/>
              </w:rPr>
            </w:pPr>
            <w:r>
              <w:rPr>
                <w:rFonts w:ascii="Arial" w:cs="Arial" w:eastAsia="Arial" w:hAnsi="Arial"/>
                <w:sz w:val="18"/>
                <w:szCs w:val="18"/>
                <w:color w:val="auto"/>
                <w:w w:val="96"/>
              </w:rPr>
              <w:t>of incorporation)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2093 Philadelphia Pike #1968</w:t>
            </w:r>
          </w:p>
        </w:tc>
        <w:tc>
          <w:tcPr>
            <w:tcW w:w="28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Claymont, DE 19703</w:t>
            </w:r>
          </w:p>
        </w:tc>
        <w:tc>
          <w:tcPr>
            <w:tcW w:w="28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20" w:type="dxa"/>
            <w:vAlign w:val="bottom"/>
            <w:gridSpan w:val="4"/>
          </w:tcPr>
          <w:p>
            <w:pPr>
              <w:jc w:val="center"/>
              <w:ind w:right="780"/>
              <w:spacing w:after="0"/>
              <w:rPr>
                <w:sz w:val="20"/>
                <w:szCs w:val="20"/>
                <w:color w:val="auto"/>
              </w:rPr>
            </w:pPr>
            <w:r>
              <w:rPr>
                <w:rFonts w:ascii="Arial" w:cs="Arial" w:eastAsia="Arial" w:hAnsi="Arial"/>
                <w:sz w:val="18"/>
                <w:szCs w:val="18"/>
                <w:color w:val="auto"/>
                <w:w w:val="92"/>
              </w:rPr>
              <w:t>(Address of Principal Executive Offices and Zip Code)</w:t>
            </w:r>
          </w:p>
        </w:tc>
        <w:tc>
          <w:tcPr>
            <w:tcW w:w="280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560-4753</w:t>
            </w:r>
          </w:p>
        </w:tc>
        <w:tc>
          <w:tcPr>
            <w:tcW w:w="280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760" w:type="dxa"/>
            <w:vAlign w:val="bottom"/>
            <w:gridSpan w:val="2"/>
          </w:tcPr>
          <w:p>
            <w:pPr>
              <w:ind w:left="2140"/>
              <w:spacing w:after="0"/>
              <w:rPr>
                <w:sz w:val="20"/>
                <w:szCs w:val="20"/>
                <w:color w:val="auto"/>
              </w:rPr>
            </w:pPr>
            <w:r>
              <w:rPr>
                <w:rFonts w:ascii="Arial" w:cs="Arial" w:eastAsia="Arial" w:hAnsi="Arial"/>
                <w:sz w:val="18"/>
                <w:szCs w:val="18"/>
                <w:b w:val="1"/>
                <w:bCs w:val="1"/>
                <w:color w:val="auto"/>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5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each consisting of one subunit and one-quarter of one warrant</w:t>
            </w:r>
          </w:p>
        </w:tc>
        <w:tc>
          <w:tcPr>
            <w:tcW w:w="2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ATSPU</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Subunits included as part of the units, each consisting of one share of</w:t>
            </w:r>
          </w:p>
        </w:tc>
        <w:tc>
          <w:tcPr>
            <w:tcW w:w="2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ATSPT</w:t>
            </w:r>
          </w:p>
        </w:tc>
        <w:tc>
          <w:tcPr>
            <w:tcW w:w="2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$0.0001 par value, and one-quarter of one warrant</w:t>
            </w: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$0.0001 per share</w:t>
            </w:r>
          </w:p>
        </w:tc>
        <w:tc>
          <w:tcPr>
            <w:tcW w:w="2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ATSP</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2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ATSPW</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August 26, 2021, Archimedes Tech SPAC Partners Co. (the “Company”) received a notice (the “Notice”) from the Nasdaq Stock Market LLC (the “Nasdaq”) indicating that the Company is not in compliance with Nasdaq Marketplace 5250(c)(1) as a result of its failure to timely file its Quarterly Report on Form 10-Q for the quarter ended June 30, 2021 with the U.S. Securities and Exchange Commission (the “SEC”).</w:t>
      </w:r>
    </w:p>
    <w:p>
      <w:pPr>
        <w:spacing w:after="0" w:line="165"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6"/>
          <w:szCs w:val="16"/>
          <w:color w:val="auto"/>
        </w:rPr>
        <w:t>The Notice has no immediate impact on the listing of the Company’s securities, which will continue to trade on Nasdaq, subject to the Company’s compliance with the continued listing requirements of Nasdaq. Subsequently, on August 27, 2021, the Company filed its Quarterly Report on Form 10-Q for the quarter ended June 30, 2021 with the SEC, which the Company believes brings it back into compliance with the Nasdaq Listing Rules.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30, 2021, the Company issued a press release announcing its receipt of the Notice.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8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4"/>
                <w:szCs w:val="14"/>
                <w:color w:val="auto"/>
              </w:rPr>
            </w:pPr>
          </w:p>
        </w:tc>
        <w:tc>
          <w:tcPr>
            <w:tcW w:w="9320" w:type="dxa"/>
            <w:vAlign w:val="bottom"/>
            <w:tcBorders>
              <w:top w:val="single" w:sz="8" w:color="auto"/>
            </w:tcBorders>
            <w:gridSpan w:val="2"/>
            <w:shd w:val="clear" w:color="auto" w:fill="CCEEFF"/>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August 30, 2021.</w:t>
              </w:r>
            </w:hyperlink>
          </w:p>
        </w:tc>
      </w:tr>
      <w:tr>
        <w:trPr>
          <w:trHeight w:val="20"/>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0000EE"/>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Stephen N. Cannon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 Receives Notice from Nasdaq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Delayed Quarterly Report</w:t>
      </w:r>
    </w:p>
    <w:p>
      <w:pPr>
        <w:spacing w:after="0" w:line="211"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NEW YORK, August 30, 2021 (GLOBE NEWSWIRE) -- Archimedes Tech SPAC Partners Co. (NASDAQ: ATSPU) (the “Company”) announced today that it received a notice (“Notice”) from the Listing Qualifications Department of The Nasdaq Stock Market (“Nasdaq”) on August 26, 2021, stating that the Company is not in compliance with Nasdaq Listing Rule 5250(c)(1) because the Company failed to timely file its Quarterly Report on Form 10-Q for the quarter ended June 30, 2021 (the “Form 10-Q”) with the Securities and Exchange Commission (“SEC”).</w:t>
      </w:r>
    </w:p>
    <w:p>
      <w:pPr>
        <w:spacing w:after="0" w:line="17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Notice has no immediate impact on the listing of the Company’s securities, which will continue to trade on Nasdaq, subject to the Company’s compliance with the continued listing requirements of Nasdaq. Subsequently, on August 27, 2021, the Company filed its Quarterly Report on Form 10-Q for the quarter ended June 30, 2021 with the SEC, which the Company believes brings it back into compliance with the Nasdaq Listing Rules.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Archimedes Tech SPAC Partners Co.</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Archimedes Tech SPAC Partners Co. is a blank check company formed for the purpose of effecting a merger, share exchange, asset acquisition, share purchase, reorganization or similar business combination with one or more businesses. Archimedes Tech SPAC Partners Co. intends to focus its search for target businesses in the technology industry.</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led by Chairman Dr. Eric R. Ball, Chief Executive Officer &amp; President Stephen N. Cannon, Chief Operating Officer Daniel Sheehan, Chief Financial Officer Long Long and advised by its special advisor, Brent Callinicos.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press release may include, and oral statements made from time to time by representatives of the Company may include, “forward-looking statements” within the meaning of Section 27A of the Securities Act of 1933, as amended, and Section 21E of the Securities Exchange Act of 1934, as amended. Statements regarding possible business combinations and the financing thereof, and related matters, as well as all other statements other than statements of historical fact included in this press release are forward-looking statements. When used in this press release, words such as “anticipate,” “believe,” “continue,” “could,” “estimate,” “expect,” “intend,” “may,” “might,” “plan,” “possible,” “potential,” “predict,” “project,” “should,” “would”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Securities and Exchange Commission (“SEC”).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for the Company’s initial public offering filed with the SEC. The Company undertakes no obligation to update these statements for revisions or changes after the date of this release,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right="91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560 4753 Info@ArchimedesSPAC.com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2021-08-30T16:28:00Z</dcterms:created>
  <dcterms:modified xsi:type="dcterms:W3CDTF">2021-08-30T16:28:00Z</dcterms:modified>
</cp:coreProperties>
</file>