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4"/>
          <w:szCs w:val="24"/>
          <w:color w:val="auto"/>
        </w:rPr>
      </w:pPr>
      <w:r>
        <w:rPr>
          <w:sz w:val="24"/>
          <w:szCs w:val="24"/>
          <w:color w:val="auto"/>
        </w:rPr>
        <w:br w:type="column"/>
      </w:r>
    </w:p>
    <w:p>
      <w:pPr>
        <w:ind w:left="980"/>
        <w:spacing w:after="0"/>
        <w:rPr>
          <w:sz w:val="20"/>
          <w:szCs w:val="20"/>
          <w:color w:val="auto"/>
        </w:rPr>
      </w:pPr>
      <w:r>
        <w:rPr>
          <w:rFonts w:ascii="Arial" w:cs="Arial" w:eastAsia="Arial" w:hAnsi="Arial"/>
          <w:sz w:val="16"/>
          <w:szCs w:val="16"/>
          <w:b w:val="1"/>
          <w:bCs w:val="1"/>
          <w:color w:val="auto"/>
        </w:rPr>
        <w:t>Filed Pursuant to Rule 424(b)(4)</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Nos. 333-253108 and 333-254114</w:t>
      </w:r>
    </w:p>
    <w:p>
      <w:pPr>
        <w:spacing w:after="0" w:line="200" w:lineRule="exact"/>
        <w:rPr>
          <w:sz w:val="24"/>
          <w:szCs w:val="24"/>
          <w:color w:val="auto"/>
        </w:rPr>
      </w:pPr>
    </w:p>
    <w:p>
      <w:pPr>
        <w:sectPr>
          <w:pgSz w:w="11900" w:h="16838" w:orient="portrait"/>
          <w:cols w:equalWidth="0" w:num="2">
            <w:col w:w="4360" w:space="720"/>
            <w:col w:w="3939"/>
          </w:cols>
          <w:pgMar w:left="1440" w:top="378" w:right="1440" w:bottom="1440" w:gutter="0" w:footer="0" w:header="0"/>
        </w:sectPr>
      </w:pPr>
    </w:p>
    <w:p>
      <w:pPr>
        <w:spacing w:after="0" w:line="93" w:lineRule="exact"/>
        <w:rPr>
          <w:sz w:val="24"/>
          <w:szCs w:val="24"/>
          <w:color w:val="auto"/>
        </w:rPr>
      </w:pPr>
    </w:p>
    <w:p>
      <w:pPr>
        <w:ind w:left="3280" w:right="3379" w:firstLine="492"/>
        <w:spacing w:after="0" w:line="288" w:lineRule="auto"/>
        <w:rPr>
          <w:sz w:val="20"/>
          <w:szCs w:val="20"/>
          <w:color w:val="auto"/>
        </w:rPr>
      </w:pPr>
      <w:r>
        <w:rPr>
          <w:rFonts w:ascii="Arial" w:cs="Arial" w:eastAsia="Arial" w:hAnsi="Arial"/>
          <w:sz w:val="23"/>
          <w:szCs w:val="23"/>
          <w:b w:val="1"/>
          <w:bCs w:val="1"/>
          <w:color w:val="auto"/>
        </w:rPr>
        <w:t xml:space="preserve">$120,000,000 </w:t>
      </w:r>
      <w:r>
        <w:rPr>
          <w:rFonts w:ascii="Arial" w:cs="Arial" w:eastAsia="Arial" w:hAnsi="Arial"/>
          <w:sz w:val="26"/>
          <w:szCs w:val="26"/>
          <w:b w:val="1"/>
          <w:bCs w:val="1"/>
          <w:color w:val="auto"/>
        </w:rPr>
        <w:t>Archimedes Tech SPAC Partners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144843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8435" cy="19685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-367665</wp:posOffset>
            </wp:positionV>
            <wp:extent cx="1243330"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3600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b w:val="1"/>
          <w:bCs w:val="1"/>
          <w:color w:val="auto"/>
        </w:rPr>
        <w:t>12,000,000 Units</w:t>
      </w:r>
    </w:p>
    <w:p>
      <w:pPr>
        <w:spacing w:after="0" w:line="19"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w:t>
      </w:r>
    </w:p>
    <w:p>
      <w:pPr>
        <w:spacing w:after="0" w:line="128" w:lineRule="exact"/>
        <w:rPr>
          <w:sz w:val="24"/>
          <w:szCs w:val="24"/>
          <w:color w:val="auto"/>
        </w:rPr>
      </w:pPr>
    </w:p>
    <w:p>
      <w:pPr>
        <w:jc w:val="both"/>
        <w:ind w:left="460" w:right="459"/>
        <w:spacing w:after="0" w:line="239" w:lineRule="auto"/>
        <w:rPr>
          <w:sz w:val="20"/>
          <w:szCs w:val="20"/>
          <w:color w:val="auto"/>
        </w:rPr>
      </w:pPr>
      <w:r>
        <w:rPr>
          <w:rFonts w:ascii="Arial" w:cs="Arial" w:eastAsia="Arial" w:hAnsi="Arial"/>
          <w:sz w:val="12"/>
          <w:szCs w:val="12"/>
          <w:color w:val="auto"/>
        </w:rPr>
        <w:t>Archimedes Tech SPAC Partners Co. is a blank check company formed for the purpose of entering into a merger, share exchange, asset acquisition, stock purchase, recapitalization, reorganization or other similar business combination with one or more businesses or entities, which we refer to as a “target business.” Our efforts to identify a prospective target business will not be limited to a particular industry or geographic region although we intend to focus our search for target businesses in the technology industry. We do not have any specific business combination under consideration and we have not (nor has anyone on our behalf), directly or indirectly, contacted any prospective target business or had any substantive discussions, formal or otherwise, with respect to such a transaction. If we are unable to consummate an initial business combination within 18 months from the closing of this offering, we will redeem 100% of the public subunits (as defined below) for a pro rata portion of the trust account, equal to the aggregate amount then on deposit in the trust account including interest earned on the funds held in the trust account and not previously released to us, divided by the number of then outstanding public subunits, subject to applicable law and as further described herein.</w:t>
      </w:r>
    </w:p>
    <w:p>
      <w:pPr>
        <w:spacing w:after="0" w:line="73" w:lineRule="exact"/>
        <w:rPr>
          <w:sz w:val="24"/>
          <w:szCs w:val="24"/>
          <w:color w:val="auto"/>
        </w:rPr>
      </w:pPr>
    </w:p>
    <w:p>
      <w:pPr>
        <w:jc w:val="both"/>
        <w:ind w:left="460" w:right="459"/>
        <w:spacing w:after="0" w:line="223" w:lineRule="auto"/>
        <w:rPr>
          <w:sz w:val="20"/>
          <w:szCs w:val="20"/>
          <w:color w:val="auto"/>
        </w:rPr>
      </w:pPr>
      <w:r>
        <w:rPr>
          <w:rFonts w:ascii="Arial" w:cs="Arial" w:eastAsia="Arial" w:hAnsi="Arial"/>
          <w:sz w:val="13"/>
          <w:szCs w:val="13"/>
          <w:color w:val="auto"/>
        </w:rPr>
        <w:t>This is an initial public offering of our securities. Each unit that we are offering has a price of $10.00 and consists of one subunit and one-quarter of a warrant. Each subunit consists of one share of our common stock and one-quarter of a warrant. Each whole warrant entitles the holder to purchase one share of common stock at a price of $11.50 per share. Each whole warrant will become exercisable 30 days after the completion of an initial business combination and will expire on the fifth anniversary of our completion of an initial business combination, or earlier upon redemption or liquidation. No fractional warrants will be issued upon separation of the units and only whole warrants will trade. We have granted the underwriters a 45-day option to purchase up to an additional 1,800,000 units to cover over-allotments, if any.</w:t>
      </w:r>
    </w:p>
    <w:p>
      <w:pPr>
        <w:spacing w:after="0" w:line="71" w:lineRule="exact"/>
        <w:rPr>
          <w:sz w:val="24"/>
          <w:szCs w:val="24"/>
          <w:color w:val="auto"/>
        </w:rPr>
      </w:pPr>
    </w:p>
    <w:p>
      <w:pPr>
        <w:jc w:val="both"/>
        <w:ind w:left="460" w:right="459"/>
        <w:spacing w:after="0" w:line="239" w:lineRule="auto"/>
        <w:rPr>
          <w:sz w:val="20"/>
          <w:szCs w:val="20"/>
          <w:color w:val="auto"/>
        </w:rPr>
      </w:pPr>
      <w:r>
        <w:rPr>
          <w:rFonts w:ascii="Arial" w:cs="Arial" w:eastAsia="Arial" w:hAnsi="Arial"/>
          <w:sz w:val="12"/>
          <w:szCs w:val="12"/>
          <w:color w:val="auto"/>
        </w:rPr>
        <w:t>Archimedes Tech SPAC Sponsors LLC, our sponsor, and EarlyBirdCapital, Inc., or EarlyBirdCapital, the representative of the underwriters in this offering, have committed that they and/or their designees will purchase from us an aggregate of 390,000 units, or “private units,” at $10.00 per unit, for a total purchase price of $3,900,000 in a private placement that will occur simultaneously with the consummation of this offering. Each private unit will consist of one subunit and one-quarter of a warrant. Each such subunit, or “private subunit,” will consist of one share of our common stock or “private shares,” and one-quarter of a warrant. The warrants included in the private units and private subunits are referred to as the “private warrants.” They have also agreed that if the over-allotment option is exercised by the underwriters in full or in part, they and/or their designees will purchase from us additional private units (up to a maximum of 36,000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securities) are identical to the units (and underlying securities) sold in this offering, subject to certain limited exceptions as described in this prospectus.</w:t>
      </w:r>
    </w:p>
    <w:p>
      <w:pPr>
        <w:spacing w:after="0" w:line="57" w:lineRule="exact"/>
        <w:rPr>
          <w:sz w:val="24"/>
          <w:szCs w:val="24"/>
          <w:color w:val="auto"/>
        </w:rPr>
      </w:pPr>
    </w:p>
    <w:p>
      <w:pPr>
        <w:jc w:val="both"/>
        <w:ind w:left="460" w:right="479"/>
        <w:spacing w:after="0" w:line="300" w:lineRule="auto"/>
        <w:rPr>
          <w:sz w:val="20"/>
          <w:szCs w:val="20"/>
          <w:color w:val="auto"/>
        </w:rPr>
      </w:pPr>
      <w:r>
        <w:rPr>
          <w:rFonts w:ascii="Arial" w:cs="Arial" w:eastAsia="Arial" w:hAnsi="Arial"/>
          <w:sz w:val="10"/>
          <w:szCs w:val="10"/>
          <w:color w:val="auto"/>
        </w:rPr>
        <w:t>There is presently no public market for our units, subunits, shares of common stock or warrants. Our units have been approved for listing on the Nasdaq Capital Market, or Nasdaq, under the symbol “ATSPU” on or promptly after the date of this prospectus. The securities comprising the units will begin separate trading</w:t>
      </w:r>
    </w:p>
    <w:p>
      <w:pPr>
        <w:jc w:val="both"/>
        <w:ind w:left="460" w:right="459"/>
        <w:spacing w:after="0" w:line="222" w:lineRule="auto"/>
        <w:rPr>
          <w:sz w:val="20"/>
          <w:szCs w:val="20"/>
          <w:color w:val="auto"/>
        </w:rPr>
      </w:pPr>
      <w:r>
        <w:rPr>
          <w:rFonts w:ascii="Arial" w:cs="Arial" w:eastAsia="Arial" w:hAnsi="Arial"/>
          <w:sz w:val="13"/>
          <w:szCs w:val="13"/>
          <w:color w:val="auto"/>
        </w:rPr>
        <w:t>on the 90</w:t>
      </w:r>
      <w:r>
        <w:rPr>
          <w:rFonts w:ascii="Arial" w:cs="Arial" w:eastAsia="Arial" w:hAnsi="Arial"/>
          <w:sz w:val="14"/>
          <w:szCs w:val="14"/>
          <w:color w:val="auto"/>
          <w:vertAlign w:val="superscript"/>
        </w:rPr>
        <w:t>th</w:t>
      </w:r>
      <w:r>
        <w:rPr>
          <w:rFonts w:ascii="Arial" w:cs="Arial" w:eastAsia="Arial" w:hAnsi="Arial"/>
          <w:sz w:val="13"/>
          <w:szCs w:val="13"/>
          <w:color w:val="auto"/>
        </w:rPr>
        <w:t xml:space="preserve"> day following the date of this prospectus unless EarlyBirdCapital informs us of its decision to allow earlier separate trading, subject to our filing a Current Report on Form 8-K with the SEC containing an audited balance sheet reflecting our receipt of the gross proceeds of this offering and issuing a press release announcing when such separate trading will begin; provided that no fractional warrants will be issued upon separation of the units and only whole warrants will trade. Once the securities comprising the units begin separate trading, the subunits and public warrants included in the units will be traded on Nasdaq under the symbols “ATSPT” and “ATSPW,” respectively. The common stock will not trade separately unless and until we consummate an initial business combination. Upon consummation of our initial business combination, we anticipate the common stock will be traded on Nasdaq under the symbol “ATSP.”</w:t>
      </w:r>
    </w:p>
    <w:p>
      <w:pPr>
        <w:spacing w:after="0" w:line="70" w:lineRule="exact"/>
        <w:rPr>
          <w:sz w:val="24"/>
          <w:szCs w:val="24"/>
          <w:color w:val="auto"/>
        </w:rPr>
      </w:pPr>
    </w:p>
    <w:p>
      <w:pPr>
        <w:jc w:val="both"/>
        <w:ind w:left="460" w:right="479"/>
        <w:spacing w:after="0" w:line="236" w:lineRule="auto"/>
        <w:rPr>
          <w:sz w:val="20"/>
          <w:szCs w:val="20"/>
          <w:color w:val="auto"/>
        </w:rPr>
      </w:pPr>
      <w:r>
        <w:rPr>
          <w:rFonts w:ascii="Arial" w:cs="Arial" w:eastAsia="Arial" w:hAnsi="Arial"/>
          <w:sz w:val="13"/>
          <w:szCs w:val="13"/>
          <w:color w:val="auto"/>
        </w:rPr>
        <w:t>We are an “emerging growth company” as defined in the Jumpstart Our Business Startups Act and will therefore be subject to reduced public company reporting requirements.</w:t>
      </w:r>
    </w:p>
    <w:p>
      <w:pPr>
        <w:spacing w:after="0" w:line="66" w:lineRule="exact"/>
        <w:rPr>
          <w:sz w:val="24"/>
          <w:szCs w:val="24"/>
          <w:color w:val="auto"/>
        </w:rPr>
      </w:pPr>
    </w:p>
    <w:p>
      <w:pPr>
        <w:jc w:val="both"/>
        <w:ind w:left="460" w:right="459"/>
        <w:spacing w:after="0"/>
        <w:rPr>
          <w:sz w:val="20"/>
          <w:szCs w:val="20"/>
          <w:color w:val="auto"/>
        </w:rPr>
      </w:pPr>
      <w:r>
        <w:rPr>
          <w:rFonts w:ascii="Arial" w:cs="Arial" w:eastAsia="Arial" w:hAnsi="Arial"/>
          <w:sz w:val="13"/>
          <w:szCs w:val="13"/>
          <w:b w:val="1"/>
          <w:bCs w:val="1"/>
          <w:color w:val="auto"/>
        </w:rPr>
        <w:t>Investing in our securities involves a high degree of risk. See “Risk Factors” beginning on page 20 of this prospectus for a discussion of information that should be considered in connection with an investment in our securities.</w:t>
      </w:r>
    </w:p>
    <w:p>
      <w:pPr>
        <w:spacing w:after="0" w:line="52" w:lineRule="exact"/>
        <w:rPr>
          <w:sz w:val="24"/>
          <w:szCs w:val="24"/>
          <w:color w:val="auto"/>
        </w:rPr>
      </w:pPr>
    </w:p>
    <w:p>
      <w:pPr>
        <w:jc w:val="both"/>
        <w:ind w:left="460" w:right="479"/>
        <w:spacing w:after="0"/>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68" w:lineRule="exact"/>
        <w:rPr>
          <w:sz w:val="24"/>
          <w:szCs w:val="24"/>
          <w:color w:val="auto"/>
        </w:rPr>
      </w:pPr>
    </w:p>
    <w:tbl>
      <w:tblPr>
        <w:tblLayout w:type="fixed"/>
        <w:tblInd w:w="460" w:type="dxa"/>
        <w:tblCellMar>
          <w:top w:w="0" w:type="dxa"/>
          <w:left w:w="0" w:type="dxa"/>
          <w:bottom w:w="0" w:type="dxa"/>
          <w:right w:w="0" w:type="dxa"/>
        </w:tblCellMar>
      </w:tblPr>
      <w:tr>
        <w:trPr>
          <w:trHeight w:val="164"/>
        </w:trPr>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Per Unit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b w:val="1"/>
                <w:bCs w:val="1"/>
                <w:color w:val="auto"/>
              </w:rPr>
              <w:t>Total</w:t>
            </w:r>
          </w:p>
        </w:tc>
      </w:tr>
      <w:tr>
        <w:trPr>
          <w:trHeight w:val="30"/>
        </w:trPr>
        <w:tc>
          <w:tcPr>
            <w:tcW w:w="4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Public offering price</w:t>
            </w:r>
          </w:p>
        </w:tc>
        <w:tc>
          <w:tcPr>
            <w:tcW w:w="2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10.00</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120,000,000</w:t>
            </w:r>
          </w:p>
        </w:tc>
      </w:tr>
      <w:tr>
        <w:trPr>
          <w:trHeight w:val="274"/>
        </w:trPr>
        <w:tc>
          <w:tcPr>
            <w:tcW w:w="4200" w:type="dxa"/>
            <w:vAlign w:val="bottom"/>
          </w:tcPr>
          <w:p>
            <w:pPr>
              <w:spacing w:after="0"/>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4"/>
                <w:szCs w:val="14"/>
                <w:color w:val="auto"/>
                <w:vertAlign w:val="superscript"/>
              </w:rPr>
              <w:t>(1)</w:t>
            </w:r>
          </w:p>
        </w:tc>
        <w:tc>
          <w:tcPr>
            <w:tcW w:w="2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0.20</w:t>
            </w:r>
          </w:p>
        </w:tc>
        <w:tc>
          <w:tcPr>
            <w:tcW w:w="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2,400,000</w:t>
            </w:r>
          </w:p>
        </w:tc>
      </w:tr>
      <w:tr>
        <w:trPr>
          <w:trHeight w:val="273"/>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Proceeds, before expenses, to us</w:t>
            </w:r>
          </w:p>
        </w:tc>
        <w:tc>
          <w:tcPr>
            <w:tcW w:w="2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9.80</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117,600,000</w:t>
            </w: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____________</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73" w:lineRule="exact"/>
        <w:rPr>
          <w:sz w:val="24"/>
          <w:szCs w:val="24"/>
          <w:color w:val="auto"/>
        </w:rPr>
      </w:pPr>
    </w:p>
    <w:p>
      <w:pPr>
        <w:jc w:val="both"/>
        <w:ind w:left="880" w:right="479" w:hanging="426"/>
        <w:spacing w:after="0" w:line="230" w:lineRule="auto"/>
        <w:tabs>
          <w:tab w:leader="none" w:pos="946"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The underwriters have received and will receive compensation in addition to the underwriting discount, including 420,000 shares of common stock, which we refer to herein as the “representative shares.” See “Underwriting” for further information relating to the underwriting compensation we will pay in this offering.</w:t>
      </w:r>
    </w:p>
    <w:p>
      <w:pPr>
        <w:spacing w:after="0" w:line="70" w:lineRule="exact"/>
        <w:rPr>
          <w:sz w:val="24"/>
          <w:szCs w:val="24"/>
          <w:color w:val="auto"/>
        </w:rPr>
      </w:pPr>
    </w:p>
    <w:p>
      <w:pPr>
        <w:jc w:val="both"/>
        <w:ind w:left="460" w:right="479"/>
        <w:spacing w:after="0" w:line="226" w:lineRule="auto"/>
        <w:rPr>
          <w:sz w:val="20"/>
          <w:szCs w:val="20"/>
          <w:color w:val="auto"/>
        </w:rPr>
      </w:pPr>
      <w:r>
        <w:rPr>
          <w:rFonts w:ascii="Arial" w:cs="Arial" w:eastAsia="Arial" w:hAnsi="Arial"/>
          <w:sz w:val="13"/>
          <w:szCs w:val="13"/>
          <w:color w:val="auto"/>
        </w:rPr>
        <w:t>Upon consummation of the offering, an aggregate of $120,000,000 (or $138,000,000 if the over-allotment option is exercised in full) or $10.00 per unit sold to the public in this offering will be deposited into a U.S.-based trust account maintained by Continental Stock Transfer &amp; Trust Company, acting as trustee. Except as described in this prospectus, these funds will not be released to us until the earlier of the completion of a business combination and our redemption of our public shares.</w:t>
      </w:r>
    </w:p>
    <w:p>
      <w:pPr>
        <w:spacing w:after="0" w:line="71" w:lineRule="exact"/>
        <w:rPr>
          <w:sz w:val="24"/>
          <w:szCs w:val="24"/>
          <w:color w:val="auto"/>
        </w:rPr>
      </w:pPr>
    </w:p>
    <w:p>
      <w:pPr>
        <w:jc w:val="both"/>
        <w:ind w:left="460" w:right="459"/>
        <w:spacing w:after="0" w:line="223" w:lineRule="auto"/>
        <w:rPr>
          <w:sz w:val="20"/>
          <w:szCs w:val="20"/>
          <w:color w:val="auto"/>
        </w:rPr>
      </w:pPr>
      <w:r>
        <w:rPr>
          <w:rFonts w:ascii="Arial" w:cs="Arial" w:eastAsia="Arial" w:hAnsi="Arial"/>
          <w:sz w:val="13"/>
          <w:szCs w:val="13"/>
          <w:color w:val="auto"/>
        </w:rPr>
        <w:t>EarlyBirdCapital has a “conflict of interest” within the meaning of Financial Industry Regulatory Authority (“FINRA”) Rule 5121(f)(5)(B) in this offering because it beneficially owns more than 10% of our shares. Due to this conflict of interest, I-Bankers Securities, Inc. is acting as a “qualified independent underwriter” in accordance with FINRA Rule 5121, which requires, among other things, that a qualified independent underwriter participate in the preparation of, and exercise the usual standards of “due diligence” with respect to, this prospectus and the registration statement of which it forms a part. I-Bankers will be paid a fee from the total underwriting discount in this offering in consideration for its services and expenses as qualified independent underwriter. See “Underwriting — Conflicts of Interest” for further information.</w:t>
      </w:r>
    </w:p>
    <w:p>
      <w:pPr>
        <w:spacing w:after="0" w:line="58" w:lineRule="exact"/>
        <w:rPr>
          <w:sz w:val="24"/>
          <w:szCs w:val="24"/>
          <w:color w:val="auto"/>
        </w:rPr>
      </w:pPr>
    </w:p>
    <w:p>
      <w:pPr>
        <w:ind w:left="460"/>
        <w:spacing w:after="0"/>
        <w:rPr>
          <w:sz w:val="20"/>
          <w:szCs w:val="20"/>
          <w:color w:val="auto"/>
        </w:rPr>
      </w:pPr>
      <w:r>
        <w:rPr>
          <w:rFonts w:ascii="Arial" w:cs="Arial" w:eastAsia="Arial" w:hAnsi="Arial"/>
          <w:sz w:val="10"/>
          <w:szCs w:val="10"/>
          <w:color w:val="auto"/>
        </w:rPr>
        <w:t>The underwriters are offering the units on a firm commitment basis. The underwriters expect to deliver the units to purchasers on or about March 10, 2021.</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EarlyBirdCapital, Inc.</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Co-Manager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I-Bankers Securities, Inc.</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263525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1" w:name="page2"/>
    <w:bookmarkEnd w:id="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79"/>
        <w:spacing w:after="0" w:line="314"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Summary Financial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Cautionary Note Regarding Forward Looking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Use of Proceeds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Dividend Policy</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Proposed Business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Principal Stockholders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78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Certain Transactions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Material U.S. Federal Tax Considerations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Underwriting</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Legal Matters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111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Experts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Where You Can Find Additional Information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111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3"/>
        </w:trPr>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Index to Financial Statements</w:t>
              </w:r>
            </w:hyperlink>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F-1</w:t>
            </w:r>
          </w:p>
        </w:tc>
      </w:tr>
      <w:tr>
        <w:trPr>
          <w:trHeight w:val="40"/>
        </w:trPr>
        <w:tc>
          <w:tcPr>
            <w:tcW w:w="74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44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7310" cy="8644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jc w:val="both"/>
        <w:ind w:left="540" w:right="559"/>
        <w:spacing w:after="0" w:line="284" w:lineRule="auto"/>
        <w:rPr>
          <w:sz w:val="20"/>
          <w:szCs w:val="20"/>
          <w:color w:val="auto"/>
        </w:rPr>
      </w:pPr>
      <w:r>
        <w:rPr>
          <w:rFonts w:ascii="Arial" w:cs="Arial" w:eastAsia="Arial" w:hAnsi="Arial"/>
          <w:sz w:val="16"/>
          <w:szCs w:val="16"/>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References in this prospectus to “we,” “us” or “our company” refer to Archimedes Tech SPAC Partners Co. References in this prospectus to our “public subunits” refer to the subunits sold as part of the units in this offering (each subunit consisting of one share of our common stock and one-quarter of a warrant), references to our “public shares” refer to shares of our common stock sold as part of the subunits contained in the units sold in this offering (in each case, whether they are purchased in this offering or thereafter in the open market as part of the subunits) and references to “public stockholders” refer to the holders of our subunits which are being sold as part of the units in this public offering, including our sponsor (as defined below), officers and directors to the extent they purchase such subunits, provided that their status as “public stockholders” shall only exist with respect to such subunits. References in this prospectus to our “management” or our “management team” refer to our offıcers and directors, references to our “initial stockholders” refer to our stockholders prior to this offering excluding the holders of the representative shares and references to our “sponsor” refer to Archimedes Tech SPAC Sponsors LLC, a Delaware limited liability company affiliated with Stephen N. Cannon, our Chief Executive Officer, President and Director. The term “equity-linked securities” refers to any debt or equity securities issued in a transaction, including but not limited to a private placement of equity or debt, that are convertible, exercisable or exchangeable for shares of common stock. Unless we tell you otherwise, the information in this prospectus assumes that the underwriters will not exercise their over-allotment option.</w:t>
      </w:r>
    </w:p>
    <w:p>
      <w:pPr>
        <w:spacing w:after="0" w:line="3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ind w:left="540" w:right="559"/>
        <w:spacing w:after="0" w:line="287" w:lineRule="auto"/>
        <w:rPr>
          <w:sz w:val="20"/>
          <w:szCs w:val="20"/>
          <w:color w:val="auto"/>
        </w:rPr>
      </w:pPr>
      <w:r>
        <w:rPr>
          <w:rFonts w:ascii="Arial" w:cs="Arial" w:eastAsia="Arial" w:hAnsi="Arial"/>
          <w:sz w:val="16"/>
          <w:szCs w:val="16"/>
          <w:color w:val="auto"/>
        </w:rPr>
        <w:t>We are a blank check company formed under the laws of the State of Delaware on September 15, 2020. We were formed for the purpose of entering into a merger, share exchange, asset acquisition, stock purchase, recapitalization, reorganization or other similar business combination with one or more businesses or entities, which we refer to as a “target business.” To date, our efforts have been limited to organizational activities as well as activities related to this offering. None of our officers, directors, promoters and other affiliates has engaged in any substantive discussions on our behalf with representatives of other companies regarding the possibility of a potential business combination with us. Our initial business combination and value creation strategy will be to identify, acquire and, after our initial business combination, assist in the growth of a technology business in the United States. Our focus will be on the artificial intelligence, cloud services and automotive technology sectors. However, we are not limited to the technology industry, or the named sectors, and we may pursue a business combination opportunity in any business or industry we choose and we may pursue a company with operations or opportunities outside of the United States.</w:t>
      </w:r>
    </w:p>
    <w:p>
      <w:pPr>
        <w:spacing w:after="0" w:line="100"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Our Chairman, Dr. Eric R. Ball, and special advisor, Mr. Brent Callinicos, both have long track records of senior management leadership in high growth technology companies. Within the technology industry, our initial focus will be on the artificial intelligence, cloud services and automotive technology sectors. Our management team possesses a strong understanding of the SPAC structure and market. Our Chief Executive Officer, Stephen N. Cannon, has served as a member of management for five SPACs that have completed initial public offerings, four of which have consummated a business combination.</w:t>
      </w:r>
    </w:p>
    <w:p>
      <w:pPr>
        <w:spacing w:after="0" w:line="97" w:lineRule="exact"/>
        <w:rPr>
          <w:sz w:val="20"/>
          <w:szCs w:val="20"/>
          <w:color w:val="auto"/>
        </w:rPr>
      </w:pPr>
    </w:p>
    <w:p>
      <w:pPr>
        <w:jc w:val="both"/>
        <w:ind w:left="540" w:right="559"/>
        <w:spacing w:after="0" w:line="270" w:lineRule="auto"/>
        <w:rPr>
          <w:sz w:val="20"/>
          <w:szCs w:val="20"/>
          <w:color w:val="auto"/>
        </w:rPr>
      </w:pPr>
      <w:r>
        <w:rPr>
          <w:rFonts w:ascii="Arial" w:cs="Arial" w:eastAsia="Arial" w:hAnsi="Arial"/>
          <w:sz w:val="17"/>
          <w:szCs w:val="17"/>
          <w:color w:val="auto"/>
        </w:rPr>
        <w:t>Dr. Eric R Ball, our Chairman, is the founder and General Partner of Impact Venture Capital, or Impact VC. Impact VC is a Silicon Valley based venture firm investing in early-stage applied artificial intelligence startup companies since 2016. Previously Mr. Ball held several senior level management positions in high growth technology companies. He was the Chief Financial Officer for C3.AI from 2015 to 2016. Prior to that Dr. Ball spent over a decade with Oracle Corp, including acting as Senior Vice President &amp; Treasurer, and previously was a senior financial professional for Flextronics International, Cisco Systems, Avery Dennison, and AT&amp;T. Dr. Ball has served as advisor and board member of several technology companies, including currently serving as chairman of the audit committee for the board of Glu Mobile Inc, a company that develops, publishes and markets a portfolio of free-to-play mobile games.</w:t>
      </w:r>
    </w:p>
    <w:p>
      <w:pPr>
        <w:spacing w:after="0" w:line="113"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Mr. Brent Callinicos is our special advisor. Mr. Callinicos is currently an angel investor, active in investing in early-stage technology companies. Mr. Callinicos was formerly the Chief Operating Officer and Chief Financial Officer of Virgin Hyperloop One, an autonomous transportation company. Prior to that, Mr. Callinicos was the Chief Financial Officer of Uber Technologies Inc., an on-demand car service company. Prior to that, Mr. Callinicos was the Vice President, Treasurer and Chief Accountant of Google Inc., now known as Alphabet Inc. Prior to that, Mr. Callinicos held several</w:t>
      </w:r>
    </w:p>
    <w:p>
      <w:pPr>
        <w:sectPr>
          <w:pgSz w:w="11900" w:h="16838" w:orient="portrait"/>
          <w:cols w:equalWidth="0" w:num="1">
            <w:col w:w="9019"/>
          </w:cols>
          <w:pgMar w:left="1440" w:top="274" w:right="1440"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 w:name="page4"/>
    <w:bookmarkEnd w:id="3"/>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39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senior management roles at Microsoft, including as Treasurer, Vice President of Worldwide Licensing and Pricing, and CFO of the Platforms and Services Division. Mr. Callinicos has served as an advisor to several technology companies and currently sits on several boards.</w:t>
      </w:r>
    </w:p>
    <w:p>
      <w:pPr>
        <w:spacing w:after="0" w:line="116"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Stephen N. Cannon, our Chief Executive Officer, has served as a member of management for five SPACs that have completed initial public offerings, four of which have consummated a business combination. The fifth SPAC, Ackrell SPAC Partners I Co., completed its IPO in December 2020 and is searching for target businesses with which to consummate a potential business combination with a focus on the branded fast-moving consumer goods industry.</w:t>
      </w:r>
    </w:p>
    <w:p>
      <w:pPr>
        <w:spacing w:after="0" w:line="107" w:lineRule="exact"/>
        <w:rPr>
          <w:sz w:val="20"/>
          <w:szCs w:val="20"/>
          <w:color w:val="auto"/>
        </w:rPr>
      </w:pPr>
    </w:p>
    <w:p>
      <w:pPr>
        <w:jc w:val="both"/>
        <w:ind w:left="540" w:right="559"/>
        <w:spacing w:after="0" w:line="342" w:lineRule="auto"/>
        <w:rPr>
          <w:sz w:val="20"/>
          <w:szCs w:val="20"/>
          <w:color w:val="auto"/>
        </w:rPr>
      </w:pPr>
      <w:r>
        <w:rPr>
          <w:rFonts w:ascii="Arial" w:cs="Arial" w:eastAsia="Arial" w:hAnsi="Arial"/>
          <w:sz w:val="16"/>
          <w:szCs w:val="16"/>
          <w:color w:val="auto"/>
        </w:rPr>
        <w:t>Daniel L Sheehan, our Chief Operating Officer, and Long Long, our Chief Financial Officer, are also currently serving as members of the board and management, respectively, for Ackrell SPAC Partners I Co.</w:t>
      </w:r>
    </w:p>
    <w:p>
      <w:pPr>
        <w:spacing w:after="0" w:line="56" w:lineRule="exact"/>
        <w:rPr>
          <w:sz w:val="20"/>
          <w:szCs w:val="20"/>
          <w:color w:val="auto"/>
        </w:rPr>
      </w:pPr>
    </w:p>
    <w:p>
      <w:pPr>
        <w:jc w:val="both"/>
        <w:ind w:left="540" w:right="559"/>
        <w:spacing w:after="0" w:line="308" w:lineRule="auto"/>
        <w:rPr>
          <w:sz w:val="20"/>
          <w:szCs w:val="20"/>
          <w:color w:val="auto"/>
        </w:rPr>
      </w:pPr>
      <w:r>
        <w:rPr>
          <w:rFonts w:ascii="Arial" w:cs="Arial" w:eastAsia="Arial" w:hAnsi="Arial"/>
          <w:sz w:val="17"/>
          <w:szCs w:val="17"/>
          <w:color w:val="auto"/>
        </w:rPr>
        <w:t>Bryant B. Edwards, a director of ours, served as Chief Operating Officer and director for Twelve Seas Investment Co., a SPAC which successful closed its business combination in December 2019.</w:t>
      </w:r>
    </w:p>
    <w:p>
      <w:pPr>
        <w:spacing w:after="0" w:line="79"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While we may pursue a business combination target in any business, industry or geographical location, we intend to focus our search for businesses in the technology industry, and our focus will be on the artificial intelligence, cloud services and automotive technology sectors.</w:t>
      </w:r>
    </w:p>
    <w:p>
      <w:pPr>
        <w:spacing w:after="0" w:line="103" w:lineRule="exact"/>
        <w:rPr>
          <w:sz w:val="20"/>
          <w:szCs w:val="20"/>
          <w:color w:val="auto"/>
        </w:rPr>
      </w:pPr>
    </w:p>
    <w:p>
      <w:pPr>
        <w:jc w:val="both"/>
        <w:ind w:left="540" w:right="559"/>
        <w:spacing w:after="0" w:line="293" w:lineRule="auto"/>
        <w:rPr>
          <w:sz w:val="20"/>
          <w:szCs w:val="20"/>
          <w:color w:val="auto"/>
        </w:rPr>
      </w:pPr>
      <w:r>
        <w:rPr>
          <w:rFonts w:ascii="Arial" w:cs="Arial" w:eastAsia="Arial" w:hAnsi="Arial"/>
          <w:sz w:val="16"/>
          <w:szCs w:val="16"/>
          <w:color w:val="auto"/>
        </w:rPr>
        <w:t>Our management team consists of seasoned professionals who have experience spanning the technology industry, including the sectors within the technology industry that we intend to focus on initially, mergers and acquisitions, corporate finance, corporate governance and compliance, legal and regulatory matters and investment management. See “</w:t>
      </w:r>
      <w:r>
        <w:rPr>
          <w:rFonts w:ascii="Arial" w:cs="Arial" w:eastAsia="Arial" w:hAnsi="Arial"/>
          <w:sz w:val="16"/>
          <w:szCs w:val="16"/>
          <w:i w:val="1"/>
          <w:iCs w:val="1"/>
          <w:color w:val="auto"/>
        </w:rPr>
        <w:t>Management</w:t>
      </w:r>
      <w:r>
        <w:rPr>
          <w:rFonts w:ascii="Arial" w:cs="Arial" w:eastAsia="Arial" w:hAnsi="Arial"/>
          <w:sz w:val="16"/>
          <w:szCs w:val="16"/>
          <w:color w:val="auto"/>
        </w:rPr>
        <w:t>” for additional information about our directors and executive officers. We believe that our officers’ and directors’ industry expertise, transaction experience and relationships may provide us with a substantial number of attractive potential business combination targets.</w:t>
      </w:r>
    </w:p>
    <w:p>
      <w:pPr>
        <w:spacing w:after="0" w:line="97" w:lineRule="exact"/>
        <w:rPr>
          <w:sz w:val="20"/>
          <w:szCs w:val="20"/>
          <w:color w:val="auto"/>
        </w:rPr>
      </w:pPr>
    </w:p>
    <w:p>
      <w:pPr>
        <w:jc w:val="both"/>
        <w:ind w:left="540" w:right="559"/>
        <w:spacing w:after="0" w:line="279" w:lineRule="auto"/>
        <w:rPr>
          <w:sz w:val="20"/>
          <w:szCs w:val="20"/>
          <w:color w:val="auto"/>
        </w:rPr>
      </w:pPr>
      <w:r>
        <w:rPr>
          <w:rFonts w:ascii="Arial" w:cs="Arial" w:eastAsia="Arial" w:hAnsi="Arial"/>
          <w:sz w:val="17"/>
          <w:szCs w:val="17"/>
          <w:color w:val="auto"/>
        </w:rPr>
        <w:t>The past performance of our management team or of their affiliates is not a guarantee either (i) that we will be able to identify a suitable candidate for our initial business combination or (ii) of success with respect to any business combination we may consummate. You should not rely on the historical record of our management team’s or their affiliates’ performance as indicative of our future performance.</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540" w:right="559"/>
        <w:spacing w:after="0" w:line="255" w:lineRule="auto"/>
        <w:rPr>
          <w:sz w:val="20"/>
          <w:szCs w:val="20"/>
          <w:color w:val="auto"/>
        </w:rPr>
      </w:pPr>
      <w:r>
        <w:rPr>
          <w:rFonts w:ascii="Arial" w:cs="Arial" w:eastAsia="Arial" w:hAnsi="Arial"/>
          <w:sz w:val="18"/>
          <w:szCs w:val="18"/>
          <w:color w:val="auto"/>
        </w:rPr>
        <w:t>We believe that there are a range of target businesses that could benefit from our industry knowledge, relationships, capital and public vehicle. Our strategy is to identify and complete our initial business combination with a target operating in the technology industry. Our focus will be on the artificial intelligence, cloud services and automotive technology sectors. While we intend to initially focus on potential opportunities in the United States, the technology industry is global and we may pursue opportunities internationally.</w:t>
      </w:r>
    </w:p>
    <w:p>
      <w:pPr>
        <w:spacing w:after="0" w:line="125"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Following the completion of this offering, our management team plans to identify and contact potential target businesses and start to evaluate and pursue a possible business combination. In addition, we will communicate the parameters of our search to our network of relationships and transaction sources to help us identify potential target businesses. We intend to leverage our team’s collective experience in the technology industry and capital markets to successfully complete a business combination, and then continue to support our target business with our industry relationships, insights and regulatory knowledge, financial expertise and capital resources.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jc w:val="both"/>
        <w:ind w:left="540" w:right="559"/>
        <w:spacing w:after="0" w:line="308" w:lineRule="auto"/>
        <w:rPr>
          <w:sz w:val="20"/>
          <w:szCs w:val="20"/>
          <w:color w:val="auto"/>
        </w:rPr>
      </w:pPr>
      <w:r>
        <w:rPr>
          <w:rFonts w:ascii="Arial" w:cs="Arial" w:eastAsia="Arial" w:hAnsi="Arial"/>
          <w:sz w:val="17"/>
          <w:szCs w:val="17"/>
          <w:color w:val="auto"/>
        </w:rPr>
        <w:t>We believe that our management team is well positioned to identify attractive target businesses within the technology industry and to facilitate a successful business combination for the following reasons:</w:t>
      </w:r>
    </w:p>
    <w:p>
      <w:pPr>
        <w:spacing w:after="0" w:line="61" w:lineRule="exact"/>
        <w:rPr>
          <w:sz w:val="20"/>
          <w:szCs w:val="20"/>
          <w:color w:val="auto"/>
        </w:rPr>
      </w:pPr>
    </w:p>
    <w:p>
      <w:pPr>
        <w:jc w:val="both"/>
        <w:ind w:left="540" w:right="559"/>
        <w:spacing w:after="0" w:line="281" w:lineRule="auto"/>
        <w:rPr>
          <w:sz w:val="20"/>
          <w:szCs w:val="20"/>
          <w:color w:val="auto"/>
        </w:rPr>
      </w:pPr>
      <w:r>
        <w:rPr>
          <w:rFonts w:ascii="Arial" w:cs="Arial" w:eastAsia="Arial" w:hAnsi="Arial"/>
          <w:sz w:val="17"/>
          <w:szCs w:val="17"/>
          <w:b w:val="1"/>
          <w:bCs w:val="1"/>
          <w:color w:val="auto"/>
        </w:rPr>
        <w:t xml:space="preserve">Experience recognizing key technology trends: </w:t>
      </w:r>
      <w:r>
        <w:rPr>
          <w:rFonts w:ascii="Arial" w:cs="Arial" w:eastAsia="Arial" w:hAnsi="Arial"/>
          <w:sz w:val="17"/>
          <w:szCs w:val="17"/>
          <w:color w:val="auto"/>
        </w:rPr>
        <w:t>Our team has demonstrated a long history of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and growing businesses at the epicenter of major technology trends. More recently, certain team members have been active in identifying and investing, at earlier stages, in companies focus on the next big trend, such as artificial intelligence, cloud services and automotive technology.</w:t>
      </w:r>
    </w:p>
    <w:p>
      <w:pPr>
        <w:spacing w:after="0" w:line="97" w:lineRule="exact"/>
        <w:rPr>
          <w:sz w:val="20"/>
          <w:szCs w:val="20"/>
          <w:color w:val="auto"/>
        </w:rPr>
      </w:pPr>
    </w:p>
    <w:p>
      <w:pPr>
        <w:jc w:val="both"/>
        <w:ind w:left="540" w:right="559"/>
        <w:spacing w:after="0" w:line="303" w:lineRule="auto"/>
        <w:rPr>
          <w:sz w:val="20"/>
          <w:szCs w:val="20"/>
          <w:color w:val="auto"/>
        </w:rPr>
      </w:pPr>
      <w:r>
        <w:rPr>
          <w:rFonts w:ascii="Arial" w:cs="Arial" w:eastAsia="Arial" w:hAnsi="Arial"/>
          <w:sz w:val="16"/>
          <w:szCs w:val="16"/>
          <w:b w:val="1"/>
          <w:bCs w:val="1"/>
          <w:color w:val="auto"/>
        </w:rPr>
        <w:t xml:space="preserve">Experience identifying strong management teams: </w:t>
      </w:r>
      <w:r>
        <w:rPr>
          <w:rFonts w:ascii="Arial" w:cs="Arial" w:eastAsia="Arial" w:hAnsi="Arial"/>
          <w:sz w:val="16"/>
          <w:szCs w:val="16"/>
          <w:color w:val="auto"/>
        </w:rPr>
        <w:t>With key members of our team having had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senior executive roles at key technology companies, we believe we have an ability to identify the characteristics of successful business leaders, and effective in engaging with these management teams. In addition, key members of our team have more recently been investing in many founder led businesses.</w:t>
      </w:r>
    </w:p>
    <w:p>
      <w:pPr>
        <w:sectPr>
          <w:pgSz w:w="11900" w:h="16838" w:orient="portrait"/>
          <w:cols w:equalWidth="0" w:num="1">
            <w:col w:w="9019"/>
          </w:cols>
          <w:pgMar w:left="1440" w:top="274" w:right="1440" w:bottom="1440" w:gutter="0" w:footer="0" w:header="0"/>
          <w:type w:val="continuous"/>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 w:name="page5"/>
    <w:bookmarkEnd w:id="4"/>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19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3191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66" w:lineRule="exact"/>
        <w:rPr>
          <w:sz w:val="20"/>
          <w:szCs w:val="20"/>
          <w:color w:val="auto"/>
        </w:rPr>
      </w:pPr>
    </w:p>
    <w:p>
      <w:pPr>
        <w:jc w:val="both"/>
        <w:ind w:left="540" w:right="559"/>
        <w:spacing w:after="0" w:line="289" w:lineRule="auto"/>
        <w:rPr>
          <w:sz w:val="20"/>
          <w:szCs w:val="20"/>
          <w:color w:val="auto"/>
        </w:rPr>
      </w:pPr>
      <w:r>
        <w:rPr>
          <w:rFonts w:ascii="Arial" w:cs="Arial" w:eastAsia="Arial" w:hAnsi="Arial"/>
          <w:sz w:val="17"/>
          <w:szCs w:val="17"/>
          <w:b w:val="1"/>
          <w:bCs w:val="1"/>
          <w:color w:val="auto"/>
        </w:rPr>
        <w:t xml:space="preserve">History of operating experience: </w:t>
      </w:r>
      <w:r>
        <w:rPr>
          <w:rFonts w:ascii="Arial" w:cs="Arial" w:eastAsia="Arial" w:hAnsi="Arial"/>
          <w:sz w:val="17"/>
          <w:szCs w:val="17"/>
          <w:color w:val="auto"/>
        </w:rPr>
        <w:t>The members of our team are seasoned operators having held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level roles in various companies. We have experience in developing and executing strategy, building and retaining teams, and executing business combinations among other activities.</w:t>
      </w:r>
    </w:p>
    <w:p>
      <w:pPr>
        <w:spacing w:after="0" w:line="50" w:lineRule="exact"/>
        <w:rPr>
          <w:sz w:val="20"/>
          <w:szCs w:val="20"/>
          <w:color w:val="auto"/>
        </w:rPr>
      </w:pPr>
    </w:p>
    <w:p>
      <w:pPr>
        <w:jc w:val="both"/>
        <w:ind w:left="540" w:right="559"/>
        <w:spacing w:after="0" w:line="303" w:lineRule="auto"/>
        <w:rPr>
          <w:sz w:val="20"/>
          <w:szCs w:val="20"/>
          <w:color w:val="auto"/>
        </w:rPr>
      </w:pPr>
      <w:r>
        <w:rPr>
          <w:rFonts w:ascii="Arial" w:cs="Arial" w:eastAsia="Arial" w:hAnsi="Arial"/>
          <w:sz w:val="16"/>
          <w:szCs w:val="16"/>
          <w:b w:val="1"/>
          <w:bCs w:val="1"/>
          <w:color w:val="auto"/>
        </w:rPr>
        <w:t xml:space="preserve">Deep network and connections to company founders: </w:t>
      </w:r>
      <w:r>
        <w:rPr>
          <w:rFonts w:ascii="Arial" w:cs="Arial" w:eastAsia="Arial" w:hAnsi="Arial"/>
          <w:sz w:val="16"/>
          <w:szCs w:val="16"/>
          <w:color w:val="auto"/>
        </w:rPr>
        <w:t>Our team has numerous existing connections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founders and business leaders across sectors within the technology industry. We have invested in many companies, served on many boards and have worked with many influential founders and senior management teams within the technology industry, and specifically the sectors we intend to initially focus on.</w:t>
      </w:r>
    </w:p>
    <w:p>
      <w:pPr>
        <w:spacing w:after="0" w:line="43" w:lineRule="exact"/>
        <w:rPr>
          <w:sz w:val="20"/>
          <w:szCs w:val="20"/>
          <w:color w:val="auto"/>
        </w:rPr>
      </w:pPr>
    </w:p>
    <w:p>
      <w:pPr>
        <w:jc w:val="both"/>
        <w:ind w:left="540" w:right="559"/>
        <w:spacing w:after="0" w:line="291" w:lineRule="auto"/>
        <w:rPr>
          <w:sz w:val="20"/>
          <w:szCs w:val="20"/>
          <w:color w:val="auto"/>
        </w:rPr>
      </w:pPr>
      <w:r>
        <w:rPr>
          <w:rFonts w:ascii="Arial" w:cs="Arial" w:eastAsia="Arial" w:hAnsi="Arial"/>
          <w:sz w:val="16"/>
          <w:szCs w:val="16"/>
          <w:b w:val="1"/>
          <w:bCs w:val="1"/>
          <w:color w:val="auto"/>
        </w:rPr>
        <w:t xml:space="preserve">Significant Prior SPAC Experience: </w:t>
      </w:r>
      <w:r>
        <w:rPr>
          <w:rFonts w:ascii="Arial" w:cs="Arial" w:eastAsia="Arial" w:hAnsi="Arial"/>
          <w:sz w:val="16"/>
          <w:szCs w:val="16"/>
          <w:color w:val="auto"/>
        </w:rPr>
        <w:t>Our management team possesses a strong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SPAC structure and market. Our CEO, Stephen N. Cannon, has served as a member of management for five SPACs that have completed initial public offerings, four of which have consummated business combinations. In the case of his most recent SPAC merger, Twelve Seas Investment Co, the common shares are currently trading approximately five percent above its SPAC IPO price. However, the stock price performance of Mr. Cannon’s prior SPACs has not always been positive for investors. For example, the common shares of the three other SPACs that previously consummated business combinations are currently trading below $10.00 per share. Further, Mr. Cannon’s other SPAC never consummated its IPO due to market conditions.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Investment Criteria</w:t>
      </w:r>
    </w:p>
    <w:p>
      <w:pPr>
        <w:spacing w:after="0" w:line="121" w:lineRule="exact"/>
        <w:rPr>
          <w:sz w:val="20"/>
          <w:szCs w:val="20"/>
          <w:color w:val="auto"/>
        </w:rPr>
      </w:pPr>
    </w:p>
    <w:p>
      <w:pPr>
        <w:jc w:val="both"/>
        <w:ind w:left="540" w:right="559"/>
        <w:spacing w:after="0" w:line="255" w:lineRule="auto"/>
        <w:rPr>
          <w:sz w:val="20"/>
          <w:szCs w:val="20"/>
          <w:color w:val="auto"/>
        </w:rPr>
      </w:pPr>
      <w:r>
        <w:rPr>
          <w:rFonts w:ascii="Arial" w:cs="Arial" w:eastAsia="Arial" w:hAnsi="Arial"/>
          <w:sz w:val="18"/>
          <w:szCs w:val="18"/>
          <w:color w:val="auto"/>
        </w:rPr>
        <w:t>We intend to leverage the extensive network and experience of our management team in identifying a suitable target within the technology industry and structuring a business combination that is attractive to both the target and our public stockholders. We have identified the following general criteria and guidelines that we believe are important in evaluating prospective target businesses. While we intend to use these criteria and guidelines in evaluating prospective businesses, we may deviate from these criteria and guidelines should we see fit to do so:</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Clear and Sustainable Competitive Advantages</w:t>
      </w:r>
    </w:p>
    <w:p>
      <w:pPr>
        <w:spacing w:after="0" w:line="158"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We intend to target businesses that differentiate themselves from their peers in ways that are difficult to replicate and have clear competitive advantages.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High Growth Potential and Cash Flow</w:t>
      </w:r>
    </w:p>
    <w:p>
      <w:pPr>
        <w:spacing w:after="0" w:line="144"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We intend to seek businesses that are well positioned to grow in their respective markets and which have clear plans on how to leverage additional capital to accelerate growth. We expect to target businesses that have had, or expect to have, strong cash flow generation.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Experienced Management Teams</w:t>
      </w:r>
    </w:p>
    <w:p>
      <w:pPr>
        <w:spacing w:after="0" w:line="117"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We intend to seek to target businesses that have strong, experienced management teams who we believe may benefit from our financial, managerial and investment expertise as well as our extensive industry networks and insights. We believe that identifying such management teams is particularly important given our target industry.</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Attractive Valuations</w:t>
      </w:r>
    </w:p>
    <w:p>
      <w:pPr>
        <w:spacing w:after="0" w:line="117"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We will only evaluate a business that, based on our due diligence and industry experience, represents an attractive valuation relative to publicly listed companies with similar characteristics or in similar industry segments.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Will Benefit from Being a Public Company</w:t>
      </w:r>
    </w:p>
    <w:p>
      <w:pPr>
        <w:spacing w:after="0" w:line="158"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We intend to pursue a business that will benefit from being a public company, including potentially having broader access to capital and a public currency for acquisitions.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Effecting a Business Combination</w:t>
      </w:r>
    </w:p>
    <w:p>
      <w:pPr>
        <w:spacing w:after="0" w:line="162"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We will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 w:name="page6"/>
    <w:bookmarkEnd w:id="5"/>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50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8506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86" w:lineRule="auto"/>
        <w:rPr>
          <w:sz w:val="20"/>
          <w:szCs w:val="20"/>
          <w:color w:val="auto"/>
        </w:rPr>
      </w:pPr>
      <w:r>
        <w:rPr>
          <w:rFonts w:ascii="Arial" w:cs="Arial" w:eastAsia="Arial" w:hAnsi="Arial"/>
          <w:sz w:val="16"/>
          <w:szCs w:val="16"/>
          <w:color w:val="auto"/>
        </w:rPr>
        <w:t>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decide to allow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06" w:lineRule="exact"/>
        <w:rPr>
          <w:sz w:val="20"/>
          <w:szCs w:val="20"/>
          <w:color w:val="auto"/>
        </w:rPr>
      </w:pPr>
    </w:p>
    <w:p>
      <w:pPr>
        <w:jc w:val="both"/>
        <w:ind w:left="540" w:right="559"/>
        <w:spacing w:after="0" w:line="288" w:lineRule="auto"/>
        <w:rPr>
          <w:sz w:val="20"/>
          <w:szCs w:val="20"/>
          <w:color w:val="auto"/>
        </w:rPr>
      </w:pPr>
      <w:r>
        <w:rPr>
          <w:rFonts w:ascii="Arial" w:cs="Arial" w:eastAsia="Arial" w:hAnsi="Arial"/>
          <w:sz w:val="16"/>
          <w:szCs w:val="16"/>
          <w:color w:val="auto"/>
        </w:rPr>
        <w:t>We will have up to 18 months to consummate an initial business combination from the closing of this offering. If we are unable to consummate an initial business combination within such time period, we will redeem 100% of the outstanding public subunits for a pro rata portion of the funds held in the trust account, equal to the aggregate amount then on deposit in the trust account including interest earned on the funds held in the trust account and not previously released to us, divided by the number of then outstanding public subunits, subject to applicable law and as further described herein, and then seek to dissolve and liquidate. We expect that the pro rata redemption price to be approximately $10.00 per subunit (regardless of whether or not the underwriters exercise their over-allotment option), without taking into account any interest earned on such funds. However, we cannot assure you that we will in fact be able to distribute such amounts as a result of claims of creditors which may take priority over the claims of our public stockholders.</w:t>
      </w:r>
    </w:p>
    <w:p>
      <w:pPr>
        <w:spacing w:after="0" w:line="87" w:lineRule="exact"/>
        <w:rPr>
          <w:sz w:val="20"/>
          <w:szCs w:val="20"/>
          <w:color w:val="auto"/>
        </w:rPr>
      </w:pPr>
    </w:p>
    <w:p>
      <w:pPr>
        <w:jc w:val="both"/>
        <w:ind w:left="540" w:right="559"/>
        <w:spacing w:after="0" w:line="285" w:lineRule="auto"/>
        <w:rPr>
          <w:sz w:val="20"/>
          <w:szCs w:val="20"/>
          <w:color w:val="auto"/>
        </w:rPr>
      </w:pPr>
      <w:r>
        <w:rPr>
          <w:rFonts w:ascii="Arial" w:cs="Arial" w:eastAsia="Arial" w:hAnsi="Arial"/>
          <w:sz w:val="16"/>
          <w:szCs w:val="16"/>
          <w:color w:val="auto"/>
        </w:rPr>
        <w:t>Nasdaq listing rules require that our initial business combination must occur with one or more target businesses that together have a fair market value of at least 80% of the assets held in the trust account (excluding taxes payable on the interest earned on the trust account) at the time of the agreement to enter into the initial business combination. Notwithstanding the foregoing, if we are not then listed on the Nasdaq for whatever reason, we would no longer be required to meet the foregoing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Additionally, pursuant to Nasdaq rules, any initial business combination must be approved by a majority of our independent directors.</w:t>
      </w:r>
    </w:p>
    <w:p>
      <w:pPr>
        <w:spacing w:after="0" w:line="322" w:lineRule="exact"/>
        <w:rPr>
          <w:sz w:val="20"/>
          <w:szCs w:val="20"/>
          <w:color w:val="auto"/>
        </w:rPr>
      </w:pPr>
    </w:p>
    <w:p>
      <w:pPr>
        <w:jc w:val="both"/>
        <w:ind w:left="540" w:right="559"/>
        <w:spacing w:after="0" w:line="267" w:lineRule="auto"/>
        <w:rPr>
          <w:sz w:val="20"/>
          <w:szCs w:val="20"/>
          <w:color w:val="auto"/>
        </w:rPr>
      </w:pPr>
      <w:r>
        <w:rPr>
          <w:rFonts w:ascii="Arial" w:cs="Arial" w:eastAsia="Arial" w:hAnsi="Arial"/>
          <w:sz w:val="17"/>
          <w:szCs w:val="17"/>
          <w:color w:val="auto"/>
        </w:rPr>
        <w:t>We currently anticipate structuring a business combination to acquire 100% of the equity interests or assets of the target business or businesses. We may, however, structure our initial business combination where we merge directly with the target business or a newly formed subsidiary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w:t>
      </w:r>
    </w:p>
    <w:p>
      <w:pPr>
        <w:sectPr>
          <w:pgSz w:w="11900" w:h="16838" w:orient="portrait"/>
          <w:cols w:equalWidth="0" w:num="1">
            <w:col w:w="9019"/>
          </w:cols>
          <w:pgMar w:left="1440" w:top="274"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 w:name="page7"/>
    <w:bookmarkEnd w:id="6"/>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87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86" w:lineRule="auto"/>
        <w:rPr>
          <w:sz w:val="20"/>
          <w:szCs w:val="20"/>
          <w:color w:val="auto"/>
        </w:rPr>
      </w:pPr>
      <w:r>
        <w:rPr>
          <w:rFonts w:ascii="Arial" w:cs="Arial" w:eastAsia="Arial" w:hAnsi="Arial"/>
          <w:sz w:val="17"/>
          <w:szCs w:val="17"/>
          <w:color w:val="auto"/>
        </w:rPr>
        <w:t>Unlike other blank check company offerings, we have structured our offering to be an offering of units that consist of one subunit (consisting of one share of common stock and one-quarter of a warrant) and one-quarter of a warrant. We have structured our offering in this fashion for two primary reasons:</w:t>
      </w:r>
    </w:p>
    <w:p>
      <w:pPr>
        <w:spacing w:after="0" w:line="98" w:lineRule="exact"/>
        <w:rPr>
          <w:sz w:val="20"/>
          <w:szCs w:val="20"/>
          <w:color w:val="auto"/>
        </w:rPr>
      </w:pPr>
    </w:p>
    <w:p>
      <w:pPr>
        <w:jc w:val="both"/>
        <w:ind w:left="1400" w:right="559" w:hanging="424"/>
        <w:spacing w:after="0" w:line="255" w:lineRule="auto"/>
        <w:tabs>
          <w:tab w:leader="none" w:pos="1526"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11" w:lineRule="exact"/>
        <w:rPr>
          <w:rFonts w:ascii="Arial" w:cs="Arial" w:eastAsia="Arial" w:hAnsi="Arial"/>
          <w:sz w:val="18"/>
          <w:szCs w:val="18"/>
          <w:color w:val="auto"/>
        </w:rPr>
      </w:pPr>
    </w:p>
    <w:p>
      <w:pPr>
        <w:jc w:val="both"/>
        <w:ind w:left="1400" w:right="559" w:hanging="424"/>
        <w:spacing w:after="0" w:line="275" w:lineRule="auto"/>
        <w:tabs>
          <w:tab w:leader="none" w:pos="1445"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Minimize Dilution. This structure may reduce the total number of warrants outstanding, as compared to a structure in which one unit consists of one share and one full warrant, if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109" w:lineRule="exact"/>
        <w:rPr>
          <w:sz w:val="20"/>
          <w:szCs w:val="20"/>
          <w:color w:val="auto"/>
        </w:rPr>
      </w:pPr>
    </w:p>
    <w:p>
      <w:pPr>
        <w:jc w:val="both"/>
        <w:ind w:left="540" w:right="559"/>
        <w:spacing w:after="0" w:line="301" w:lineRule="auto"/>
        <w:rPr>
          <w:sz w:val="20"/>
          <w:szCs w:val="20"/>
          <w:color w:val="auto"/>
        </w:rPr>
      </w:pPr>
      <w:r>
        <w:rPr>
          <w:rFonts w:ascii="Arial" w:cs="Arial" w:eastAsia="Arial" w:hAnsi="Arial"/>
          <w:sz w:val="16"/>
          <w:szCs w:val="16"/>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Conflicts</w:t>
      </w:r>
    </w:p>
    <w:p>
      <w:pPr>
        <w:spacing w:after="0" w:line="162"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Members of our management team will directly or indirectly own shares of our common stock, or other instruments, such as units, subunits or warrants, linked to our common stock,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96" w:lineRule="exact"/>
        <w:rPr>
          <w:sz w:val="20"/>
          <w:szCs w:val="20"/>
          <w:color w:val="auto"/>
        </w:rPr>
      </w:pPr>
    </w:p>
    <w:p>
      <w:pPr>
        <w:jc w:val="both"/>
        <w:ind w:left="540" w:right="559"/>
        <w:spacing w:after="0" w:line="288" w:lineRule="auto"/>
        <w:rPr>
          <w:sz w:val="20"/>
          <w:szCs w:val="20"/>
          <w:color w:val="auto"/>
        </w:rPr>
      </w:pPr>
      <w:r>
        <w:rPr>
          <w:rFonts w:ascii="Arial" w:cs="Arial" w:eastAsia="Arial" w:hAnsi="Arial"/>
          <w:sz w:val="16"/>
          <w:szCs w:val="16"/>
          <w:color w:val="auto"/>
        </w:rPr>
        <w:t xml:space="preserve">Our officers and directors have agreed to present to us all target business opportunities that have a fair market value of at least 80% of the assets held in the trust account (excluding the taxes payable on the interest earned on the trust account), subject to any pre-existing fiduciary or contractual obligations. As more fully discussed in </w:t>
      </w:r>
      <w:r>
        <w:rPr>
          <w:rFonts w:ascii="Arial" w:cs="Arial" w:eastAsia="Arial" w:hAnsi="Arial"/>
          <w:sz w:val="16"/>
          <w:szCs w:val="16"/>
          <w:i w:val="1"/>
          <w:iCs w:val="1"/>
          <w:color w:val="auto"/>
        </w:rPr>
        <w:t>“Management — Conflicts of Interest</w:t>
      </w:r>
      <w:r>
        <w:rPr>
          <w:rFonts w:ascii="Arial" w:cs="Arial" w:eastAsia="Arial" w:hAnsi="Arial"/>
          <w:sz w:val="16"/>
          <w:szCs w:val="16"/>
          <w:color w:val="auto"/>
        </w:rPr>
        <w:t>,” if any of our officers or directors becomes aware of an initial business combination opportunity that might be attractive to any entity to which he has pre-existing fiduciary or contractual obligations, he may be required to present such initial business combination opportunity to such entity prior to presenting such initial business combination opportunity to us. Certain of our other officers and directors currently may have certain relevant pre-existing fiduciary duties or contractual obligations. For more information on the relevant pre-existing fiduciary duties or contractual obligations of our management team, see the section titled “</w:t>
      </w:r>
      <w:r>
        <w:rPr>
          <w:rFonts w:ascii="Arial" w:cs="Arial" w:eastAsia="Arial" w:hAnsi="Arial"/>
          <w:sz w:val="16"/>
          <w:szCs w:val="16"/>
          <w:i w:val="1"/>
          <w:iCs w:val="1"/>
          <w:color w:val="auto"/>
        </w:rPr>
        <w:t>Management — Conflicts of Interest</w:t>
      </w:r>
      <w:r>
        <w:rPr>
          <w:rFonts w:ascii="Arial" w:cs="Arial" w:eastAsia="Arial" w:hAnsi="Arial"/>
          <w:sz w:val="16"/>
          <w:szCs w:val="16"/>
          <w:color w:val="auto"/>
        </w:rPr>
        <w:t>.”</w:t>
      </w:r>
    </w:p>
    <w:p>
      <w:pPr>
        <w:spacing w:after="0" w:line="101"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In addition, some of our officers and directors, including our Chief Executive Officer, are currently officers and/or directors in other SPACs and may participate in the formation of, or become an officer or director of, additional blank check companies prior to completion of our initial business combination. As a result, our officers and/or directors currently have conflicts of interest in determining whether to present business combination opportunities to us or to any other blank check company with which they may become involved and could have additional conflicts in the future.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jc w:val="both"/>
        <w:ind w:left="540" w:right="559"/>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(which we refer to herein as the JOBS Act) and will remain such for up to five years. However, if our annual gross revenue is $1.07 billion or more, if our non-convertible debt issued within a three year period exceeds $1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have elected, under Section 107(b) of the JOBS Act, to take advantage of the extended transition period provided in Section 7(a)</w:t>
      </w:r>
    </w:p>
    <w:p>
      <w:pPr>
        <w:spacing w:after="0" w:line="2" w:lineRule="exact"/>
        <w:rPr>
          <w:sz w:val="20"/>
          <w:szCs w:val="20"/>
          <w:color w:val="auto"/>
        </w:rPr>
      </w:pPr>
    </w:p>
    <w:p>
      <w:pPr>
        <w:jc w:val="both"/>
        <w:ind w:left="540" w:right="559"/>
        <w:spacing w:after="0" w:line="260" w:lineRule="auto"/>
        <w:rPr>
          <w:sz w:val="20"/>
          <w:szCs w:val="20"/>
          <w:color w:val="auto"/>
        </w:rPr>
      </w:pPr>
      <w:r>
        <w:rPr>
          <w:rFonts w:ascii="Arial" w:cs="Arial" w:eastAsia="Arial" w:hAnsi="Arial"/>
          <w:sz w:val="18"/>
          <w:szCs w:val="18"/>
          <w:color w:val="auto"/>
        </w:rPr>
        <w:t>(2)(B) of the Securities Act of 1933, as amended, or the Securities Act, for complying with new or revised accounting standards.</w:t>
      </w:r>
    </w:p>
    <w:p>
      <w:pPr>
        <w:sectPr>
          <w:pgSz w:w="11900" w:h="16838" w:orient="portrait"/>
          <w:cols w:equalWidth="0" w:num="1">
            <w:col w:w="9019"/>
          </w:cols>
          <w:pgMar w:left="1440" w:top="274" w:right="1440"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 w:name="page8"/>
    <w:bookmarkEnd w:id="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4685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4685030"/>
                    </a:xfrm>
                    <a:prstGeom prst="rect">
                      <a:avLst/>
                    </a:prstGeom>
                    <a:noFill/>
                  </pic:spPr>
                </pic:pic>
              </a:graphicData>
            </a:graphic>
          </wp:anchor>
        </w:drawing>
      </w:r>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jc w:val="both"/>
        <w:ind w:left="540" w:right="559"/>
        <w:spacing w:after="0" w:line="255" w:lineRule="auto"/>
        <w:rPr>
          <w:sz w:val="20"/>
          <w:szCs w:val="20"/>
          <w:color w:val="auto"/>
        </w:rPr>
      </w:pPr>
      <w:r>
        <w:rPr>
          <w:rFonts w:ascii="Arial" w:cs="Arial" w:eastAsia="Arial" w:hAnsi="Arial"/>
          <w:sz w:val="18"/>
          <w:szCs w:val="18"/>
          <w:color w:val="auto"/>
        </w:rPr>
        <w:t>As of the date of this prospectus, there are outstanding (i) 3,450,000 shares of common stock, which we refer to throughout this prospectus as the “</w:t>
      </w:r>
      <w:r>
        <w:rPr>
          <w:rFonts w:ascii="Arial" w:cs="Arial" w:eastAsia="Arial" w:hAnsi="Arial"/>
          <w:sz w:val="18"/>
          <w:szCs w:val="18"/>
          <w:i w:val="1"/>
          <w:iCs w:val="1"/>
          <w:color w:val="auto"/>
        </w:rPr>
        <w:t>founder shares</w:t>
      </w:r>
      <w:r>
        <w:rPr>
          <w:rFonts w:ascii="Arial" w:cs="Arial" w:eastAsia="Arial" w:hAnsi="Arial"/>
          <w:sz w:val="18"/>
          <w:szCs w:val="18"/>
          <w:color w:val="auto"/>
        </w:rPr>
        <w:t>”, owned by our sponsor and directors and (ii) 420,000 shares of common stock, which we refer to throughout this prospectus as the “</w:t>
      </w:r>
      <w:r>
        <w:rPr>
          <w:rFonts w:ascii="Arial" w:cs="Arial" w:eastAsia="Arial" w:hAnsi="Arial"/>
          <w:sz w:val="18"/>
          <w:szCs w:val="18"/>
          <w:i w:val="1"/>
          <w:iCs w:val="1"/>
          <w:color w:val="auto"/>
        </w:rPr>
        <w:t>representative shares</w:t>
      </w:r>
      <w:r>
        <w:rPr>
          <w:rFonts w:ascii="Arial" w:cs="Arial" w:eastAsia="Arial" w:hAnsi="Arial"/>
          <w:sz w:val="18"/>
          <w:szCs w:val="18"/>
          <w:color w:val="auto"/>
        </w:rPr>
        <w:t>,” owned by EarlyBirdCapital, the representative of the underwriters in this offering, and/or its designees. The representative shares are deemed to be underwriters’ compensation by FINRA pursuant to Rule 5110 of the FINRA Manual.</w:t>
      </w:r>
    </w:p>
    <w:p>
      <w:pPr>
        <w:spacing w:after="0" w:line="111" w:lineRule="exact"/>
        <w:rPr>
          <w:sz w:val="20"/>
          <w:szCs w:val="20"/>
          <w:color w:val="auto"/>
        </w:rPr>
      </w:pPr>
    </w:p>
    <w:p>
      <w:pPr>
        <w:jc w:val="both"/>
        <w:ind w:left="540" w:right="559"/>
        <w:spacing w:after="0" w:line="271" w:lineRule="auto"/>
        <w:rPr>
          <w:sz w:val="20"/>
          <w:szCs w:val="20"/>
          <w:color w:val="auto"/>
        </w:rPr>
      </w:pPr>
      <w:r>
        <w:rPr>
          <w:rFonts w:ascii="Arial" w:cs="Arial" w:eastAsia="Arial" w:hAnsi="Arial"/>
          <w:sz w:val="17"/>
          <w:szCs w:val="17"/>
          <w:color w:val="auto"/>
        </w:rPr>
        <w:t>In addition, our sponsor and EarlyBirdCapital have committed that they and/or their designees will purchase from us an aggregate of 390,000 units, or “private units,” at $10.00 per unit, for a total purchase price of $3,900,000 in a private placement that will occur simultaneously with the consummation of this offering. Each private unit consists of one subunit and one-quarter of a warrant. Each such subunit, or “private subunit” consists of one share of our common stock or “private shares,” and one-quarter of a warrant. The warrants included in the private units and private subunits are referred to as the “private warrants.” Of the 390,000 private units, 330,000 will be purchased by our sponsor and 60,000 will be purchased by EarlyBirdCapital and/or its designees.</w:t>
      </w:r>
    </w:p>
    <w:p>
      <w:pPr>
        <w:spacing w:after="0" w:line="111" w:lineRule="exact"/>
        <w:rPr>
          <w:sz w:val="20"/>
          <w:szCs w:val="20"/>
          <w:color w:val="auto"/>
        </w:rPr>
      </w:pPr>
    </w:p>
    <w:p>
      <w:pPr>
        <w:jc w:val="both"/>
        <w:ind w:left="540" w:right="559"/>
        <w:spacing w:after="0" w:line="269" w:lineRule="auto"/>
        <w:rPr>
          <w:sz w:val="20"/>
          <w:szCs w:val="20"/>
          <w:color w:val="auto"/>
        </w:rPr>
      </w:pPr>
      <w:r>
        <w:rPr>
          <w:rFonts w:ascii="Arial" w:cs="Arial" w:eastAsia="Arial" w:hAnsi="Arial"/>
          <w:sz w:val="17"/>
          <w:szCs w:val="17"/>
          <w:color w:val="auto"/>
        </w:rPr>
        <w:t>Our sponsor and EarlyBirdCapital have also agreed that if the over-allotment option is exercised by the underwriters in full or in part, they and/or their designees will purchase from us additional private units (up to a maximum of 36,000 private units at a price of $10.00 per private unit, of which up to 27,000 will be purchased by our sponsor and 9,000 will be purchased by EarlyBirdCapital and/or its designees)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proceeds from the private placement of the private units will be added to the proceeds of this offering and placed in a U.S.-based trust account maintained by Continental Stock Transfer &amp; Trust Company, as trustee. If we do not complete an initial business combination within 18 months from the closing of this offering, the proceeds from the sale of the private units will be included in the liquidating distribution to our public stockholders and the private units will be worthless.</w:t>
      </w:r>
    </w:p>
    <w:p>
      <w:pPr>
        <w:spacing w:after="0" w:line="111"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Our executive offices are located at 2093 Philadelphia Pike #1968, Claymont, DE 19703 and our telephone number is (650) 560 4753.</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 w:name="page9"/>
    <w:bookmarkEnd w:id="8"/>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339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9339580"/>
                    </a:xfrm>
                    <a:prstGeom prst="rect">
                      <a:avLst/>
                    </a:prstGeom>
                    <a:noFill/>
                  </pic:spPr>
                </pic:pic>
              </a:graphicData>
            </a:graphic>
          </wp:anchor>
        </w:drawing>
      </w:r>
    </w:p>
    <w:p>
      <w:pPr>
        <w:sectPr>
          <w:pgSz w:w="11900" w:h="16838" w:orient="portrait"/>
          <w:cols w:equalWidth="0" w:num="1">
            <w:col w:w="9019"/>
          </w:cols>
          <w:pgMar w:left="1440" w:top="274" w:right="1440"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20" w:right="40" w:hanging="179"/>
        <w:spacing w:after="0" w:line="277" w:lineRule="auto"/>
        <w:rPr>
          <w:sz w:val="20"/>
          <w:szCs w:val="20"/>
          <w:color w:val="auto"/>
        </w:rPr>
      </w:pPr>
      <w:r>
        <w:rPr>
          <w:rFonts w:ascii="Arial" w:cs="Arial" w:eastAsia="Arial" w:hAnsi="Arial"/>
          <w:sz w:val="18"/>
          <w:szCs w:val="18"/>
          <w:color w:val="auto"/>
        </w:rPr>
        <w:t>Listing of our securities and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0" w:hanging="179"/>
        <w:spacing w:after="0" w:line="342" w:lineRule="auto"/>
        <w:rPr>
          <w:sz w:val="20"/>
          <w:szCs w:val="20"/>
          <w:color w:val="auto"/>
        </w:rPr>
      </w:pPr>
      <w:r>
        <w:rPr>
          <w:rFonts w:ascii="Arial" w:cs="Arial" w:eastAsia="Arial" w:hAnsi="Arial"/>
          <w:sz w:val="16"/>
          <w:szCs w:val="16"/>
          <w:color w:val="auto"/>
        </w:rPr>
        <w:t>Trading commencement and separation of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jc w:val="both"/>
        <w:ind w:right="579"/>
        <w:spacing w:after="0" w:line="279" w:lineRule="auto"/>
        <w:rPr>
          <w:sz w:val="20"/>
          <w:szCs w:val="20"/>
          <w:color w:val="auto"/>
        </w:rPr>
      </w:pPr>
      <w:r>
        <w:rPr>
          <w:rFonts w:ascii="Arial" w:cs="Arial" w:eastAsia="Arial" w:hAnsi="Arial"/>
          <w:sz w:val="17"/>
          <w:szCs w:val="17"/>
          <w:color w:val="auto"/>
        </w:rPr>
        <w:t>12,000,000 units, at $10.00 per unit, each unit consisting of (i) one subunit, each subunit consisting of one share of common stock and one-quarter of one warrant, and (ii) one-quarter of one warrant; each whole warrant will be exercisable to purchase one share of common stock.</w:t>
      </w:r>
    </w:p>
    <w:p>
      <w:pPr>
        <w:spacing w:after="0" w:line="347"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The units, subunits and public warrants, will be listed on Nasdaq under the symbols “ATSPU,” “ATSPT,” and “ATSPW,” respectively. The common stock will not trade separately unless and until we consummate an initial business combination. Upon consummation of our initial business combination, we anticipate the common stock will be traded on Nasdaq under the symbol “ATSP.”</w:t>
      </w:r>
    </w:p>
    <w:p>
      <w:pPr>
        <w:spacing w:after="0" w:line="381"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The units will begin trading on or promptly after the date of this prospectus. The subunits and warrants comprising the units, but not the shares of common stock and warrants included in the subunits, will begin to trade separately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date of this prospectus unless EarlyBirdCapital informs us of its decision to allow earlier separate trading, subject to our having filed the Current Report on Form 8-K described below and having issued a press release and filed a Current Report on Form 8-K announcing when such separate trading will begin.</w:t>
      </w:r>
    </w:p>
    <w:p>
      <w:pPr>
        <w:spacing w:after="0" w:line="142" w:lineRule="exact"/>
        <w:rPr>
          <w:sz w:val="20"/>
          <w:szCs w:val="20"/>
          <w:color w:val="auto"/>
        </w:rPr>
      </w:pPr>
    </w:p>
    <w:p>
      <w:pPr>
        <w:jc w:val="both"/>
        <w:ind w:right="559"/>
        <w:spacing w:after="0" w:line="253" w:lineRule="auto"/>
        <w:rPr>
          <w:sz w:val="20"/>
          <w:szCs w:val="20"/>
          <w:color w:val="auto"/>
        </w:rPr>
      </w:pPr>
      <w:r>
        <w:rPr>
          <w:rFonts w:ascii="Arial" w:cs="Arial" w:eastAsia="Arial" w:hAnsi="Arial"/>
          <w:sz w:val="18"/>
          <w:szCs w:val="18"/>
          <w:color w:val="auto"/>
        </w:rPr>
        <w:t>Once the subunits and warrants commence separate trading, holders will have the option to continue to hold units or separate their units into the component pieces. Holders will need to have their brokers contact our transfer agent in order to separate the units into subunits and warrants. No fractional warrants will be issued upon separation of the units and only whole warrants will trade. Accordingly, unless you purchase a multiple of four units, the number of tradeable warrants issuable to you upon separation of the units will be rounded down to the nearest whole number of warrants.</w:t>
      </w:r>
    </w:p>
    <w:p>
      <w:pPr>
        <w:spacing w:after="0" w:line="169" w:lineRule="exact"/>
        <w:rPr>
          <w:sz w:val="20"/>
          <w:szCs w:val="20"/>
          <w:color w:val="auto"/>
        </w:rPr>
      </w:pPr>
    </w:p>
    <w:p>
      <w:pPr>
        <w:jc w:val="both"/>
        <w:ind w:right="559"/>
        <w:spacing w:after="0" w:line="266" w:lineRule="auto"/>
        <w:rPr>
          <w:sz w:val="20"/>
          <w:szCs w:val="20"/>
          <w:color w:val="auto"/>
        </w:rPr>
      </w:pPr>
      <w:r>
        <w:rPr>
          <w:rFonts w:ascii="Arial" w:cs="Arial" w:eastAsia="Arial" w:hAnsi="Arial"/>
          <w:sz w:val="17"/>
          <w:szCs w:val="17"/>
          <w:color w:val="auto"/>
        </w:rPr>
        <w:t>In no event will the subunits and warrants be traded separately until we have filed a Current Report on Form 8-K with the SEC containing an audited balance sheet reflecting our receipt of the gross proceeds at the closing of this offering. We will file the Current Report on Form 8-K promptly after the closing of this offering, which is anticipated to take place three business days from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 We will also include the Form 8-K, or amendment thereto, or in a subsequent Form 8-K, information indicating if EarlyBirdCapital has allowed separate trading of the subunits and warrants prior to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after the date of this prospectus.</w:t>
      </w:r>
    </w:p>
    <w:p>
      <w:pPr>
        <w:spacing w:after="0" w:line="154" w:lineRule="exact"/>
        <w:rPr>
          <w:sz w:val="20"/>
          <w:szCs w:val="20"/>
          <w:color w:val="auto"/>
        </w:rPr>
      </w:pPr>
    </w:p>
    <w:p>
      <w:pPr>
        <w:jc w:val="both"/>
        <w:ind w:right="559"/>
        <w:spacing w:after="0" w:line="268" w:lineRule="auto"/>
        <w:rPr>
          <w:sz w:val="20"/>
          <w:szCs w:val="20"/>
          <w:color w:val="auto"/>
        </w:rPr>
      </w:pPr>
      <w:r>
        <w:rPr>
          <w:rFonts w:ascii="Arial" w:cs="Arial" w:eastAsia="Arial" w:hAnsi="Arial"/>
          <w:sz w:val="17"/>
          <w:szCs w:val="17"/>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The common stock will not trade separately unless and until we consummate an initial business combination.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lose any fractions of a warrant they hold. Accordingly, in order to avoid such a situation, investors that do not intend to transfer the component pieces of the units prior to the consummation of a business combination should continue to hold their securities as a combined unit in multiples of four so as to ensure that no portion of the warrant is lost.</w:t>
      </w:r>
    </w:p>
    <w:p>
      <w:pPr>
        <w:spacing w:after="0" w:line="200" w:lineRule="exact"/>
        <w:rPr>
          <w:sz w:val="20"/>
          <w:szCs w:val="20"/>
          <w:color w:val="auto"/>
        </w:rPr>
      </w:pPr>
    </w:p>
    <w:p>
      <w:pPr>
        <w:sectPr>
          <w:pgSz w:w="11900" w:h="16838" w:orient="portrait"/>
          <w:cols w:equalWidth="0" w:num="2">
            <w:col w:w="2600" w:space="380"/>
            <w:col w:w="6039"/>
          </w:cols>
          <w:pgMar w:left="1440" w:top="274" w:right="1440" w:bottom="757" w:gutter="0" w:footer="0" w:header="0"/>
          <w:type w:val="continuous"/>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757" w:gutter="0" w:footer="0" w:header="0"/>
          <w:type w:val="continuous"/>
        </w:sectPr>
      </w:pPr>
    </w:p>
    <w:bookmarkStart w:id="9" w:name="page10"/>
    <w:bookmarkEnd w:id="9"/>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71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9271000"/>
                    </a:xfrm>
                    <a:prstGeom prst="rect">
                      <a:avLst/>
                    </a:prstGeom>
                    <a:noFill/>
                  </pic:spPr>
                </pic:pic>
              </a:graphicData>
            </a:graphic>
          </wp:anchor>
        </w:drawing>
      </w:r>
    </w:p>
    <w:p>
      <w:pPr>
        <w:sectPr>
          <w:pgSz w:w="11900" w:h="16838" w:orient="portrait"/>
          <w:cols w:equalWidth="0" w:num="1">
            <w:col w:w="9019"/>
          </w:cols>
          <w:pgMar w:left="1440" w:top="274" w:right="1440" w:bottom="865"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Units:</w:t>
      </w:r>
    </w:p>
    <w:p>
      <w:pPr>
        <w:spacing w:after="0" w:line="7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220" w:hanging="179"/>
        <w:spacing w:after="0" w:line="277" w:lineRule="auto"/>
        <w:rPr>
          <w:sz w:val="20"/>
          <w:szCs w:val="20"/>
          <w:color w:val="auto"/>
        </w:rPr>
      </w:pPr>
      <w:r>
        <w:rPr>
          <w:rFonts w:ascii="Arial" w:cs="Arial" w:eastAsia="Arial" w:hAnsi="Arial"/>
          <w:sz w:val="18"/>
          <w:szCs w:val="18"/>
          <w:color w:val="auto"/>
        </w:rPr>
        <w:t>Number to be sold in private placement</w:t>
      </w:r>
    </w:p>
    <w:p>
      <w:pPr>
        <w:spacing w:after="0" w:line="143" w:lineRule="exact"/>
        <w:rPr>
          <w:sz w:val="20"/>
          <w:szCs w:val="20"/>
          <w:color w:val="auto"/>
        </w:rPr>
      </w:pPr>
    </w:p>
    <w:p>
      <w:pPr>
        <w:ind w:left="720" w:right="120" w:hanging="179"/>
        <w:spacing w:after="0" w:line="263" w:lineRule="auto"/>
        <w:rPr>
          <w:sz w:val="20"/>
          <w:szCs w:val="20"/>
          <w:color w:val="auto"/>
        </w:rPr>
      </w:pPr>
      <w:r>
        <w:rPr>
          <w:rFonts w:ascii="Arial" w:cs="Arial" w:eastAsia="Arial" w:hAnsi="Arial"/>
          <w:sz w:val="18"/>
          <w:szCs w:val="18"/>
          <w:color w:val="auto"/>
        </w:rPr>
        <w:t>Number outstanding after this offering and private placement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Subunits:</w:t>
      </w:r>
    </w:p>
    <w:p>
      <w:pPr>
        <w:spacing w:after="0" w:line="63"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220" w:hanging="179"/>
        <w:spacing w:after="0" w:line="277" w:lineRule="auto"/>
        <w:rPr>
          <w:sz w:val="20"/>
          <w:szCs w:val="20"/>
          <w:color w:val="auto"/>
        </w:rPr>
      </w:pPr>
      <w:r>
        <w:rPr>
          <w:rFonts w:ascii="Arial" w:cs="Arial" w:eastAsia="Arial" w:hAnsi="Arial"/>
          <w:sz w:val="18"/>
          <w:szCs w:val="18"/>
          <w:color w:val="auto"/>
        </w:rPr>
        <w:t>Number to be sold in private placement</w:t>
      </w:r>
    </w:p>
    <w:p>
      <w:pPr>
        <w:spacing w:after="0" w:line="143" w:lineRule="exact"/>
        <w:rPr>
          <w:sz w:val="20"/>
          <w:szCs w:val="20"/>
          <w:color w:val="auto"/>
        </w:rPr>
      </w:pPr>
    </w:p>
    <w:p>
      <w:pPr>
        <w:ind w:left="720" w:right="120" w:hanging="179"/>
        <w:spacing w:after="0" w:line="263" w:lineRule="auto"/>
        <w:rPr>
          <w:sz w:val="20"/>
          <w:szCs w:val="20"/>
          <w:color w:val="auto"/>
        </w:rPr>
      </w:pPr>
      <w:r>
        <w:rPr>
          <w:rFonts w:ascii="Arial" w:cs="Arial" w:eastAsia="Arial" w:hAnsi="Arial"/>
          <w:sz w:val="18"/>
          <w:szCs w:val="18"/>
          <w:color w:val="auto"/>
        </w:rPr>
        <w:t>Number outstanding after this offering and private placement</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 of common stock:</w:t>
      </w:r>
    </w:p>
    <w:p>
      <w:pPr>
        <w:spacing w:after="0" w:line="7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220" w:hanging="179"/>
        <w:spacing w:after="0" w:line="277" w:lineRule="auto"/>
        <w:rPr>
          <w:sz w:val="20"/>
          <w:szCs w:val="20"/>
          <w:color w:val="auto"/>
        </w:rPr>
      </w:pPr>
      <w:r>
        <w:rPr>
          <w:rFonts w:ascii="Arial" w:cs="Arial" w:eastAsia="Arial" w:hAnsi="Arial"/>
          <w:sz w:val="18"/>
          <w:szCs w:val="18"/>
          <w:color w:val="auto"/>
        </w:rPr>
        <w:t>Number to be sold in private placement</w:t>
      </w:r>
    </w:p>
    <w:p>
      <w:pPr>
        <w:spacing w:after="0" w:line="143" w:lineRule="exact"/>
        <w:rPr>
          <w:sz w:val="20"/>
          <w:szCs w:val="20"/>
          <w:color w:val="auto"/>
        </w:rPr>
      </w:pPr>
    </w:p>
    <w:p>
      <w:pPr>
        <w:ind w:left="720" w:right="20" w:hanging="179"/>
        <w:spacing w:after="0" w:line="263" w:lineRule="auto"/>
        <w:rPr>
          <w:sz w:val="20"/>
          <w:szCs w:val="20"/>
          <w:color w:val="auto"/>
        </w:rPr>
      </w:pPr>
      <w:r>
        <w:rPr>
          <w:rFonts w:ascii="Arial" w:cs="Arial" w:eastAsia="Arial" w:hAnsi="Arial"/>
          <w:sz w:val="18"/>
          <w:szCs w:val="18"/>
          <w:color w:val="auto"/>
        </w:rPr>
        <w:t>Number to be outstanding after this offering and private placement</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Warrants:</w:t>
      </w:r>
    </w:p>
    <w:p>
      <w:pPr>
        <w:spacing w:after="0" w:line="7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60" w:hanging="179"/>
        <w:spacing w:after="0" w:line="263" w:lineRule="auto"/>
        <w:rPr>
          <w:sz w:val="20"/>
          <w:szCs w:val="20"/>
          <w:color w:val="auto"/>
        </w:rPr>
      </w:pPr>
      <w:r>
        <w:rPr>
          <w:rFonts w:ascii="Arial" w:cs="Arial" w:eastAsia="Arial" w:hAnsi="Arial"/>
          <w:sz w:val="18"/>
          <w:szCs w:val="18"/>
          <w:color w:val="auto"/>
        </w:rPr>
        <w:t>Number to be sold as part of units and subunits in private placement</w:t>
      </w:r>
    </w:p>
    <w:p>
      <w:pPr>
        <w:spacing w:after="0" w:line="157" w:lineRule="exact"/>
        <w:rPr>
          <w:sz w:val="20"/>
          <w:szCs w:val="20"/>
          <w:color w:val="auto"/>
        </w:rPr>
      </w:pPr>
    </w:p>
    <w:p>
      <w:pPr>
        <w:ind w:left="720" w:right="220" w:hanging="179"/>
        <w:spacing w:after="0" w:line="259" w:lineRule="auto"/>
        <w:rPr>
          <w:sz w:val="20"/>
          <w:szCs w:val="20"/>
          <w:color w:val="auto"/>
        </w:rPr>
      </w:pPr>
      <w:r>
        <w:rPr>
          <w:rFonts w:ascii="Arial" w:cs="Arial" w:eastAsia="Arial" w:hAnsi="Arial"/>
          <w:sz w:val="18"/>
          <w:szCs w:val="18"/>
          <w:color w:val="auto"/>
        </w:rPr>
        <w:t>Number to be sold as part of units and subunits in this offering and private placement</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819" w:firstLine="7"/>
        <w:spacing w:after="0" w:line="840" w:lineRule="auto"/>
        <w:tabs>
          <w:tab w:leader="none" w:pos="135" w:val="left"/>
        </w:tabs>
        <w:numPr>
          <w:ilvl w:val="0"/>
          <w:numId w:val="3"/>
        </w:numPr>
        <w:rPr>
          <w:rFonts w:ascii="Arial" w:cs="Arial" w:eastAsia="Arial" w:hAnsi="Arial"/>
          <w:sz w:val="16"/>
          <w:szCs w:val="16"/>
          <w:color w:val="auto"/>
        </w:rPr>
      </w:pPr>
      <w:r>
        <w:rPr>
          <w:rFonts w:ascii="Arial" w:cs="Arial" w:eastAsia="Arial" w:hAnsi="Arial"/>
          <w:sz w:val="16"/>
          <w:szCs w:val="16"/>
          <w:color w:val="auto"/>
        </w:rPr>
        <w:t>units 390,000 units 12,390,000 units</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right="4579" w:firstLine="7"/>
        <w:spacing w:after="0" w:line="840" w:lineRule="auto"/>
        <w:tabs>
          <w:tab w:leader="none" w:pos="135" w:val="left"/>
        </w:tabs>
        <w:numPr>
          <w:ilvl w:val="0"/>
          <w:numId w:val="3"/>
        </w:numPr>
        <w:rPr>
          <w:rFonts w:ascii="Arial" w:cs="Arial" w:eastAsia="Arial" w:hAnsi="Arial"/>
          <w:sz w:val="16"/>
          <w:szCs w:val="16"/>
          <w:color w:val="auto"/>
        </w:rPr>
      </w:pPr>
      <w:r>
        <w:rPr>
          <w:rFonts w:ascii="Arial" w:cs="Arial" w:eastAsia="Arial" w:hAnsi="Arial"/>
          <w:sz w:val="16"/>
          <w:szCs w:val="16"/>
          <w:color w:val="auto"/>
        </w:rPr>
        <w:t>subunits 390,000 subunits 12,390,000 subunits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3,870,000 shares</w:t>
      </w:r>
      <w:r>
        <w:rPr>
          <w:rFonts w:ascii="Arial" w:cs="Arial" w:eastAsia="Arial" w:hAnsi="Arial"/>
          <w:sz w:val="20"/>
          <w:szCs w:val="20"/>
          <w:color w:val="auto"/>
          <w:vertAlign w:val="superscript"/>
        </w:rPr>
        <w:t>(1)</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390,000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15,810,000 shares</w:t>
      </w:r>
      <w:r>
        <w:rPr>
          <w:rFonts w:ascii="Arial" w:cs="Arial" w:eastAsia="Arial" w:hAnsi="Arial"/>
          <w:sz w:val="20"/>
          <w:szCs w:val="20"/>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659" w:firstLine="7"/>
        <w:spacing w:after="0" w:line="1027" w:lineRule="auto"/>
        <w:tabs>
          <w:tab w:leader="none" w:pos="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warrants 195,000 warrants</w:t>
      </w:r>
      <w:r>
        <w:rPr>
          <w:rFonts w:ascii="Arial" w:cs="Arial" w:eastAsia="Arial" w:hAnsi="Arial"/>
          <w:sz w:val="18"/>
          <w:szCs w:val="18"/>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6,195,000 warrants</w:t>
      </w:r>
      <w:r>
        <w:rPr>
          <w:rFonts w:ascii="Arial" w:cs="Arial" w:eastAsia="Arial" w:hAnsi="Arial"/>
          <w:sz w:val="20"/>
          <w:szCs w:val="20"/>
          <w:color w:val="auto"/>
          <w:vertAlign w:val="superscript"/>
        </w:rPr>
        <w:t>(3)</w:t>
      </w:r>
    </w:p>
    <w:p>
      <w:pPr>
        <w:spacing w:after="0" w:line="243"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Each whole warrant is exercisable for one share of common stock at a price of $11.50 per share and only whole warrants are exercisable. The warrants will become exercisable 30 days after the completion of an initial business combination. The warrants will expire at 5:00 p.m., New York City time, on the fifth anniversary of our completion of an initial business combination, or earlier upon redemption.</w:t>
      </w:r>
    </w:p>
    <w:p>
      <w:pPr>
        <w:spacing w:after="0" w:line="372" w:lineRule="exact"/>
        <w:rPr>
          <w:sz w:val="20"/>
          <w:szCs w:val="20"/>
          <w:color w:val="auto"/>
        </w:rPr>
      </w:pPr>
    </w:p>
    <w:p>
      <w:pPr>
        <w:sectPr>
          <w:pgSz w:w="11900" w:h="16838" w:orient="portrait"/>
          <w:cols w:equalWidth="0" w:num="2">
            <w:col w:w="2820" w:space="160"/>
            <w:col w:w="6039"/>
          </w:cols>
          <w:pgMar w:left="1440" w:top="274" w:right="1440" w:bottom="865" w:gutter="0" w:footer="0" w:header="0"/>
          <w:type w:val="continuous"/>
        </w:sectPr>
      </w:pPr>
    </w:p>
    <w:p>
      <w:pPr>
        <w:jc w:val="both"/>
        <w:ind w:left="980" w:right="559" w:hanging="436"/>
        <w:spacing w:after="0" w:line="265" w:lineRule="auto"/>
        <w:tabs>
          <w:tab w:leader="none" w:pos="1023"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3,450,000 founder shares and 420,000 representative shares. The 3,450,000 founder shares include an aggregate of up to 450,000 founder shares that are subject to forfeiture if the over-allotment option is not exercised by the underwriters in full.</w:t>
      </w:r>
    </w:p>
    <w:p>
      <w:pPr>
        <w:spacing w:after="0" w:line="1" w:lineRule="exact"/>
        <w:rPr>
          <w:rFonts w:ascii="Arial" w:cs="Arial" w:eastAsia="Arial" w:hAnsi="Arial"/>
          <w:sz w:val="16"/>
          <w:szCs w:val="16"/>
          <w:color w:val="auto"/>
        </w:rPr>
      </w:pPr>
    </w:p>
    <w:p>
      <w:pPr>
        <w:ind w:left="980" w:right="559" w:hanging="436"/>
        <w:spacing w:after="0" w:line="264" w:lineRule="auto"/>
        <w:tabs>
          <w:tab w:leader="none" w:pos="1012"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450,000 founder shares have been forfeited.</w:t>
      </w:r>
    </w:p>
    <w:p>
      <w:pPr>
        <w:jc w:val="both"/>
        <w:ind w:left="980" w:right="559" w:hanging="436"/>
        <w:spacing w:after="0" w:line="267" w:lineRule="auto"/>
        <w:tabs>
          <w:tab w:leader="none" w:pos="1005"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unit consists of one subunit and one-quarter of a warrant. Each subunit consists of one share of our common stock and one-quarter of a warrant. 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have a number of subunits divisible by four at that time or they will lose any fractions of a warrant they hold.</w:t>
      </w:r>
    </w:p>
    <w:p>
      <w:pPr>
        <w:sectPr>
          <w:pgSz w:w="11900" w:h="16838" w:orient="portrait"/>
          <w:cols w:equalWidth="0" w:num="1">
            <w:col w:w="9019"/>
          </w:cols>
          <w:pgMar w:left="1440" w:top="274" w:right="1440" w:bottom="865"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865" w:gutter="0" w:footer="0" w:header="0"/>
          <w:type w:val="continuous"/>
        </w:sectPr>
      </w:pPr>
    </w:p>
    <w:bookmarkStart w:id="10" w:name="page11"/>
    <w:bookmarkEnd w:id="1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745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7745095"/>
                    </a:xfrm>
                    <a:prstGeom prst="rect">
                      <a:avLst/>
                    </a:prstGeom>
                    <a:noFill/>
                  </pic:spPr>
                </pic:pic>
              </a:graphicData>
            </a:graphic>
          </wp:anchor>
        </w:drawing>
      </w:r>
    </w:p>
    <w:p>
      <w:pPr>
        <w:spacing w:after="0" w:line="367" w:lineRule="exact"/>
        <w:rPr>
          <w:sz w:val="20"/>
          <w:szCs w:val="20"/>
          <w:color w:val="auto"/>
        </w:rPr>
      </w:pPr>
    </w:p>
    <w:p>
      <w:pPr>
        <w:jc w:val="both"/>
        <w:ind w:left="2980" w:right="559"/>
        <w:spacing w:after="0" w:line="267" w:lineRule="auto"/>
        <w:rPr>
          <w:sz w:val="20"/>
          <w:szCs w:val="20"/>
          <w:color w:val="auto"/>
        </w:rPr>
      </w:pPr>
      <w:r>
        <w:rPr>
          <w:rFonts w:ascii="Arial" w:cs="Arial" w:eastAsia="Arial" w:hAnsi="Arial"/>
          <w:sz w:val="17"/>
          <w:szCs w:val="17"/>
          <w:color w:val="auto"/>
        </w:rPr>
        <w:t>We structured each unit to consist of one subunit (consisting of one share of common stock and one-quarter of a warrant) and one-quarter of a warrant. We have structured our offering in this fashion to attempt to (i) maximize the amount of cash in trust that will be available for our use following our business combination and (ii) to reduce the total number of warrants outstanding, as compared to a structure in which one unit consists of one share and one-half of a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 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one-half of a full warrant, due to a reduction in the number of warrants outstanding.</w:t>
      </w:r>
    </w:p>
    <w:p>
      <w:pPr>
        <w:spacing w:after="0" w:line="151"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Exercise price</w:t>
      </w:r>
      <w:r>
        <w:rPr>
          <w:sz w:val="20"/>
          <w:szCs w:val="20"/>
          <w:color w:val="auto"/>
        </w:rPr>
        <w:tab/>
      </w:r>
      <w:r>
        <w:rPr>
          <w:rFonts w:ascii="Arial" w:cs="Arial" w:eastAsia="Arial" w:hAnsi="Arial"/>
          <w:sz w:val="16"/>
          <w:szCs w:val="16"/>
          <w:color w:val="auto"/>
        </w:rPr>
        <w:t>$11.50 per share, subject to adjustment as described herein. In addition, if</w:t>
      </w:r>
    </w:p>
    <w:p>
      <w:pPr>
        <w:spacing w:after="0" w:line="23" w:lineRule="exact"/>
        <w:rPr>
          <w:sz w:val="20"/>
          <w:szCs w:val="20"/>
          <w:color w:val="auto"/>
        </w:rPr>
      </w:pPr>
    </w:p>
    <w:p>
      <w:pPr>
        <w:jc w:val="both"/>
        <w:ind w:left="2980" w:right="559" w:firstLine="7"/>
        <w:spacing w:after="0" w:line="281" w:lineRule="auto"/>
        <w:tabs>
          <w:tab w:leader="none" w:pos="3247"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6" w:lineRule="exact"/>
        <w:rPr>
          <w:rFonts w:ascii="Arial" w:cs="Arial" w:eastAsia="Arial" w:hAnsi="Arial"/>
          <w:sz w:val="16"/>
          <w:szCs w:val="16"/>
          <w:color w:val="auto"/>
        </w:rPr>
      </w:pPr>
    </w:p>
    <w:p>
      <w:pPr>
        <w:jc w:val="both"/>
        <w:ind w:left="2980" w:right="559" w:firstLine="7"/>
        <w:spacing w:after="0" w:line="268" w:lineRule="auto"/>
        <w:tabs>
          <w:tab w:leader="none" w:pos="323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volume weighted average trading price of our shares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56" w:lineRule="exact"/>
        <w:rPr>
          <w:sz w:val="20"/>
          <w:szCs w:val="20"/>
          <w:color w:val="auto"/>
        </w:rPr>
      </w:pPr>
    </w:p>
    <w:p>
      <w:pPr>
        <w:jc w:val="both"/>
        <w:ind w:left="2980" w:right="559"/>
        <w:spacing w:after="0" w:line="268" w:lineRule="auto"/>
        <w:rPr>
          <w:sz w:val="20"/>
          <w:szCs w:val="20"/>
          <w:color w:val="auto"/>
        </w:rPr>
      </w:pPr>
      <w:r>
        <w:rPr>
          <w:rFonts w:ascii="Arial" w:cs="Arial" w:eastAsia="Arial" w:hAnsi="Arial"/>
          <w:sz w:val="17"/>
          <w:szCs w:val="17"/>
          <w:color w:val="auto"/>
        </w:rPr>
        <w:t>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7710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77108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20" w:hanging="179"/>
        <w:spacing w:after="0" w:line="311" w:lineRule="auto"/>
        <w:rPr>
          <w:sz w:val="20"/>
          <w:szCs w:val="20"/>
          <w:color w:val="auto"/>
        </w:rPr>
      </w:pPr>
      <w:r>
        <w:rPr>
          <w:rFonts w:ascii="Arial" w:cs="Arial" w:eastAsia="Arial" w:hAnsi="Arial"/>
          <w:sz w:val="16"/>
          <w:szCs w:val="16"/>
          <w:color w:val="auto"/>
        </w:rPr>
        <w:t>Securities purchased, or being purchased, by insiders in connection with this offering</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We may redeem the outstanding warrants (excluding the private warrants underlying the private units and private subunits, and any warrants underlying additional units issued to our sponsor, officers, directors, initial stockholders or their affiliates in payment of working capital loans made to us) in whole and not in part, at a price of $0.01 per warrant at any time after the warrants become exercisable, upon a minimum of 30 days’ prior written notice of redemption, if, and only if, the last sales price of our shares of common stock equals or exceeds $18.00 per share (as adjusted for stock splits, stock dividends, reorganizations and recapitalizations) for any 20 trading days within a 30 trading day period commencing once the warrants become exercisable and ending three business days before we send the notice of redemption; and if, and only if, there is a current registration statement in effect with respect to the shares of common stock underlying such warrants.</w:t>
      </w:r>
    </w:p>
    <w:p>
      <w:pPr>
        <w:spacing w:after="0" w:line="130" w:lineRule="exact"/>
        <w:rPr>
          <w:sz w:val="20"/>
          <w:szCs w:val="20"/>
          <w:color w:val="auto"/>
        </w:rPr>
      </w:pPr>
    </w:p>
    <w:p>
      <w:pPr>
        <w:jc w:val="both"/>
        <w:ind w:right="559"/>
        <w:spacing w:after="0" w:line="275" w:lineRule="auto"/>
        <w:rPr>
          <w:sz w:val="20"/>
          <w:szCs w:val="20"/>
          <w:color w:val="auto"/>
        </w:rPr>
      </w:pPr>
      <w:r>
        <w:rPr>
          <w:rFonts w:ascii="Arial" w:cs="Arial" w:eastAsia="Arial" w:hAnsi="Arial"/>
          <w:sz w:val="17"/>
          <w:szCs w:val="17"/>
          <w:color w:val="auto"/>
        </w:rPr>
        <w:t>If the foregoing conditions are satisfied and we issue a notice of redemption, each warrant holder can exercise his, her or its warrant prior to the scheduled redemption date. However, the price of the shares of common stock may fall below the $18.00 trigger price as well as the $11.50 warrant exercise price after the redemption notice is issued.</w:t>
      </w:r>
    </w:p>
    <w:p>
      <w:pPr>
        <w:spacing w:after="0" w:line="149" w:lineRule="exact"/>
        <w:rPr>
          <w:sz w:val="20"/>
          <w:szCs w:val="20"/>
          <w:color w:val="auto"/>
        </w:rPr>
      </w:pPr>
    </w:p>
    <w:p>
      <w:pPr>
        <w:jc w:val="both"/>
        <w:ind w:right="559"/>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200" w:lineRule="exact"/>
        <w:rPr>
          <w:sz w:val="20"/>
          <w:szCs w:val="20"/>
          <w:color w:val="auto"/>
        </w:rPr>
      </w:pPr>
    </w:p>
    <w:p>
      <w:pPr>
        <w:spacing w:after="0" w:line="384" w:lineRule="exact"/>
        <w:rPr>
          <w:sz w:val="20"/>
          <w:szCs w:val="20"/>
          <w:color w:val="auto"/>
        </w:rPr>
      </w:pPr>
    </w:p>
    <w:p>
      <w:pPr>
        <w:jc w:val="both"/>
        <w:ind w:right="559"/>
        <w:spacing w:after="0" w:line="272" w:lineRule="auto"/>
        <w:rPr>
          <w:sz w:val="20"/>
          <w:szCs w:val="20"/>
          <w:color w:val="auto"/>
        </w:rPr>
      </w:pPr>
      <w:r>
        <w:rPr>
          <w:rFonts w:ascii="Arial" w:cs="Arial" w:eastAsia="Arial" w:hAnsi="Arial"/>
          <w:sz w:val="17"/>
          <w:szCs w:val="17"/>
          <w:color w:val="auto"/>
        </w:rPr>
        <w:t>Prior to this offering, we have issued 3,450,000 founder shares owned by our sponsor and directors, including up to 450,000 shares subject to forfeiture to the extent that the underwriters’ over-allotment is not exercised in full or in part, so that the initial stockholders will own 20% (not including the private placement shares and the representative shares and assuming the initial stockholders do not purchase any units in this offering) of our issued and outstanding shares after this offering.</w:t>
      </w:r>
    </w:p>
    <w:p>
      <w:pPr>
        <w:spacing w:after="0" w:line="150" w:lineRule="exact"/>
        <w:rPr>
          <w:sz w:val="20"/>
          <w:szCs w:val="20"/>
          <w:color w:val="auto"/>
        </w:rPr>
      </w:pPr>
    </w:p>
    <w:p>
      <w:pPr>
        <w:jc w:val="both"/>
        <w:ind w:right="559"/>
        <w:spacing w:after="0" w:line="289" w:lineRule="auto"/>
        <w:rPr>
          <w:sz w:val="20"/>
          <w:szCs w:val="20"/>
          <w:color w:val="auto"/>
        </w:rPr>
      </w:pPr>
      <w:r>
        <w:rPr>
          <w:rFonts w:ascii="Arial" w:cs="Arial" w:eastAsia="Arial" w:hAnsi="Arial"/>
          <w:sz w:val="16"/>
          <w:szCs w:val="16"/>
          <w:color w:val="auto"/>
        </w:rPr>
        <w:t>The founder shares are identical to the shares of common stock included in the units being sold in this offering. However, our initial stockholders and officers and directors have agreed (A) to vote any shares owned by them in favor of any proposed business combination, (B) not to convert any shares in connection with a stockholder vote to approve a proposed initial business combination or sell any shares to us in a tender offer in connection with a proposed initial business combination and (C) that the founder shares will not participate in any liquidating distributions from our trust account upon winding up if a business combination is not consummated.</w:t>
      </w:r>
    </w:p>
    <w:p>
      <w:pPr>
        <w:spacing w:after="0" w:line="200" w:lineRule="exact"/>
        <w:rPr>
          <w:sz w:val="20"/>
          <w:szCs w:val="20"/>
          <w:color w:val="auto"/>
        </w:rPr>
      </w:pPr>
    </w:p>
    <w:p>
      <w:pPr>
        <w:sectPr>
          <w:pgSz w:w="11900" w:h="16838" w:orient="portrait"/>
          <w:cols w:equalWidth="0" w:num="2">
            <w:col w:w="2800" w:space="180"/>
            <w:col w:w="6039"/>
          </w:cols>
          <w:pgMar w:left="1440" w:top="274" w:right="1440" w:bottom="1440" w:gutter="0" w:footer="0" w:header="0"/>
          <w:type w:val="continuous"/>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802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80249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20" w:hanging="179"/>
        <w:spacing w:after="0" w:line="263" w:lineRule="auto"/>
        <w:rPr>
          <w:sz w:val="20"/>
          <w:szCs w:val="20"/>
          <w:color w:val="auto"/>
        </w:rPr>
      </w:pPr>
      <w:r>
        <w:rPr>
          <w:rFonts w:ascii="Arial" w:cs="Arial" w:eastAsia="Arial" w:hAnsi="Arial"/>
          <w:sz w:val="18"/>
          <w:szCs w:val="18"/>
          <w:color w:val="auto"/>
        </w:rPr>
        <w:t>Restrictions on transfer of founder shares and private units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83" w:lineRule="auto"/>
        <w:rPr>
          <w:sz w:val="20"/>
          <w:szCs w:val="20"/>
          <w:color w:val="auto"/>
        </w:rPr>
      </w:pPr>
      <w:r>
        <w:rPr>
          <w:rFonts w:ascii="Arial" w:cs="Arial" w:eastAsia="Arial" w:hAnsi="Arial"/>
          <w:sz w:val="16"/>
          <w:szCs w:val="16"/>
          <w:color w:val="auto"/>
        </w:rPr>
        <w:t>Simultaneously with the consummation of this offering, our sponsor and EarlyBirdCapital have committed that they and/or their designees will purchase from us an aggregate of 390,000 private units at $10.00 per unit, for a total purchase price of $3,900,000 in a private placement that will occur simultaneously with the consummation of this offering. Each private unit will consist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36,000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amounts to be paid upon consummation of the private placement will be placed in escrow with our counsel prior to the consummation of this offering. The private units (and underlying private subunits, private shares and private warrants) are identical to the units (and underlying securities)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 (B) not to convert any private subunits in connection with a stockholder vote to approve a proposed initial business combination or sell any private shares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358" w:lineRule="exact"/>
        <w:rPr>
          <w:sz w:val="20"/>
          <w:szCs w:val="20"/>
          <w:color w:val="auto"/>
        </w:rPr>
      </w:pPr>
    </w:p>
    <w:p>
      <w:pPr>
        <w:jc w:val="both"/>
        <w:ind w:right="579"/>
        <w:spacing w:after="0" w:line="289" w:lineRule="auto"/>
        <w:rPr>
          <w:sz w:val="20"/>
          <w:szCs w:val="20"/>
          <w:color w:val="auto"/>
        </w:rPr>
      </w:pPr>
      <w:r>
        <w:rPr>
          <w:rFonts w:ascii="Arial" w:cs="Arial" w:eastAsia="Arial" w:hAnsi="Arial"/>
          <w:sz w:val="16"/>
          <w:szCs w:val="16"/>
          <w:color w:val="auto"/>
        </w:rPr>
        <w:t>If we sought stockholder approval of a proposed transaction we could need as little as 100,001 of our public shares (or approximately 1.0% of our public shares) to be voted in favor of the transaction in order to have such transaction approved (assuming that only a quorum is present at the meeting, that the over-allotment option is not exercised, that the initial stockholders do not purchase any units in this offering or units or subunits in the after-market and that the 420,000 representative shares are voted in favor of the transaction). In the event of a liquidation prior to our initial business combination, the private warrants will likely be worthless.</w:t>
      </w:r>
    </w:p>
    <w:p>
      <w:pPr>
        <w:spacing w:after="0" w:line="355"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On the date of this prospectus, the founder shares will be placed into an escrow account maintained in New York, New York by Continental Stock Transfer &amp; Trust Company, acting as escrow agent. Subject to certain limited exceptions, these shares will not be transferred, assigned, sold or released from escrow for a period ending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 a liquidation, merger, stock exchange or other similar transaction which results in all of the shareholders having the right to exchange their shares of common stock for cash, securities or other property. The limited exceptions include transfers, assignments or sales (i) among our initial stockholders or to our initial stockholders’ members, officers, directors, consultants or their affiliates, (ii) to a holder’s stockholders or members</w:t>
      </w:r>
    </w:p>
    <w:p>
      <w:pPr>
        <w:spacing w:after="0" w:line="200" w:lineRule="exact"/>
        <w:rPr>
          <w:sz w:val="20"/>
          <w:szCs w:val="20"/>
          <w:color w:val="auto"/>
        </w:rPr>
      </w:pPr>
    </w:p>
    <w:p>
      <w:pPr>
        <w:sectPr>
          <w:pgSz w:w="11900" w:h="16838" w:orient="portrait"/>
          <w:cols w:equalWidth="0" w:num="2">
            <w:col w:w="2620" w:space="360"/>
            <w:col w:w="6039"/>
          </w:cols>
          <w:pgMar w:left="1440" w:top="274" w:right="1440" w:bottom="0" w:gutter="0" w:footer="0" w:header="0"/>
          <w:type w:val="continuous"/>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3" w:name="page14"/>
    <w:bookmarkEnd w:id="1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590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7590790"/>
                    </a:xfrm>
                    <a:prstGeom prst="rect">
                      <a:avLst/>
                    </a:prstGeom>
                    <a:noFill/>
                  </pic:spPr>
                </pic:pic>
              </a:graphicData>
            </a:graphic>
          </wp:anchor>
        </w:drawing>
      </w:r>
    </w:p>
    <w:p>
      <w:pPr>
        <w:spacing w:after="0" w:line="36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upon its liquidation, (iii) by bona fide gift to a member of the holder’s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immediate family or to a trust, the beneficiary of which is the holder or a</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member of the holder’s immediate family, for estate planning purposes,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(iv)  by  virtue  of  the  laws  of  descent  and  distribution  upon  death,</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(v) pursuant to a qualified domestic relations order, (vi) to us for no value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for  cancellation  in  connection  with  the  consummation  of  our  initial</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business combination, or (vii) in connection with the consummation of a</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business combination at prices no greater than the price at which the shares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were originally purchased, in each case (except for clause (vi) or with our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prior consent) where the transferee agrees to the terms of the escrow</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agreement and to be bound by these transfer restrictions, but will retain all</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other rights as our stockholders, including, without limitation, the right to</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vote their shares of common stock and the right to receive cash dividends,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if declared. If dividends are declared and payable in shares of common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stock, such dividends will also be placed in escrow. If we are unable to</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effect a business combination and liquidate, there will be no liquidation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distribution with respect to the founder shares.</w:t>
      </w:r>
    </w:p>
    <w:p>
      <w:pPr>
        <w:spacing w:after="0" w:line="170"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purchasers of the private units have also agreed not to transfer, assign</w:t>
      </w:r>
    </w:p>
    <w:p>
      <w:pPr>
        <w:spacing w:after="0" w:line="46"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or sell any of the private units, including the underlying private subunits,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private shares and private warrants (except in connection with the same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limited exceptions that the founder shares may be transferred as described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above), until after the completion of our initial business combination.</w:t>
      </w:r>
    </w:p>
    <w:p>
      <w:pPr>
        <w:spacing w:after="0" w:line="184"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Representative shares</w:t>
      </w:r>
      <w:r>
        <w:rPr>
          <w:sz w:val="20"/>
          <w:szCs w:val="20"/>
          <w:color w:val="auto"/>
        </w:rPr>
        <w:tab/>
      </w:r>
      <w:r>
        <w:rPr>
          <w:rFonts w:ascii="Arial" w:cs="Arial" w:eastAsia="Arial" w:hAnsi="Arial"/>
          <w:sz w:val="16"/>
          <w:szCs w:val="16"/>
          <w:color w:val="auto"/>
        </w:rPr>
        <w:t>Prior to the date of this prospectus, we have issued to EarlyBirdCapital and</w:t>
      </w:r>
    </w:p>
    <w:p>
      <w:pPr>
        <w:spacing w:after="0" w:line="23" w:lineRule="exact"/>
        <w:rPr>
          <w:sz w:val="20"/>
          <w:szCs w:val="20"/>
          <w:color w:val="auto"/>
        </w:rPr>
      </w:pPr>
    </w:p>
    <w:p>
      <w:pPr>
        <w:ind w:left="2980"/>
        <w:spacing w:after="0"/>
        <w:tabs>
          <w:tab w:leader="none" w:pos="3320" w:val="left"/>
          <w:tab w:leader="none" w:pos="4180" w:val="left"/>
          <w:tab w:leader="none" w:pos="4540" w:val="left"/>
          <w:tab w:leader="none" w:pos="5400" w:val="left"/>
          <w:tab w:leader="none" w:pos="5740" w:val="left"/>
          <w:tab w:leader="none" w:pos="6500" w:val="left"/>
          <w:tab w:leader="none" w:pos="7680" w:val="left"/>
          <w:tab w:leader="none" w:pos="8300" w:val="left"/>
        </w:tabs>
        <w:rPr>
          <w:sz w:val="20"/>
          <w:szCs w:val="20"/>
          <w:color w:val="auto"/>
        </w:rPr>
      </w:pPr>
      <w:r>
        <w:rPr>
          <w:rFonts w:ascii="Arial" w:cs="Arial" w:eastAsia="Arial" w:hAnsi="Arial"/>
          <w:sz w:val="18"/>
          <w:szCs w:val="18"/>
          <w:color w:val="auto"/>
        </w:rPr>
        <w:t>its</w:t>
        <w:tab/>
        <w:t>designees</w:t>
        <w:tab/>
        <w:t>an</w:t>
        <w:tab/>
        <w:t>aggregate</w:t>
        <w:tab/>
        <w:t>of</w:t>
        <w:tab/>
        <w:t>420,000</w:t>
        <w:tab/>
        <w:t>representative</w:t>
        <w:tab/>
        <w:t>shares</w:t>
      </w:r>
      <w:r>
        <w:rPr>
          <w:sz w:val="20"/>
          <w:szCs w:val="20"/>
          <w:color w:val="auto"/>
        </w:rPr>
        <w:tab/>
      </w:r>
      <w:r>
        <w:rPr>
          <w:rFonts w:ascii="Arial" w:cs="Arial" w:eastAsia="Arial" w:hAnsi="Arial"/>
          <w:sz w:val="13"/>
          <w:szCs w:val="13"/>
          <w:color w:val="auto"/>
        </w:rPr>
        <w:t>at</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approximately $0.0001 per share. The holders of the representative shares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have agreed not to transfer, assign or sell any such shares without our prior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consent  until  the  completion  of  our  initial  business  combination.  In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addition, the holders of the representative shares have agreed (i) to waive</w:t>
      </w:r>
    </w:p>
    <w:p>
      <w:pPr>
        <w:spacing w:after="0" w:line="32"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their conversion rights (or right to participate in any tender offer) with</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respect to such shares in connection with the completion of our initial</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business  combination  and  (ii)  to  waive  their  rights  to  liquidating</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distributions from the trust account with respect to such shares if we fail to</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complete our initial business combination within 18 months from the</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closing of this offering.</w:t>
      </w:r>
    </w:p>
    <w:p>
      <w:pPr>
        <w:sectPr>
          <w:pgSz w:w="11900" w:h="16838" w:orient="portrait"/>
          <w:cols w:equalWidth="0" w:num="1">
            <w:col w:w="9019"/>
          </w:cols>
          <w:pgMar w:left="1440" w:top="274" w:right="1440" w:bottom="1440" w:gutter="0" w:footer="0" w:header="0"/>
        </w:sectPr>
      </w:pPr>
    </w:p>
    <w:p>
      <w:pPr>
        <w:spacing w:after="0" w:line="184"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Offering proceeds to be held in trust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An aggregate of $10.00 per unit sold to the public in this offering (regardless of whether or not the over-allotment option is exercised) will be placed in a U.S.-based trust account maintained by Continental Stock Transfer &amp; Trust Company, acting as trustee pursuant to an agreement to be signed on the date of this prospectus. Except as set forth below, the proceeds held in the trust account will not be released until the earlier of the completion of an initial business combination and our redemption of 100% of the outstanding public subunits if we have not completed a business combination in the required time period. Therefore, except as set forth below, unless and until an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200" w:lineRule="exact"/>
        <w:rPr>
          <w:sz w:val="20"/>
          <w:szCs w:val="20"/>
          <w:color w:val="auto"/>
        </w:rPr>
      </w:pPr>
    </w:p>
    <w:p>
      <w:pPr>
        <w:sectPr>
          <w:pgSz w:w="11900" w:h="16838" w:orient="portrait"/>
          <w:cols w:equalWidth="0" w:num="2">
            <w:col w:w="2780" w:space="200"/>
            <w:col w:w="6039"/>
          </w:cols>
          <w:pgMar w:left="1440" w:top="274" w:right="1440" w:bottom="1440" w:gutter="0" w:footer="0" w:header="0"/>
          <w:type w:val="continuous"/>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305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9305290"/>
                    </a:xfrm>
                    <a:prstGeom prst="rect">
                      <a:avLst/>
                    </a:prstGeom>
                    <a:noFill/>
                  </pic:spPr>
                </pic:pic>
              </a:graphicData>
            </a:graphic>
          </wp:anchor>
        </w:drawing>
      </w:r>
    </w:p>
    <w:p>
      <w:pPr>
        <w:sectPr>
          <w:pgSz w:w="11900" w:h="16838" w:orient="portrait"/>
          <w:cols w:equalWidth="0" w:num="1">
            <w:col w:w="9019"/>
          </w:cols>
          <w:pgMar w:left="1440" w:top="274" w:right="1440" w:bottom="777" w:gutter="0" w:footer="0" w:header="0"/>
        </w:sectPr>
      </w:pPr>
    </w:p>
    <w:p>
      <w:pPr>
        <w:spacing w:after="0" w:line="200" w:lineRule="exact"/>
        <w:rPr>
          <w:sz w:val="20"/>
          <w:szCs w:val="20"/>
          <w:color w:val="auto"/>
        </w:rPr>
      </w:pPr>
    </w:p>
    <w:p>
      <w:pPr>
        <w:spacing w:after="0" w:line="210"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Notwithstanding the foregoing, there can be released to us from the trust</w:t>
      </w:r>
    </w:p>
    <w:p>
      <w:pPr>
        <w:spacing w:after="0" w:line="3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account any interest earned on the funds in the trust account that we need to</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pay our income or other tax obligations. With these exceptions, expenses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incurred by us may be paid prior to a business combination only from the</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net proceeds of this offering not held in the trust account (initially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estimated to be $750,000). Additionally, in order to meet our working</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capital needs following the consummation of this offering if the funds not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held in the trust account are insufficient, our sponsor, initial stockholders,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officers, directors and their affiliates may, but are not obligated to, loan us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funds, from time to time or at any time, in whatever amount they deem</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reasonable in their sole discretion. Each loan would be evidenced by a</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promissory note. The notes would either be paid upon consummation of our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initial business combination, without interest, or, at the holder’s discretion,</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up to $1,500,000 of the notes may be converted into units at a price of</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$10.00 per unit. The units would consist of one share of our common stock</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and one warrant, which common stock and warrants would be identical to</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common stock and warrants included in the private units. In the event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that the initial business combination does not close, we may use a portion</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of the working capital held outside the trust account to repay such loaned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amounts, but no other proceeds from our trust account would be used for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such repayment.</w:t>
      </w:r>
    </w:p>
    <w:p>
      <w:pPr>
        <w:spacing w:after="0" w:line="170" w:lineRule="exact"/>
        <w:rPr>
          <w:sz w:val="20"/>
          <w:szCs w:val="20"/>
          <w:color w:val="auto"/>
        </w:rPr>
      </w:pPr>
    </w:p>
    <w:p>
      <w:pPr>
        <w:ind w:left="2980"/>
        <w:spacing w:after="0"/>
        <w:tabs>
          <w:tab w:leader="none" w:pos="3500" w:val="left"/>
          <w:tab w:leader="none" w:pos="3780" w:val="left"/>
          <w:tab w:leader="none" w:pos="4140" w:val="left"/>
          <w:tab w:leader="none" w:pos="4900" w:val="left"/>
          <w:tab w:leader="none" w:pos="5360" w:val="left"/>
          <w:tab w:leader="none" w:pos="5660" w:val="left"/>
          <w:tab w:leader="none" w:pos="6480" w:val="left"/>
          <w:tab w:leader="none" w:pos="6960" w:val="left"/>
          <w:tab w:leader="none" w:pos="7280" w:val="left"/>
          <w:tab w:leader="none" w:pos="7740" w:val="left"/>
          <w:tab w:leader="none" w:pos="8200" w:val="left"/>
        </w:tabs>
        <w:rPr>
          <w:sz w:val="20"/>
          <w:szCs w:val="20"/>
          <w:color w:val="auto"/>
        </w:rPr>
      </w:pPr>
      <w:r>
        <w:rPr>
          <w:rFonts w:ascii="Arial" w:cs="Arial" w:eastAsia="Arial" w:hAnsi="Arial"/>
          <w:sz w:val="18"/>
          <w:szCs w:val="18"/>
          <w:color w:val="auto"/>
        </w:rPr>
        <w:t>None</w:t>
        <w:tab/>
        <w:t>of</w:t>
        <w:tab/>
        <w:t>the</w:t>
        <w:tab/>
        <w:t>warrants</w:t>
        <w:tab/>
        <w:t>may</w:t>
        <w:tab/>
        <w:t>be</w:t>
        <w:tab/>
        <w:t>exercised</w:t>
        <w:tab/>
        <w:t>until</w:t>
        <w:tab/>
        <w:t>30</w:t>
        <w:tab/>
        <w:t>days</w:t>
        <w:tab/>
        <w:t>after</w:t>
      </w:r>
      <w:r>
        <w:rPr>
          <w:sz w:val="20"/>
          <w:szCs w:val="20"/>
          <w:color w:val="auto"/>
        </w:rPr>
        <w:tab/>
      </w:r>
      <w:r>
        <w:rPr>
          <w:rFonts w:ascii="Arial" w:cs="Arial" w:eastAsia="Arial" w:hAnsi="Arial"/>
          <w:sz w:val="15"/>
          <w:szCs w:val="15"/>
          <w:color w:val="auto"/>
        </w:rPr>
        <w:t>the</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consummation of a business combination and, thus, after the proceeds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trust account have been disbursed. Accordingly, the warrant exercise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price will be paid directly to us and not placed in the trust account.</w:t>
      </w:r>
    </w:p>
    <w:p>
      <w:pPr>
        <w:spacing w:after="0" w:line="184"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6"/>
          <w:szCs w:val="16"/>
          <w:color w:val="auto"/>
        </w:rPr>
        <w:t>There will be no fees, reimbursements or other cash payments paid to our</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sponsor, officers, directors, initial stockholders or their affiliates for any</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services they render prior to, or in order to effectuate the consummation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an initial business combination (regardless of the type of transaction that it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is) other than the following payments, none of which will be made from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proceeds of this offering held in the trust account prior to the completion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our initial business combination:</w:t>
      </w:r>
    </w:p>
    <w:p>
      <w:pPr>
        <w:spacing w:after="0" w:line="184" w:lineRule="exact"/>
        <w:rPr>
          <w:sz w:val="20"/>
          <w:szCs w:val="20"/>
          <w:color w:val="auto"/>
        </w:rPr>
      </w:pPr>
    </w:p>
    <w:p>
      <w:pPr>
        <w:ind w:left="3200"/>
        <w:spacing w:after="0"/>
        <w:tabs>
          <w:tab w:leader="none" w:pos="3460" w:val="left"/>
        </w:tabs>
        <w:rPr>
          <w:sz w:val="20"/>
          <w:szCs w:val="20"/>
          <w:color w:val="auto"/>
        </w:rPr>
      </w:pPr>
      <w:r>
        <w:rPr>
          <w:rFonts w:ascii="Arial" w:cs="Arial" w:eastAsia="Arial" w:hAnsi="Arial"/>
          <w:sz w:val="17"/>
          <w:szCs w:val="17"/>
          <w:color w:val="auto"/>
        </w:rPr>
        <w:t>•</w:t>
        <w:tab/>
        <w:t>repayment at the closing of this offering of an aggregate of up to</w:t>
      </w:r>
    </w:p>
    <w:p>
      <w:pPr>
        <w:spacing w:after="0" w:line="35" w:lineRule="exact"/>
        <w:rPr>
          <w:sz w:val="20"/>
          <w:szCs w:val="20"/>
          <w:color w:val="auto"/>
        </w:rPr>
      </w:pPr>
    </w:p>
    <w:p>
      <w:pPr>
        <w:ind w:left="3420"/>
        <w:spacing w:after="0"/>
        <w:tabs>
          <w:tab w:leader="none" w:pos="6080" w:val="left"/>
          <w:tab w:leader="none" w:pos="6600" w:val="left"/>
          <w:tab w:leader="none" w:pos="7140" w:val="left"/>
          <w:tab w:leader="none" w:pos="7460" w:val="left"/>
          <w:tab w:leader="none" w:pos="7840" w:val="left"/>
        </w:tabs>
        <w:rPr>
          <w:sz w:val="20"/>
          <w:szCs w:val="20"/>
          <w:color w:val="auto"/>
        </w:rPr>
      </w:pPr>
      <w:r>
        <w:rPr>
          <w:rFonts w:ascii="Arial" w:cs="Arial" w:eastAsia="Arial" w:hAnsi="Arial"/>
          <w:sz w:val="18"/>
          <w:szCs w:val="18"/>
          <w:color w:val="auto"/>
        </w:rPr>
        <w:t>$300,000  of  non-interest-bearing</w:t>
        <w:tab/>
        <w:t>loans</w:t>
        <w:tab/>
        <w:t>made</w:t>
        <w:tab/>
        <w:t>by</w:t>
        <w:tab/>
        <w:t>our</w:t>
      </w:r>
      <w:r>
        <w:rPr>
          <w:sz w:val="20"/>
          <w:szCs w:val="20"/>
          <w:color w:val="auto"/>
        </w:rPr>
        <w:tab/>
      </w:r>
      <w:r>
        <w:rPr>
          <w:rFonts w:ascii="Arial" w:cs="Arial" w:eastAsia="Arial" w:hAnsi="Arial"/>
          <w:sz w:val="15"/>
          <w:szCs w:val="15"/>
          <w:color w:val="auto"/>
        </w:rPr>
        <w:t>sponsor,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Archimedes Tech SPAC Sponsors LLC;</w:t>
      </w:r>
    </w:p>
    <w:p>
      <w:pPr>
        <w:spacing w:after="0" w:line="184" w:lineRule="exact"/>
        <w:rPr>
          <w:sz w:val="20"/>
          <w:szCs w:val="20"/>
          <w:color w:val="auto"/>
        </w:rPr>
      </w:pPr>
    </w:p>
    <w:p>
      <w:pPr>
        <w:ind w:left="3200"/>
        <w:spacing w:after="0"/>
        <w:tabs>
          <w:tab w:leader="none" w:pos="3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payment of $10,000 per month to an affiliate of our Chief Executive</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Officer for office space and related services;</w:t>
      </w:r>
    </w:p>
    <w:p>
      <w:pPr>
        <w:spacing w:after="0" w:line="184" w:lineRule="exact"/>
        <w:rPr>
          <w:sz w:val="20"/>
          <w:szCs w:val="20"/>
          <w:color w:val="auto"/>
        </w:rPr>
      </w:pPr>
    </w:p>
    <w:p>
      <w:pPr>
        <w:ind w:left="3200"/>
        <w:spacing w:after="0"/>
        <w:tabs>
          <w:tab w:leader="none" w:pos="3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payment of consulting, success or finder fees to our sponsor, officers,</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directors, initial stockholders or their affiliates in connection with the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consummation of our initial business combination; we may pay such</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fees in the event such parties bring specific target company, industry</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or market expertise, as well as insights or relationships that we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believe  are  necessary  in  order  to  locate,  assess,  negotiate  and</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consummate an initial business combination; the amount of any fee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 pay to such parties will be based upon the prevailing market for</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similar services for such transactions at such time, and will be subject</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to  the  review  of  our  audit  committee  pursuant  to  the  audit</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committee’s policies and procedures relating to transactions that may</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present conflicts of interest; and</w:t>
      </w:r>
    </w:p>
    <w:p>
      <w:pPr>
        <w:spacing w:after="0" w:line="184" w:lineRule="exact"/>
        <w:rPr>
          <w:sz w:val="20"/>
          <w:szCs w:val="20"/>
          <w:color w:val="auto"/>
        </w:rPr>
      </w:pPr>
    </w:p>
    <w:p>
      <w:pPr>
        <w:ind w:left="3200"/>
        <w:spacing w:after="0"/>
        <w:tabs>
          <w:tab w:leader="none" w:pos="3440" w:val="left"/>
        </w:tabs>
        <w:rPr>
          <w:sz w:val="20"/>
          <w:szCs w:val="20"/>
          <w:color w:val="auto"/>
        </w:rPr>
      </w:pPr>
      <w:r>
        <w:rPr>
          <w:rFonts w:ascii="Arial" w:cs="Arial" w:eastAsia="Arial" w:hAnsi="Arial"/>
          <w:sz w:val="17"/>
          <w:szCs w:val="17"/>
          <w:color w:val="auto"/>
        </w:rPr>
        <w:t>•</w:t>
        <w:tab/>
        <w:t>payment to EarlyBirdCapital of the 2% underwriting discount and</w:t>
      </w:r>
    </w:p>
    <w:p>
      <w:pPr>
        <w:spacing w:after="0" w:line="3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3.5% business combination marketing agreement fee (a portion of the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business combination marketing fee may be paid to other parties) as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described under the section “Underwriting”; and</w:t>
      </w:r>
    </w:p>
    <w:p>
      <w:pPr>
        <w:spacing w:after="0" w:line="184" w:lineRule="exact"/>
        <w:rPr>
          <w:sz w:val="20"/>
          <w:szCs w:val="20"/>
          <w:color w:val="auto"/>
        </w:rPr>
      </w:pPr>
    </w:p>
    <w:p>
      <w:pPr>
        <w:ind w:left="3200"/>
        <w:spacing w:after="0"/>
        <w:tabs>
          <w:tab w:leader="none" w:pos="3440" w:val="left"/>
        </w:tabs>
        <w:rPr>
          <w:sz w:val="20"/>
          <w:szCs w:val="20"/>
          <w:color w:val="auto"/>
        </w:rPr>
      </w:pPr>
      <w:r>
        <w:rPr>
          <w:rFonts w:ascii="Arial" w:cs="Arial" w:eastAsia="Arial" w:hAnsi="Arial"/>
          <w:sz w:val="16"/>
          <w:szCs w:val="16"/>
          <w:color w:val="auto"/>
        </w:rPr>
        <w:t>•</w:t>
        <w:tab/>
        <w:t>reimbursement of out-of-pocket expenses incurred by our sponsor,</w:t>
      </w:r>
    </w:p>
    <w:p>
      <w:pPr>
        <w:spacing w:after="0" w:line="4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officers, directors, initial stockholders or their affiliates in connection</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with  certain  activities  on  our  behalf,  such  as  our  formation,</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identifying and investigating possible target businesses and business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combinations.</w:t>
      </w:r>
    </w:p>
    <w:p>
      <w:pPr>
        <w:sectPr>
          <w:pgSz w:w="11900" w:h="16838" w:orient="portrait"/>
          <w:cols w:equalWidth="0" w:num="1">
            <w:col w:w="9019"/>
          </w:cols>
          <w:pgMar w:left="1440" w:top="274" w:right="1440" w:bottom="7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777" w:gutter="0" w:footer="0" w:header="0"/>
          <w:type w:val="continuous"/>
        </w:sectPr>
      </w:pPr>
    </w:p>
    <w:bookmarkStart w:id="15" w:name="page16"/>
    <w:bookmarkEnd w:id="15"/>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252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88252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20" w:hanging="179"/>
        <w:spacing w:after="0" w:line="259" w:lineRule="auto"/>
        <w:rPr>
          <w:sz w:val="20"/>
          <w:szCs w:val="20"/>
          <w:color w:val="auto"/>
        </w:rPr>
      </w:pPr>
      <w:r>
        <w:rPr>
          <w:rFonts w:ascii="Arial" w:cs="Arial" w:eastAsia="Arial" w:hAnsi="Arial"/>
          <w:sz w:val="18"/>
          <w:szCs w:val="18"/>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69" w:lineRule="auto"/>
        <w:rPr>
          <w:sz w:val="20"/>
          <w:szCs w:val="20"/>
          <w:color w:val="auto"/>
        </w:rPr>
      </w:pPr>
      <w:r>
        <w:rPr>
          <w:rFonts w:ascii="Arial" w:cs="Arial" w:eastAsia="Arial" w:hAnsi="Arial"/>
          <w:sz w:val="17"/>
          <w:szCs w:val="17"/>
          <w:color w:val="auto"/>
        </w:rPr>
        <w:t>There is no limit on the amount of consulting, success or finder fees payable by us upon consummation of an initial business combination. Additionally,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initial stockholders or our or their respective affiliates, with any interested director abstaining from such review and approval.</w:t>
      </w:r>
    </w:p>
    <w:p>
      <w:pPr>
        <w:spacing w:after="0" w:line="200" w:lineRule="exact"/>
        <w:rPr>
          <w:sz w:val="20"/>
          <w:szCs w:val="20"/>
          <w:color w:val="auto"/>
        </w:rPr>
      </w:pPr>
    </w:p>
    <w:p>
      <w:pPr>
        <w:spacing w:after="0" w:line="377" w:lineRule="exact"/>
        <w:rPr>
          <w:sz w:val="20"/>
          <w:szCs w:val="20"/>
          <w:color w:val="auto"/>
        </w:rPr>
      </w:pPr>
    </w:p>
    <w:p>
      <w:pPr>
        <w:jc w:val="both"/>
        <w:ind w:right="559"/>
        <w:spacing w:after="0" w:line="266" w:lineRule="auto"/>
        <w:rPr>
          <w:sz w:val="20"/>
          <w:szCs w:val="20"/>
          <w:color w:val="auto"/>
        </w:rPr>
      </w:pPr>
      <w:r>
        <w:rPr>
          <w:rFonts w:ascii="Arial" w:cs="Arial" w:eastAsia="Arial" w:hAnsi="Arial"/>
          <w:sz w:val="17"/>
          <w:szCs w:val="17"/>
          <w:color w:val="auto"/>
        </w:rPr>
        <w:t>In connection with any proposed initial business combination, we will either (1) seek stockholder approval of such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all of his, her or its subunits rather than some pro rata portion of his, her or its subunits.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determine to allow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71" w:lineRule="exact"/>
        <w:rPr>
          <w:sz w:val="20"/>
          <w:szCs w:val="20"/>
          <w:color w:val="auto"/>
        </w:rPr>
      </w:pPr>
    </w:p>
    <w:p>
      <w:pPr>
        <w:jc w:val="both"/>
        <w:ind w:right="559"/>
        <w:spacing w:after="0" w:line="287" w:lineRule="auto"/>
        <w:rPr>
          <w:sz w:val="20"/>
          <w:szCs w:val="20"/>
          <w:color w:val="auto"/>
        </w:rPr>
      </w:pPr>
      <w:r>
        <w:rPr>
          <w:rFonts w:ascii="Arial" w:cs="Arial" w:eastAsia="Arial" w:hAnsi="Arial"/>
          <w:sz w:val="16"/>
          <w:szCs w:val="16"/>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either immediately prior to or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41" w:lineRule="exact"/>
        <w:rPr>
          <w:sz w:val="20"/>
          <w:szCs w:val="20"/>
          <w:color w:val="auto"/>
        </w:rPr>
      </w:pPr>
    </w:p>
    <w:p>
      <w:pPr>
        <w:jc w:val="both"/>
        <w:ind w:right="559"/>
        <w:spacing w:after="0" w:line="273" w:lineRule="auto"/>
        <w:rPr>
          <w:sz w:val="20"/>
          <w:szCs w:val="20"/>
          <w:color w:val="auto"/>
        </w:rPr>
      </w:pPr>
      <w:r>
        <w:rPr>
          <w:rFonts w:ascii="Arial" w:cs="Arial" w:eastAsia="Arial" w:hAnsi="Arial"/>
          <w:sz w:val="17"/>
          <w:szCs w:val="17"/>
          <w:color w:val="auto"/>
        </w:rPr>
        <w:t>Our initial stockholders and officers and directors and their affiliates have agreed (i) to vote any shares included in any subunits owned by them in favor of any proposed business combination, (ii) not to convert any subunits in connection with a stockholder vote to approve a proposed initial business combination and (iii) not to sell any subunits to us in a tender offer in connection with any proposed business combination.</w:t>
      </w:r>
    </w:p>
    <w:p>
      <w:pPr>
        <w:spacing w:after="0" w:line="200" w:lineRule="exact"/>
        <w:rPr>
          <w:sz w:val="20"/>
          <w:szCs w:val="20"/>
          <w:color w:val="auto"/>
        </w:rPr>
      </w:pPr>
    </w:p>
    <w:p>
      <w:pPr>
        <w:sectPr>
          <w:pgSz w:w="11900" w:h="16838" w:orient="portrait"/>
          <w:cols w:equalWidth="0" w:num="2">
            <w:col w:w="2580" w:space="400"/>
            <w:col w:w="6039"/>
          </w:cols>
          <w:pgMar w:left="1440" w:top="274" w:right="1440" w:bottom="1440" w:gutter="0" w:footer="0" w:header="0"/>
          <w:type w:val="continuous"/>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252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8252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None of our sponsor, initial stockholders, officers, directors or their</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affiliates has indicated any intention to purchase units in this offering 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any units, subunits or warrants from persons in the open market or in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private transactions. However, if we hold a meeting to approve a proposed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business combination and a significant number of stockholders vote, 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indicate an intention to vote, against a proposed business combination, our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sponsor, initial stockholders, officers, directors or their affiliates could</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make such purchases in the open market or in private transactions in order</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to  influence  any  vote  held  to  approve  a  proposed  initial  business</w:t>
      </w:r>
    </w:p>
    <w:p>
      <w:pPr>
        <w:spacing w:after="0" w:line="21" w:lineRule="exact"/>
        <w:rPr>
          <w:sz w:val="20"/>
          <w:szCs w:val="20"/>
          <w:color w:val="auto"/>
        </w:rPr>
      </w:pPr>
    </w:p>
    <w:p>
      <w:pPr>
        <w:ind w:left="2980"/>
        <w:spacing w:after="0"/>
        <w:tabs>
          <w:tab w:leader="none" w:pos="4060" w:val="left"/>
          <w:tab w:leader="none" w:pos="5400" w:val="left"/>
          <w:tab w:leader="none" w:pos="5760" w:val="left"/>
          <w:tab w:leader="none" w:pos="6640" w:val="left"/>
          <w:tab w:leader="none" w:pos="7020" w:val="left"/>
          <w:tab w:leader="none" w:pos="7760" w:val="left"/>
        </w:tabs>
        <w:rPr>
          <w:sz w:val="20"/>
          <w:szCs w:val="20"/>
          <w:color w:val="auto"/>
        </w:rPr>
      </w:pPr>
      <w:r>
        <w:rPr>
          <w:rFonts w:ascii="Arial" w:cs="Arial" w:eastAsia="Arial" w:hAnsi="Arial"/>
          <w:sz w:val="18"/>
          <w:szCs w:val="18"/>
          <w:color w:val="auto"/>
        </w:rPr>
        <w:t>combination.</w:t>
        <w:tab/>
        <w:t>Notwithstanding</w:t>
        <w:tab/>
        <w:t>the</w:t>
        <w:tab/>
        <w:t>foregoing,</w:t>
        <w:tab/>
        <w:t>our</w:t>
        <w:tab/>
        <w:t>officers,</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sponsor and their affiliates will not make purchases of units, subunits 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warrants if the purchases would violate Section 9(a)(2) or Rule 10b-5 of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Exchange Act, which are rules designed to stop potential manipulation of a</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company’s stock.</w:t>
      </w:r>
    </w:p>
    <w:p>
      <w:pPr>
        <w:spacing w:after="0" w:line="170"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Conversion rights</w:t>
      </w:r>
      <w:r>
        <w:rPr>
          <w:sz w:val="20"/>
          <w:szCs w:val="20"/>
          <w:color w:val="auto"/>
        </w:rPr>
        <w:tab/>
      </w:r>
      <w:r>
        <w:rPr>
          <w:rFonts w:ascii="Arial" w:cs="Arial" w:eastAsia="Arial" w:hAnsi="Arial"/>
          <w:sz w:val="16"/>
          <w:szCs w:val="16"/>
          <w:color w:val="auto"/>
        </w:rPr>
        <w:t>In connection with any stockholder meeting called to approve a proposed</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initial business combination, each public stockholder will have the right,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regardless of whether he or she is voting for or against such proposed</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business combination or does not vote at all, to demand that we convert his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or her subunits into a pro rata share of the trust account. However, any</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stockholder redeeming its subunits will forfeit the one-quarter of a warrant</w:t>
      </w:r>
    </w:p>
    <w:p>
      <w:pPr>
        <w:spacing w:after="0" w:line="32" w:lineRule="exact"/>
        <w:rPr>
          <w:sz w:val="20"/>
          <w:szCs w:val="20"/>
          <w:color w:val="auto"/>
        </w:rPr>
      </w:pPr>
    </w:p>
    <w:p>
      <w:pPr>
        <w:ind w:left="2980"/>
        <w:spacing w:after="0"/>
        <w:tabs>
          <w:tab w:leader="none" w:pos="3720" w:val="left"/>
          <w:tab w:leader="none" w:pos="4020" w:val="left"/>
          <w:tab w:leader="none" w:pos="4480" w:val="left"/>
          <w:tab w:leader="none" w:pos="5200" w:val="left"/>
          <w:tab w:leader="none" w:pos="5900" w:val="left"/>
          <w:tab w:leader="none" w:pos="6260" w:val="left"/>
          <w:tab w:leader="none" w:pos="7020" w:val="left"/>
          <w:tab w:leader="none" w:pos="7320" w:val="left"/>
          <w:tab w:leader="none" w:pos="7720" w:val="left"/>
        </w:tabs>
        <w:rPr>
          <w:sz w:val="20"/>
          <w:szCs w:val="20"/>
          <w:color w:val="auto"/>
        </w:rPr>
      </w:pPr>
      <w:r>
        <w:rPr>
          <w:rFonts w:ascii="Arial" w:cs="Arial" w:eastAsia="Arial" w:hAnsi="Arial"/>
          <w:sz w:val="18"/>
          <w:szCs w:val="18"/>
          <w:color w:val="auto"/>
        </w:rPr>
        <w:t>included</w:t>
        <w:tab/>
        <w:t>in</w:t>
        <w:tab/>
        <w:t>such</w:t>
        <w:tab/>
        <w:t>subunit,</w:t>
        <w:tab/>
        <w:t>without</w:t>
        <w:tab/>
        <w:t>the</w:t>
        <w:tab/>
        <w:t>payment</w:t>
        <w:tab/>
        <w:t>of</w:t>
        <w:tab/>
        <w:t>any</w:t>
      </w:r>
      <w:r>
        <w:rPr>
          <w:sz w:val="20"/>
          <w:szCs w:val="20"/>
          <w:color w:val="auto"/>
        </w:rPr>
        <w:tab/>
      </w:r>
      <w:r>
        <w:rPr>
          <w:rFonts w:ascii="Arial" w:cs="Arial" w:eastAsia="Arial" w:hAnsi="Arial"/>
          <w:sz w:val="16"/>
          <w:szCs w:val="16"/>
          <w:color w:val="auto"/>
        </w:rPr>
        <w:t>additional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consideration.</w:t>
      </w:r>
    </w:p>
    <w:p>
      <w:pPr>
        <w:spacing w:after="0" w:line="184"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We may require public stockholders, whether they are a record holder or</w:t>
      </w:r>
    </w:p>
    <w:p>
      <w:pPr>
        <w:spacing w:after="0" w:line="35"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hold their subunits in “street name,” to either (i) physically tender their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certificates to our transfer agent or (ii) deliver their subunits to the transfer</w:t>
      </w:r>
    </w:p>
    <w:p>
      <w:pPr>
        <w:spacing w:after="0" w:line="32" w:lineRule="exact"/>
        <w:rPr>
          <w:sz w:val="20"/>
          <w:szCs w:val="20"/>
          <w:color w:val="auto"/>
        </w:rPr>
      </w:pPr>
    </w:p>
    <w:p>
      <w:pPr>
        <w:ind w:left="2980"/>
        <w:spacing w:after="0"/>
        <w:tabs>
          <w:tab w:leader="none" w:pos="3560" w:val="left"/>
          <w:tab w:leader="none" w:pos="4720" w:val="left"/>
          <w:tab w:leader="none" w:pos="5320" w:val="left"/>
          <w:tab w:leader="none" w:pos="6300" w:val="left"/>
          <w:tab w:leader="none" w:pos="6880" w:val="left"/>
          <w:tab w:leader="none" w:pos="7900" w:val="left"/>
        </w:tabs>
        <w:rPr>
          <w:sz w:val="20"/>
          <w:szCs w:val="20"/>
          <w:color w:val="auto"/>
        </w:rPr>
      </w:pPr>
      <w:r>
        <w:rPr>
          <w:rFonts w:ascii="Arial" w:cs="Arial" w:eastAsia="Arial" w:hAnsi="Arial"/>
          <w:sz w:val="18"/>
          <w:szCs w:val="18"/>
          <w:color w:val="auto"/>
        </w:rPr>
        <w:t>agent</w:t>
        <w:tab/>
        <w:t>electronically</w:t>
        <w:tab/>
        <w:t>using</w:t>
        <w:tab/>
        <w:t>Depository</w:t>
        <w:tab/>
        <w:t>Trust</w:t>
        <w:tab/>
        <w:t>Company’s</w:t>
      </w:r>
      <w:r>
        <w:rPr>
          <w:sz w:val="20"/>
          <w:szCs w:val="20"/>
          <w:color w:val="auto"/>
        </w:rPr>
        <w:tab/>
      </w:r>
      <w:r>
        <w:rPr>
          <w:rFonts w:ascii="Arial" w:cs="Arial" w:eastAsia="Arial" w:hAnsi="Arial"/>
          <w:sz w:val="17"/>
          <w:szCs w:val="17"/>
          <w:color w:val="auto"/>
        </w:rPr>
        <w:t>DWAC</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(Deposit/Withdrawal At Custodian) System, at the holder’s option, in each</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case prior to a date set forth in the tender offer documents or proxy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materials sent in connection with the proposal to approve the business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combination. There is a nominal cost associated with this tendering process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and the act of certificating the subunits or delivering them through the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DWAC system. The transfer agent will typically charge the tendering</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broker $45 and it would be up to the broker whether or not to pass this cost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on to the converting holder.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Liquidation if no business</w:t>
      </w:r>
    </w:p>
    <w:p>
      <w:pPr>
        <w:spacing w:after="0" w:line="23" w:lineRule="exact"/>
        <w:rPr>
          <w:sz w:val="20"/>
          <w:szCs w:val="20"/>
          <w:color w:val="auto"/>
        </w:rPr>
      </w:pPr>
    </w:p>
    <w:p>
      <w:pPr>
        <w:ind w:left="720"/>
        <w:spacing w:after="0"/>
        <w:tabs>
          <w:tab w:leader="none" w:pos="2960" w:val="left"/>
        </w:tabs>
        <w:rPr>
          <w:sz w:val="20"/>
          <w:szCs w:val="20"/>
          <w:color w:val="auto"/>
        </w:rPr>
      </w:pPr>
      <w:r>
        <w:rPr>
          <w:rFonts w:ascii="Arial" w:cs="Arial" w:eastAsia="Arial" w:hAnsi="Arial"/>
          <w:sz w:val="16"/>
          <w:szCs w:val="16"/>
          <w:color w:val="auto"/>
        </w:rPr>
        <w:t>combination</w:t>
      </w:r>
      <w:r>
        <w:rPr>
          <w:sz w:val="20"/>
          <w:szCs w:val="20"/>
          <w:color w:val="auto"/>
        </w:rPr>
        <w:tab/>
      </w:r>
      <w:r>
        <w:rPr>
          <w:rFonts w:ascii="Arial" w:cs="Arial" w:eastAsia="Arial" w:hAnsi="Arial"/>
          <w:sz w:val="16"/>
          <w:szCs w:val="16"/>
          <w:color w:val="auto"/>
        </w:rPr>
        <w:t>If we are unable to complete an initial business combination by 18 months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from the closing of this offering, we will (i) cease all operations except for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purpose of winding up and (ii) as promptly as reasonably possible but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not more than ten business days thereafter, redeem 100% of the outstanding</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public subunits, at a per-subunit price, payable in cash, equal to the</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aggregate amount then on deposit in the trust account, including any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interest not previously released to us (net of taxes payable), divided by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number  of  then  outstanding  public  subunits,  which  redemption  will</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completely extinguish public stockholders’ rights as holders of subunits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(including the right to receive further liquidation distributions, if any),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subject to applicable law. Public stockholders will also forfeit the one-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quarter warrant included in the subunits being redeemed. As promptly as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reasonably possible following such redemption, subject to the approval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our remaining stockholders and our board of directors, we will dissolve and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liquidate, subject to our obligations under Delaware law to provide for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claims of creditors and the requirements of other applicable law. We cannot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assure you that we will have funds sufficient to pay or provide for all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creditors’ claims. Although we are required to have all third parties</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(including any vendors or other entities we engage after this offering) and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any prospective target businesses enter into agreements with us waiving</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any right, title, interest or claim of any kind in or to any monies held in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trust account, there is no guarantee that they will execute such agreements.</w:t>
      </w:r>
    </w:p>
    <w:p>
      <w:pPr>
        <w:spacing w:after="0" w:line="32" w:lineRule="exact"/>
        <w:rPr>
          <w:sz w:val="20"/>
          <w:szCs w:val="20"/>
          <w:color w:val="auto"/>
        </w:rPr>
      </w:pPr>
    </w:p>
    <w:p>
      <w:pPr>
        <w:ind w:left="2980"/>
        <w:spacing w:after="0"/>
        <w:tabs>
          <w:tab w:leader="none" w:pos="3560" w:val="left"/>
          <w:tab w:leader="none" w:pos="3860" w:val="left"/>
          <w:tab w:leader="none" w:pos="4320" w:val="left"/>
          <w:tab w:leader="none" w:pos="4680" w:val="left"/>
          <w:tab w:leader="none" w:pos="5560" w:val="left"/>
          <w:tab w:leader="none" w:pos="6000" w:val="left"/>
          <w:tab w:leader="none" w:pos="6400" w:val="left"/>
          <w:tab w:leader="none" w:pos="6920" w:val="left"/>
          <w:tab w:leader="none" w:pos="7560" w:val="left"/>
          <w:tab w:leader="none" w:pos="8200" w:val="left"/>
        </w:tabs>
        <w:rPr>
          <w:sz w:val="20"/>
          <w:szCs w:val="20"/>
          <w:color w:val="auto"/>
        </w:rPr>
      </w:pPr>
      <w:r>
        <w:rPr>
          <w:rFonts w:ascii="Arial" w:cs="Arial" w:eastAsia="Arial" w:hAnsi="Arial"/>
          <w:sz w:val="18"/>
          <w:szCs w:val="18"/>
          <w:color w:val="auto"/>
        </w:rPr>
        <w:t>There</w:t>
        <w:tab/>
        <w:t>is</w:t>
        <w:tab/>
        <w:t>also</w:t>
        <w:tab/>
        <w:t>no</w:t>
        <w:tab/>
        <w:t>guarantee</w:t>
        <w:tab/>
        <w:t>that</w:t>
        <w:tab/>
        <w:t>the</w:t>
        <w:tab/>
        <w:t>third</w:t>
        <w:tab/>
        <w:t>parties</w:t>
        <w:tab/>
        <w:t>would</w:t>
      </w:r>
      <w:r>
        <w:rPr>
          <w:sz w:val="20"/>
          <w:szCs w:val="20"/>
          <w:color w:val="auto"/>
        </w:rPr>
        <w:tab/>
      </w:r>
      <w:r>
        <w:rPr>
          <w:rFonts w:ascii="Arial" w:cs="Arial" w:eastAsia="Arial" w:hAnsi="Arial"/>
          <w:sz w:val="15"/>
          <w:szCs w:val="15"/>
          <w:color w:val="auto"/>
        </w:rPr>
        <w:t>not</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 w:name="page18"/>
    <w:bookmarkEnd w:id="17"/>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082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9082405"/>
                    </a:xfrm>
                    <a:prstGeom prst="rect">
                      <a:avLst/>
                    </a:prstGeom>
                    <a:noFill/>
                  </pic:spPr>
                </pic:pic>
              </a:graphicData>
            </a:graphic>
          </wp:anchor>
        </w:drawing>
      </w:r>
    </w:p>
    <w:p>
      <w:pPr>
        <w:sectPr>
          <w:pgSz w:w="11900" w:h="16838" w:orient="portrait"/>
          <w:cols w:equalWidth="0" w:num="1">
            <w:col w:w="9019"/>
          </w:cols>
          <w:pgMar w:left="1440" w:top="274" w:right="1440" w:bottom="1128" w:gutter="0" w:footer="0" w:header="0"/>
        </w:sectPr>
      </w:pPr>
    </w:p>
    <w:p>
      <w:pPr>
        <w:spacing w:after="0" w:line="200" w:lineRule="exact"/>
        <w:rPr>
          <w:sz w:val="20"/>
          <w:szCs w:val="20"/>
          <w:color w:val="auto"/>
        </w:rPr>
      </w:pPr>
    </w:p>
    <w:p>
      <w:pPr>
        <w:spacing w:after="0" w:line="210" w:lineRule="exact"/>
        <w:rPr>
          <w:sz w:val="20"/>
          <w:szCs w:val="20"/>
          <w:color w:val="auto"/>
        </w:rPr>
      </w:pPr>
    </w:p>
    <w:p>
      <w:pPr>
        <w:jc w:val="both"/>
        <w:ind w:left="2980" w:right="559"/>
        <w:spacing w:after="0" w:line="284" w:lineRule="auto"/>
        <w:rPr>
          <w:sz w:val="20"/>
          <w:szCs w:val="20"/>
          <w:color w:val="auto"/>
        </w:rPr>
      </w:pPr>
      <w:r>
        <w:rPr>
          <w:rFonts w:ascii="Arial" w:cs="Arial" w:eastAsia="Arial" w:hAnsi="Arial"/>
          <w:sz w:val="16"/>
          <w:szCs w:val="16"/>
          <w:color w:val="auto"/>
        </w:rPr>
        <w:t>challenge the enforceability of these waivers and bring claims against the trust account for monies owed them. Our sponsor has agreed that it will be liable to ensure that the proceeds in the trust account are not reduced below $10.00 per subunit by the claims of target businesses or claims of vendors or other entities that are owed money by us for services rendered or contracted for or products sold to us. The agreement entered into by our sponsor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this offering against certain liabilities, including liabilities under the Securities Act. Marcum LLP, our independent registered public accounting firm, and the underwriters of the offering will not execute agreements with us waiving such claims to the monies held in the trust account.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that it is unlikely that our sponsor will be able to satisfy its indemnification obligations if it is required to do so.</w:t>
      </w:r>
    </w:p>
    <w:p>
      <w:pPr>
        <w:spacing w:after="0" w:line="139" w:lineRule="exact"/>
        <w:rPr>
          <w:sz w:val="20"/>
          <w:szCs w:val="20"/>
          <w:color w:val="auto"/>
        </w:rPr>
      </w:pPr>
    </w:p>
    <w:p>
      <w:pPr>
        <w:jc w:val="both"/>
        <w:ind w:left="2980" w:right="559"/>
        <w:spacing w:after="0" w:line="286" w:lineRule="auto"/>
        <w:rPr>
          <w:sz w:val="20"/>
          <w:szCs w:val="20"/>
          <w:color w:val="auto"/>
        </w:rPr>
      </w:pPr>
      <w:r>
        <w:rPr>
          <w:rFonts w:ascii="Arial" w:cs="Arial" w:eastAsia="Arial" w:hAnsi="Arial"/>
          <w:sz w:val="17"/>
          <w:szCs w:val="17"/>
          <w:color w:val="auto"/>
        </w:rPr>
        <w:t>The holders of the founder shares, representative shares and private subunits (or underlying securities) will not participate in any redemption distribution from our trust account with respect to such securities.</w:t>
      </w:r>
    </w:p>
    <w:p>
      <w:pPr>
        <w:spacing w:after="0" w:line="138" w:lineRule="exact"/>
        <w:rPr>
          <w:sz w:val="20"/>
          <w:szCs w:val="20"/>
          <w:color w:val="auto"/>
        </w:rPr>
      </w:pPr>
    </w:p>
    <w:p>
      <w:pPr>
        <w:jc w:val="both"/>
        <w:ind w:left="2980" w:right="559"/>
        <w:spacing w:after="0" w:line="286" w:lineRule="auto"/>
        <w:rPr>
          <w:sz w:val="20"/>
          <w:szCs w:val="20"/>
          <w:color w:val="auto"/>
        </w:rPr>
      </w:pPr>
      <w:r>
        <w:rPr>
          <w:rFonts w:ascii="Arial" w:cs="Arial" w:eastAsia="Arial" w:hAnsi="Arial"/>
          <w:sz w:val="16"/>
          <w:szCs w:val="16"/>
          <w:color w:val="auto"/>
        </w:rPr>
        <w:t>If we are unable to consummate an initial business combination and we expend all of the net proceeds of this offering not deposited in the trust account, we expect that the initial per-subunit redemption price will be approximately $10.00 (which is equal to the anticipated aggregate amount then on deposit in the trust account excluding interest earned on the funds held in the trust account). The proceeds deposited in the trust account could, however, become subject to claims of our creditors that are in preference to the claims of our stockholders.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we cannot assure you that the actual per-subunit redemption price will not be less than approximately $10.00.</w:t>
      </w:r>
    </w:p>
    <w:p>
      <w:pPr>
        <w:spacing w:after="0" w:line="144" w:lineRule="exact"/>
        <w:rPr>
          <w:sz w:val="20"/>
          <w:szCs w:val="20"/>
          <w:color w:val="auto"/>
        </w:rPr>
      </w:pPr>
    </w:p>
    <w:p>
      <w:pPr>
        <w:jc w:val="both"/>
        <w:ind w:left="2980" w:right="559"/>
        <w:spacing w:after="0" w:line="255" w:lineRule="auto"/>
        <w:rPr>
          <w:sz w:val="20"/>
          <w:szCs w:val="20"/>
          <w:color w:val="auto"/>
        </w:rPr>
      </w:pPr>
      <w:r>
        <w:rPr>
          <w:rFonts w:ascii="Arial" w:cs="Arial" w:eastAsia="Arial" w:hAnsi="Arial"/>
          <w:sz w:val="18"/>
          <w:szCs w:val="18"/>
          <w:color w:val="auto"/>
        </w:rPr>
        <w:t>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65" w:lineRule="exact"/>
        <w:rPr>
          <w:sz w:val="20"/>
          <w:szCs w:val="20"/>
          <w:color w:val="auto"/>
        </w:rPr>
      </w:pPr>
    </w:p>
    <w:p>
      <w:pPr>
        <w:jc w:val="both"/>
        <w:ind w:left="2980" w:right="559"/>
        <w:spacing w:after="0" w:line="286" w:lineRule="auto"/>
        <w:rPr>
          <w:sz w:val="20"/>
          <w:szCs w:val="20"/>
          <w:color w:val="auto"/>
        </w:rPr>
      </w:pPr>
      <w:r>
        <w:rPr>
          <w:rFonts w:ascii="Arial" w:cs="Arial" w:eastAsia="Arial" w:hAnsi="Arial"/>
          <w:sz w:val="16"/>
          <w:szCs w:val="16"/>
          <w:color w:val="auto"/>
        </w:rPr>
        <w:t>Our sponsor, initial stockholders, officers and directors have agreed that they will not propose any amendment to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this offering, unless we provide our public stockholders with the opportunity to convert their subunits upon the approval of any such amendment at a per-subunit price, payable in cash, equal to the aggregate amount then on deposit in the trust account, including interest not previously released to us but net of franchise and income taxes payable, divided by the number of then outstanding public subunits. This redemption right shall apply in the event of the approval of any such amendment, whether proposed by our sponsor, initial stockholders, executive officers, directors or any other person.</w:t>
      </w:r>
    </w:p>
    <w:p>
      <w:pPr>
        <w:sectPr>
          <w:pgSz w:w="11900" w:h="16838" w:orient="portrait"/>
          <w:cols w:equalWidth="0" w:num="1">
            <w:col w:w="9019"/>
          </w:cols>
          <w:pgMar w:left="1440" w:top="274" w:right="1440" w:bottom="1128"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128" w:gutter="0" w:footer="0" w:header="0"/>
          <w:type w:val="continuous"/>
        </w:sectPr>
      </w:pPr>
    </w:p>
    <w:bookmarkStart w:id="18" w:name="page19"/>
    <w:bookmarkEnd w:id="18"/>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405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40500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Conflict of Interest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 xml:space="preserve">EarlyBirdCapital has a “conflict of interest” within the meaning of FINRA Rule 5121(f)(5)(B) in this offering because it and its affiliates collectively own more than 10% of our shares. Due to this conflict of interest, I-Bankers Securities, Inc. is acting as a “qualified independent underwriter” in accordance with FINRA Rule 5121, which requires, among other things, that a qualified independent underwriter participate in the preparation of, and exercise the usual standards of “due diligence” with respect to, this prospectus and the registration statement of which it forms a part. I-Bankers will receive no other compensation in this offering other than customary underwriting commissions. We have agreed to indemnify I-Bankers against certain liabilities incurred in connection with acting as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 See </w:t>
      </w:r>
      <w:r>
        <w:rPr>
          <w:rFonts w:ascii="Arial" w:cs="Arial" w:eastAsia="Arial" w:hAnsi="Arial"/>
          <w:sz w:val="16"/>
          <w:szCs w:val="16"/>
          <w:i w:val="1"/>
          <w:iCs w:val="1"/>
          <w:color w:val="auto"/>
        </w:rPr>
        <w:t xml:space="preserve">“Underwriting — Conflicts of Interest” </w:t>
      </w:r>
      <w:r>
        <w:rPr>
          <w:rFonts w:ascii="Arial" w:cs="Arial" w:eastAsia="Arial" w:hAnsi="Arial"/>
          <w:sz w:val="16"/>
          <w:szCs w:val="16"/>
          <w:color w:val="auto"/>
        </w:rPr>
        <w:t>for further information.</w:t>
      </w:r>
    </w:p>
    <w:p>
      <w:pPr>
        <w:spacing w:after="0" w:line="200" w:lineRule="exact"/>
        <w:rPr>
          <w:sz w:val="20"/>
          <w:szCs w:val="20"/>
          <w:color w:val="auto"/>
        </w:rPr>
      </w:pPr>
    </w:p>
    <w:p>
      <w:pPr>
        <w:sectPr>
          <w:pgSz w:w="11900" w:h="16838" w:orient="portrait"/>
          <w:cols w:equalWidth="0" w:num="2">
            <w:col w:w="2260" w:space="720"/>
            <w:col w:w="6039"/>
          </w:cols>
          <w:pgMar w:left="1440" w:top="274" w:right="1440" w:bottom="1440" w:gutter="0" w:footer="0" w:header="0"/>
          <w:type w:val="continuous"/>
        </w:sectPr>
      </w:pP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w:t>
      </w:r>
    </w:p>
    <w:p>
      <w:pPr>
        <w:spacing w:after="0" w:line="148"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In making your decision on whether to invest in our securities, you should take into account the special risks we face as a blank check company focused on the hemp industry,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8"/>
          <w:szCs w:val="18"/>
          <w:i w:val="1"/>
          <w:iCs w:val="1"/>
          <w:color w:val="auto"/>
        </w:rPr>
        <w:t>Proposed</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 Comparison to offerings of blank check companies subject to Rule 419</w:t>
      </w:r>
      <w:r>
        <w:rPr>
          <w:rFonts w:ascii="Arial" w:cs="Arial" w:eastAsia="Arial" w:hAnsi="Arial"/>
          <w:sz w:val="18"/>
          <w:szCs w:val="18"/>
          <w:color w:val="auto"/>
        </w:rPr>
        <w:t>.” You should carefully</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these and the other risks set forth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20 of this prospectus.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 w:name="page20"/>
    <w:bookmarkEnd w:id="19"/>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024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9202420"/>
                    </a:xfrm>
                    <a:prstGeom prst="rect">
                      <a:avLst/>
                    </a:prstGeom>
                    <a:noFill/>
                  </pic:spPr>
                </pic:pic>
              </a:graphicData>
            </a:graphic>
          </wp:anchor>
        </w:drawing>
      </w:r>
    </w:p>
    <w:p>
      <w:pPr>
        <w:sectPr>
          <w:pgSz w:w="11900" w:h="16838" w:orient="portrait"/>
          <w:cols w:equalWidth="0" w:num="1">
            <w:col w:w="9019"/>
          </w:cols>
          <w:pgMar w:left="1440" w:top="274" w:right="1440" w:bottom="939"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jc w:val="both"/>
        <w:ind w:left="540" w:right="559"/>
        <w:spacing w:after="0" w:line="293"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titled “Risk Factors,” that represent challenges that we face in connection with the successful implementation of our strategy. The occurrence of one or more of the events or circumstances described in the section titled “Risk Factors,” alone or in combination with other events or circumstances, may adversely affect our ability to effect a business combination, and may have an adverse effect on our business, cash flows, financial condition and results of operations. Such risks include, but are not limited to:</w:t>
      </w:r>
    </w:p>
    <w:p>
      <w:pPr>
        <w:spacing w:after="0" w:line="83" w:lineRule="exact"/>
        <w:rPr>
          <w:sz w:val="20"/>
          <w:szCs w:val="20"/>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lack of operating history;</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public stockholders will forfeit a portion of their warrants if they redeem their subunits</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potential delay in receiving distributions from the trust account;</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stockholders’ potential lack of opportunity to vote on our proposed business combination;</w:t>
      </w:r>
    </w:p>
    <w:p>
      <w:pPr>
        <w:spacing w:after="0" w:line="155" w:lineRule="exact"/>
        <w:rPr>
          <w:rFonts w:ascii="Arial" w:cs="Arial" w:eastAsia="Arial" w:hAnsi="Arial"/>
          <w:sz w:val="17"/>
          <w:szCs w:val="17"/>
          <w:color w:val="auto"/>
        </w:rPr>
      </w:pPr>
    </w:p>
    <w:p>
      <w:pPr>
        <w:ind w:left="1400" w:right="559" w:hanging="424"/>
        <w:spacing w:after="0" w:line="277" w:lineRule="auto"/>
        <w:tabs>
          <w:tab w:leader="none" w:pos="16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protections afforded to investors of blank check companies that comply with Rule 419;</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deviation from our acquisition criteria;</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70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issuance of additional equity and/or debt securities to complete a business combination;</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potential lack of working capital;</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53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for third-party claims to reduce the per-share redemption price for our common stock;</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4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for negative interest rates for securities in which we invest the funds held in the trust account;</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stockholders’ potential to be held liable for claims by third parties against us;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failure to enforce our sponsor’s indemnification obligations;</w:t>
      </w:r>
    </w:p>
    <w:p>
      <w:pPr>
        <w:spacing w:after="0" w:line="130" w:lineRule="exact"/>
        <w:rPr>
          <w:rFonts w:ascii="Arial" w:cs="Arial" w:eastAsia="Arial" w:hAnsi="Arial"/>
          <w:sz w:val="18"/>
          <w:szCs w:val="18"/>
          <w:color w:val="auto"/>
        </w:rPr>
      </w:pPr>
    </w:p>
    <w:p>
      <w:pPr>
        <w:ind w:left="1400" w:right="559" w:hanging="424"/>
        <w:spacing w:after="0" w:line="277" w:lineRule="auto"/>
        <w:tabs>
          <w:tab w:leader="none" w:pos="153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for our warrant holders to be limited to exercising warrants only on a “cashless basis;”</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inability of our warrant holders to obtain a favorable judicial forum for disputes with our company;</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conflicts of interest of our sponsor, officers and directors and EarlyBirdCapital;</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possible delisting of our securities by Nasdaq;</w:t>
      </w:r>
    </w:p>
    <w:p>
      <w:pPr>
        <w:spacing w:after="0" w:line="130" w:lineRule="exact"/>
        <w:rPr>
          <w:rFonts w:ascii="Arial" w:cs="Arial" w:eastAsia="Arial" w:hAnsi="Arial"/>
          <w:sz w:val="18"/>
          <w:szCs w:val="18"/>
          <w:color w:val="auto"/>
        </w:rPr>
      </w:pPr>
    </w:p>
    <w:p>
      <w:pPr>
        <w:ind w:left="1400" w:right="559" w:hanging="424"/>
        <w:spacing w:after="0" w:line="27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potential dependence on a single target business with a limited number of products or services;</w:t>
      </w:r>
    </w:p>
    <w:p>
      <w:pPr>
        <w:spacing w:after="0" w:line="89"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stockholders’ inability to vote or redeem their shares in connection with our extensions;</w:t>
      </w:r>
    </w:p>
    <w:p>
      <w:pPr>
        <w:spacing w:after="0" w:line="142" w:lineRule="exact"/>
        <w:rPr>
          <w:rFonts w:ascii="Arial" w:cs="Arial" w:eastAsia="Arial" w:hAnsi="Arial"/>
          <w:sz w:val="17"/>
          <w:szCs w:val="17"/>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of our shares being redeemed and warrants becoming worthless;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competitors potentially with advantages over us in seeking business combinations;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obtain additional financing;</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initial stockholders controlling a substantial interest in us;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adverse effect of the warrants on the market price of our common stock;</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disadvantageous timing for redeeming warrants;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potential adverse effect of registration rights on the market price of our common stock;</w:t>
      </w:r>
    </w:p>
    <w:p>
      <w:pPr>
        <w:spacing w:after="0" w:line="155" w:lineRule="exact"/>
        <w:rPr>
          <w:rFonts w:ascii="Arial" w:cs="Arial" w:eastAsia="Arial" w:hAnsi="Arial"/>
          <w:sz w:val="17"/>
          <w:szCs w:val="17"/>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impact of COVID-19 and related risks;</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potential business combination with a company located in a foreign jurisdiction;</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potential changes in laws or regulations; tax consequences to business combinations; and</w:t>
      </w:r>
    </w:p>
    <w:p>
      <w:pPr>
        <w:spacing w:after="0" w:line="142" w:lineRule="exact"/>
        <w:rPr>
          <w:rFonts w:ascii="Arial" w:cs="Arial" w:eastAsia="Arial" w:hAnsi="Arial"/>
          <w:sz w:val="17"/>
          <w:szCs w:val="17"/>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exclusive forum provisions in our amended and restated certificate of incorporation.</w:t>
      </w:r>
    </w:p>
    <w:p>
      <w:pPr>
        <w:sectPr>
          <w:pgSz w:w="11900" w:h="16838" w:orient="portrait"/>
          <w:cols w:equalWidth="0" w:num="1">
            <w:col w:w="9019"/>
          </w:cols>
          <w:pgMar w:left="1440" w:top="274" w:right="1440" w:bottom="939"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39" w:gutter="0" w:footer="0" w:header="0"/>
          <w:type w:val="continuous"/>
        </w:sectPr>
      </w:pPr>
    </w:p>
    <w:bookmarkStart w:id="20" w:name="page21"/>
    <w:bookmarkEnd w:id="2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376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737616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and accordingly only balance sheet data is presented.</w:t>
      </w:r>
    </w:p>
    <w:p>
      <w:pPr>
        <w:spacing w:after="0" w:line="14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center"/>
              <w:ind w:left="15"/>
              <w:spacing w:after="0"/>
              <w:rPr>
                <w:sz w:val="20"/>
                <w:szCs w:val="20"/>
                <w:color w:val="auto"/>
              </w:rPr>
            </w:pPr>
            <w:r>
              <w:rPr>
                <w:rFonts w:ascii="Arial" w:cs="Arial" w:eastAsia="Arial" w:hAnsi="Arial"/>
                <w:sz w:val="16"/>
                <w:szCs w:val="16"/>
                <w:b w:val="1"/>
                <w:bCs w:val="1"/>
                <w:color w:val="auto"/>
                <w:w w:val="92"/>
              </w:rPr>
              <w:t>January 4, 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After Issuance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of the Founder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3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13"/>
              <w:spacing w:after="0"/>
              <w:rPr>
                <w:sz w:val="20"/>
                <w:szCs w:val="20"/>
                <w:color w:val="auto"/>
              </w:rPr>
            </w:pPr>
            <w:r>
              <w:rPr>
                <w:rFonts w:ascii="Arial" w:cs="Arial" w:eastAsia="Arial" w:hAnsi="Arial"/>
                <w:sz w:val="16"/>
                <w:szCs w:val="16"/>
                <w:b w:val="1"/>
                <w:bCs w:val="1"/>
                <w:color w:val="auto"/>
                <w:w w:val="93"/>
              </w:rPr>
              <w:t>Actual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12"/>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As Adjusted</w:t>
            </w:r>
          </w:p>
        </w:tc>
      </w:tr>
      <w:tr>
        <w:trPr>
          <w:trHeight w:val="46"/>
        </w:trPr>
        <w:tc>
          <w:tcPr>
            <w:tcW w:w="37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7"/>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4"/>
        </w:trPr>
        <w:tc>
          <w:tcPr>
            <w:tcW w:w="3760" w:type="dxa"/>
            <w:vAlign w:val="bottom"/>
          </w:tcPr>
          <w:p>
            <w:pPr>
              <w:ind w:left="180"/>
              <w:spacing w:after="0"/>
              <w:rPr>
                <w:sz w:val="20"/>
                <w:szCs w:val="20"/>
                <w:color w:val="auto"/>
              </w:rPr>
            </w:pPr>
            <w:r>
              <w:rPr>
                <w:rFonts w:ascii="Arial" w:cs="Arial" w:eastAsia="Arial" w:hAnsi="Arial"/>
                <w:sz w:val="18"/>
                <w:szCs w:val="18"/>
                <w:color w:val="auto"/>
              </w:rPr>
              <w:t>Working (deficiency) capital</w:t>
            </w:r>
            <w:r>
              <w:rPr>
                <w:rFonts w:ascii="Arial" w:cs="Arial" w:eastAsia="Arial" w:hAnsi="Arial"/>
                <w:sz w:val="20"/>
                <w:szCs w:val="20"/>
                <w:color w:val="auto"/>
                <w:vertAlign w:val="superscript"/>
              </w:rPr>
              <w:t>(1)</w:t>
            </w:r>
          </w:p>
        </w:tc>
        <w:tc>
          <w:tcPr>
            <w:tcW w:w="72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c>
          <w:tcPr>
            <w:tcW w:w="30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120,774,319</w:t>
            </w:r>
          </w:p>
        </w:tc>
      </w:tr>
      <w:tr>
        <w:trPr>
          <w:trHeight w:val="283"/>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r>
              <w:rPr>
                <w:rFonts w:ascii="Arial" w:cs="Arial" w:eastAsia="Arial" w:hAnsi="Arial"/>
                <w:sz w:val="20"/>
                <w:szCs w:val="20"/>
                <w:color w:val="auto"/>
                <w:vertAlign w:val="superscript"/>
              </w:rPr>
              <w:t>(2)</w:t>
            </w: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120,774,319</w:t>
            </w:r>
          </w:p>
        </w:tc>
      </w:tr>
      <w:tr>
        <w:trPr>
          <w:trHeight w:val="243"/>
        </w:trPr>
        <w:tc>
          <w:tcPr>
            <w:tcW w:w="37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3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3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Value of common stock subject to possible</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71"/>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redemption</w:t>
            </w:r>
            <w:r>
              <w:rPr>
                <w:rFonts w:ascii="Arial" w:cs="Arial" w:eastAsia="Arial" w:hAnsi="Arial"/>
                <w:sz w:val="20"/>
                <w:szCs w:val="20"/>
                <w:color w:val="auto"/>
                <w:vertAlign w:val="superscript"/>
              </w:rPr>
              <w:t>(3)</w:t>
            </w:r>
          </w:p>
        </w:tc>
        <w:tc>
          <w:tcPr>
            <w:tcW w:w="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115,774,317</w:t>
            </w:r>
          </w:p>
        </w:tc>
      </w:tr>
      <w:tr>
        <w:trPr>
          <w:trHeight w:val="291"/>
        </w:trPr>
        <w:tc>
          <w:tcPr>
            <w:tcW w:w="3760" w:type="dxa"/>
            <w:vAlign w:val="bottom"/>
          </w:tcPr>
          <w:p>
            <w:pPr>
              <w:ind w:left="180"/>
              <w:spacing w:after="0"/>
              <w:rPr>
                <w:sz w:val="20"/>
                <w:szCs w:val="20"/>
                <w:color w:val="auto"/>
              </w:rPr>
            </w:pPr>
            <w:r>
              <w:rPr>
                <w:rFonts w:ascii="Arial" w:cs="Arial" w:eastAsia="Arial" w:hAnsi="Arial"/>
                <w:sz w:val="18"/>
                <w:szCs w:val="18"/>
                <w:color w:val="auto"/>
              </w:rPr>
              <w:t>Stockholders’ equity/(deficit)</w:t>
            </w:r>
            <w:r>
              <w:rPr>
                <w:rFonts w:ascii="Arial" w:cs="Arial" w:eastAsia="Arial" w:hAnsi="Arial"/>
                <w:sz w:val="20"/>
                <w:szCs w:val="20"/>
                <w:color w:val="auto"/>
                <w:vertAlign w:val="superscript"/>
              </w:rPr>
              <w:t>(4)</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24,284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5,000,002</w:t>
            </w:r>
          </w:p>
        </w:tc>
      </w:tr>
    </w:tbl>
    <w:p>
      <w:pPr>
        <w:spacing w:after="0" w:line="3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980" w:right="559" w:hanging="436"/>
        <w:spacing w:after="0" w:line="265"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“as adjusted” calculation includes $120,000,000 of cash held in trust from the proceeds of this offering and the sale of the private units, plus $750,000 of cash held outside the trust account, plus $25,000 from the issuance of founder shares, plus $35 from the issuance of the representative shares, minus $716 of actual stockholder’s deficit at December 31, 2020.</w:t>
      </w:r>
    </w:p>
    <w:p>
      <w:pPr>
        <w:spacing w:after="0" w:line="1" w:lineRule="exact"/>
        <w:rPr>
          <w:rFonts w:ascii="Arial" w:cs="Arial" w:eastAsia="Arial" w:hAnsi="Arial"/>
          <w:sz w:val="16"/>
          <w:szCs w:val="16"/>
          <w:color w:val="auto"/>
        </w:rPr>
      </w:pPr>
    </w:p>
    <w:p>
      <w:pPr>
        <w:jc w:val="both"/>
        <w:ind w:left="980" w:right="559" w:hanging="436"/>
        <w:spacing w:after="0" w:line="264" w:lineRule="auto"/>
        <w:tabs>
          <w:tab w:leader="none" w:pos="101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“as adjusted” calculation equals $120,000,000 of cash held in trust from the proceeds of this offering and the sale of the private units, plus $750,000 in cash held outside the trust account, plus $25,000 from the issuance of founder shares, plus $35 from the issuance of the representative shares, minus $716 of actual stockholder’s deficit at December 31, 2020.</w:t>
      </w:r>
    </w:p>
    <w:p>
      <w:pPr>
        <w:jc w:val="both"/>
        <w:ind w:left="980" w:right="559" w:hanging="436"/>
        <w:spacing w:after="0" w:line="281" w:lineRule="auto"/>
        <w:tabs>
          <w:tab w:leader="none" w:pos="977"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“as adjusted” calculation equals the “as adjusted” total assets, less the “as adjusted” total liabilities, less the “as adjusted” stockholders’ equity, which is set to approximate the minimum net tangible assets threshold of at least $5,000,001 either immediately prior to or upon consummation of our initial business combination.</w:t>
      </w:r>
    </w:p>
    <w:p>
      <w:pPr>
        <w:spacing w:after="0" w:line="1" w:lineRule="exact"/>
        <w:rPr>
          <w:rFonts w:ascii="Arial" w:cs="Arial" w:eastAsia="Arial" w:hAnsi="Arial"/>
          <w:sz w:val="15"/>
          <w:szCs w:val="15"/>
          <w:color w:val="auto"/>
        </w:rPr>
      </w:pPr>
    </w:p>
    <w:p>
      <w:pPr>
        <w:jc w:val="both"/>
        <w:ind w:left="980" w:right="559" w:hanging="436"/>
        <w:spacing w:after="0" w:line="295" w:lineRule="auto"/>
        <w:tabs>
          <w:tab w:leader="none" w:pos="1165" w:val="left"/>
        </w:tabs>
        <w:numPr>
          <w:ilvl w:val="0"/>
          <w:numId w:val="9"/>
        </w:numPr>
        <w:rPr>
          <w:rFonts w:ascii="Arial" w:cs="Arial" w:eastAsia="Arial" w:hAnsi="Arial"/>
          <w:sz w:val="15"/>
          <w:szCs w:val="15"/>
          <w:color w:val="auto"/>
        </w:rPr>
      </w:pPr>
      <w:r>
        <w:rPr>
          <w:rFonts w:ascii="Arial" w:cs="Arial" w:eastAsia="Arial" w:hAnsi="Arial"/>
          <w:sz w:val="15"/>
          <w:szCs w:val="15"/>
          <w:color w:val="auto"/>
        </w:rPr>
        <w:t>Excludes 11,577,432 shares of common stock included in the subunits which are subject to conversion in connection with our initial business combination. The “as adjusted” calculation equals the “as adjusted” total assets, less the “as adjusted” total liabilities, less the value of shares of common stock included in the subunits that may be converted in connection with our initial business combination ($10.00 per subunit).</w:t>
      </w:r>
    </w:p>
    <w:p>
      <w:pPr>
        <w:spacing w:after="0" w:line="102"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The “as adjusted” information gives effect to the issuance of the founder shares, the issuance of the representative shares, the sale of the units we are offering and the sale of the private units, including the application of the related gross proceeds and the payment of the estimated remaining costs from such sale and the repayment of the accrued and other liabilities required to be repaid.</w:t>
      </w:r>
    </w:p>
    <w:p>
      <w:pPr>
        <w:spacing w:after="0" w:line="106"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The “as adjusted” total assets amount includes the $120,000,000 to be held in the trust account (or $138,000,000 if the over-allotment option is exercised in full) which, except for limited situations described in this prospectus, will be available to us only upon the consummation of a business combination within the time period described in this prospectus. If a business combination is not so consummated, the trust account, less amounts we are permitted to withdraw from interest earned on the funds in the trust account as described in this prospectus, will be distributed solely to our public stockholders (subject to our obligations under Delaware law to provide for claims of creditors).</w:t>
      </w:r>
    </w:p>
    <w:p>
      <w:pPr>
        <w:spacing w:after="0" w:line="110"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solely if we seek stockholder approval, a majority of the outstanding shares of common stock voted are voted in favor of the business combination.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the risks described below, which we believe represent the material risks related to the offering, together with the other information contained in this prospectus, before making a decision to invest in our units. This prospectus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Associated with Our Business and Securities</w:t>
      </w:r>
    </w:p>
    <w:p>
      <w:pPr>
        <w:spacing w:after="0" w:line="22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are a company with no operating history and, accordingly, you will not have any basis on which to evaluate our ability to achieve our business objective.</w:t>
      </w:r>
    </w:p>
    <w:p>
      <w:pPr>
        <w:spacing w:after="0" w:line="103"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We are a company with no operating results to date. Therefore, our ability to commence operations is dependent upon obtaining financing through the public offering of our securities. Since we do not have an operating history, you will have no basis upon which to evaluate our ability to achieve our business objective, which is to acquire an operating business. We have not conducted any substantive discussions and we have no plans, arrangements or understandings with any prospective acquisition candidates. We will not generate any revenues until, at the earliest, after the consummation of a business combination.</w:t>
      </w:r>
    </w:p>
    <w:p>
      <w:pPr>
        <w:spacing w:after="0" w:line="17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7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 xml:space="preserve">As of December 31, 2020, we had no cash and a working capital deficit of $716. Further, we have incurred and expect to continue to incur significant costs in pursuit of our finance and acquisition plans. Management’s plans to address this need for capital through this offering are discussed in the section of this prospectus titled </w:t>
      </w: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We cannot assure</w:t>
      </w:r>
      <w:r>
        <w:rPr>
          <w:rFonts w:ascii="Arial" w:cs="Arial" w:eastAsia="Arial" w:hAnsi="Arial"/>
          <w:sz w:val="16"/>
          <w:szCs w:val="16"/>
          <w:i w:val="1"/>
          <w:iCs w:val="1"/>
          <w:color w:val="auto"/>
        </w:rPr>
        <w:t xml:space="preserve"> </w:t>
      </w:r>
      <w:r>
        <w:rPr>
          <w:rFonts w:ascii="Arial" w:cs="Arial" w:eastAsia="Arial" w:hAnsi="Arial"/>
          <w:sz w:val="16"/>
          <w:szCs w:val="16"/>
          <w:color w:val="auto"/>
        </w:rPr>
        <w:t>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6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Public stockholders exercising their redemption rights with respect to the subunits included in the units sold in this offering will forfeit the portion of warrants included in the subunits without the payment of any additional consideration.</w:t>
      </w:r>
    </w:p>
    <w:p>
      <w:pPr>
        <w:spacing w:after="0" w:line="103"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7"/>
          <w:szCs w:val="17"/>
          <w:color w:val="auto"/>
        </w:rPr>
        <w:t>Pursuant to our amended and restated certificate of incorporation, public stockholders will be entitled to redeem their subunits for a portion of the trust account if the business combination is consummated. Accordingly, the warrants included in the subunits are subject to forfeiture, without the payment of any additional consideration, if the holder elects to cause us to redeem the subunit of which the warrant forms a part. This is different than in other similarly structured blank check companies where a redeeming stockholder is able to keep any warrants he may still hold, whether included within a unit or held separately. Accordingly, investors may have a disincentive to exercise their redemption rights because they will automatically forfeit the one-quarter warrant included in the subunit.</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we are unable to consummate a business combination, our public stockholders may be forced to wait more than 18 months before receiving distributions from the trust account.</w:t>
      </w:r>
    </w:p>
    <w:p>
      <w:pPr>
        <w:spacing w:after="0" w:line="10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18 months from the closing of this offering in which to complete a business combination. We have no obligation to return funds to investors prior to such date unless we consummate a business combination prior thereto and only then in cases where investors have sought to convert or sell their subunits to us. Only after the expiration of this full time period will public security holders be entitled to distributions from the trust account if we are unable to complete a business combination. Accordingly, investors’ funds may be unavailable to them until after such date and to liquidate your investment, public security holders may be forced to sell their public subunits or warrants, potentially at a loss.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public stockholders may not be afforded an opportunity to vote on our proposed business combination.</w:t>
      </w:r>
    </w:p>
    <w:p>
      <w:pPr>
        <w:spacing w:after="0" w:line="179"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public stockholders may seek to convert their subunits, regardless of whether they vote for or against the proposed business combination or do not vote at all, into their pro rata share of the aggregate amount then on deposit in the trust account (net of taxes payable), or (2) provide our public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elsewhere in this prospectus. Accordingly, it is possible that we will consummate our initial business combination even if holders of a majority of our public subunits do not approve of the business combination we consummate.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blank check companies.</w:t>
      </w:r>
    </w:p>
    <w:p>
      <w:pPr>
        <w:spacing w:after="0" w:line="16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Since the net proceeds of this offering are intended to be used to complete a business combination with a target business that has not been identified, we may be deemed to be a “blank check” company under the United States securities laws. However, since we will have net tangible assets in excess of $5,000,000 upon the successful consummation of this offering and will file a Current Report on Form 8-K, including an audited balance sheet demonstrating this fact,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a business combination within 18 months of the effective date of the initial registration statement and restrict the use of interest earned on the funds held in the trust account. Because we are not subject to Rule 419, our units will be immediately tradable and we will be entitled to withdraw amounts from the funds held in the trust account prior to the completion of a business combination.</w:t>
      </w:r>
    </w:p>
    <w:p>
      <w:pPr>
        <w:spacing w:after="0" w:line="18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If we determine to change our acquisition criteria or guidelines, many of the disclosures contained in this prospectus would not be applicable and you would be investing in our company without any basis on which to evaluate the potential target business we may acquire.</w:t>
      </w:r>
    </w:p>
    <w:p>
      <w:pPr>
        <w:spacing w:after="0" w:line="9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could seek to deviate from the acquisition criteria or guidelines disclosed in this prospectus although we have no current intention to do so. For instance, we currently anticipate acquiring a target business operating in the technology industry. However, we are not obligated to do so and may determine to merge with or acquire a company in another industry if the terms of the transaction are determined by us to be favorable to our public stockholders. In such event, many of the acquisition criteria and guidelines set forth in this prospectus would not be applicable. Accordingly, investors may be making an investment in our company without any basis on which to evaluate the potential target business we may acquire. Regardless of whether or not we deviate from the acquisition criteria or guidelines in connection with any proposed business combination, investors will always be given the opportunity to convert their subunits or sell them to us in a tender offer in connection with any proposed business combination as described in this prospectus.</w:t>
      </w:r>
    </w:p>
    <w:p>
      <w:pPr>
        <w:spacing w:after="0" w:line="185"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We may issue shares of our capital stock to complete a business combination, which would reduce the equity interest of our stockholders and likely cause a change in control of our ownership.</w:t>
      </w:r>
    </w:p>
    <w:p>
      <w:pPr>
        <w:spacing w:after="0" w:line="6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certificate of incorporation authorizes the issuance of up to 100,000,000 shares of common stock, par value $.0001 per share, and 1,000,000 shares of preferred stock, par value $.0001 per share. Immediately after this offering and the purchase of the private units (assuming no exercise of the underwriters’ over-allotment option), there will be 77,995,000 authorized but unissued shares of common stock available for issuance (after appropriate reservation for the issuance of the shares underlying the public and private subunits and warrants) and 1,000,000 authorized but unissued shares of preferred stock available for issuance. Although we have no commitment as of the date of this</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 w:name="page24"/>
    <w:bookmarkEnd w:id="2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offering, we may issue a substantial number of additional shares of common stock or shares of preferred stock, or a combination of common stock and preferred stock, to complete a business combination. The issuance of additional shares of common stock will not reduce the per-subunit conversion amount in the trust account. The issuance of additional shares of common stock or preferred stock in a business combination:</w:t>
      </w:r>
    </w:p>
    <w:p>
      <w:pPr>
        <w:spacing w:after="0" w:line="90" w:lineRule="exact"/>
        <w:rPr>
          <w:sz w:val="20"/>
          <w:szCs w:val="20"/>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this offering;</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89" w:lineRule="exact"/>
        <w:rPr>
          <w:rFonts w:ascii="Arial" w:cs="Arial" w:eastAsia="Arial" w:hAnsi="Arial"/>
          <w:sz w:val="18"/>
          <w:szCs w:val="18"/>
          <w:color w:val="auto"/>
        </w:rPr>
      </w:pPr>
    </w:p>
    <w:p>
      <w:pPr>
        <w:jc w:val="both"/>
        <w:ind w:left="1320" w:right="459" w:hanging="434"/>
        <w:spacing w:after="0" w:line="286" w:lineRule="auto"/>
        <w:tabs>
          <w:tab w:leader="none" w:pos="1338"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97" w:lineRule="exact"/>
        <w:rPr>
          <w:rFonts w:ascii="Arial" w:cs="Arial" w:eastAsia="Arial" w:hAnsi="Arial"/>
          <w:sz w:val="17"/>
          <w:szCs w:val="17"/>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225"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We may issue debt securities to complete a business combination, which could restrict our operations thereafter.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issue debt securities to complete a business combination, it could result in:</w:t>
      </w:r>
    </w:p>
    <w:p>
      <w:pPr>
        <w:spacing w:after="0" w:line="144" w:lineRule="exact"/>
        <w:rPr>
          <w:sz w:val="20"/>
          <w:szCs w:val="20"/>
          <w:color w:val="auto"/>
        </w:rPr>
      </w:pPr>
    </w:p>
    <w:p>
      <w:pPr>
        <w:ind w:left="1320" w:right="479" w:hanging="434"/>
        <w:spacing w:after="0" w:line="277" w:lineRule="auto"/>
        <w:tabs>
          <w:tab w:leader="none" w:pos="1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repay our debt obligations;</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89" w:lineRule="exact"/>
        <w:rPr>
          <w:rFonts w:ascii="Arial" w:cs="Arial" w:eastAsia="Arial" w:hAnsi="Arial"/>
          <w:sz w:val="18"/>
          <w:szCs w:val="18"/>
          <w:color w:val="auto"/>
        </w:rPr>
      </w:pPr>
    </w:p>
    <w:p>
      <w:pPr>
        <w:ind w:left="1320" w:right="459" w:hanging="434"/>
        <w:spacing w:after="0" w:line="308" w:lineRule="auto"/>
        <w:tabs>
          <w:tab w:leader="none" w:pos="1567"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7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we incur indebtedness, our lenders will not have a claim on the cash in the trust account and such indebtedness will not decrease the per-subunit conversion amount in the trust account.</w:t>
      </w:r>
    </w:p>
    <w:p>
      <w:pPr>
        <w:spacing w:after="0" w:line="17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the net proceeds of this offering not being held in trust, together with the interest earned on the funds in the trust account available to us, are insufficient to allow us to operate for at least the next 18 months, we may be unable to complete a business combination.</w:t>
      </w:r>
    </w:p>
    <w:p>
      <w:pPr>
        <w:spacing w:after="0" w:line="11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Of the net proceeds of this offering, only approximately $750,000 will be available to us initially outside the trust account to fund our working capital requirements. We will also have access to interest earned on the funds held in the trust account for taxes. We believe that, upon closing of this offering, such funds will be sufficient to allow us to operate for at least the next 18 months; however, we cannot assure you that our estimate is accurate. Accordingly, if we use all of the funds held outside of the trust account and all interest available to us, we may not have sufficient funds available with which to structure, negotiate or close an initial business combination. In such event, we would need to borrow funds from our sponsor, initial stockholders, officers or directors or their affiliates to operate or may be forced to liquidate. Our sponsor, initial stockholders, officers, directors and their affiliates may, but are not obligated to, loan us funds, from time to time or at any time, in whatever amount that they deem reasonable in their sole discretion for our working capital needs. Each loan would be evidenced by a promissory note. The notes would either be paid upon consummation of our initial business combination, without interest, or, at the holder’s discretion, up to $1,500,000 of the notes may be converted into units at a price of $10.00 per unit.</w:t>
      </w:r>
    </w:p>
    <w:p>
      <w:pPr>
        <w:spacing w:after="0" w:line="18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trust could be reduced and the per-subunit redemption price received by stockholders may be less than $10.00.</w:t>
      </w:r>
    </w:p>
    <w:p>
      <w:pPr>
        <w:spacing w:after="0" w:line="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placing of funds in trust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 w:name="page25"/>
    <w:bookmarkEnd w:id="2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trust could be subject to claims which could take priority over those of our public stockholders. If we are unable to complete a business combination and distribute the proceeds held in trust to our public stockholders, our sponsor has agreed (subject to certain exceptions described elsewhere in this prospectus) that it will be liable to ensure that the proceeds in the trust account are not reduced below $10.00 per subunit by the claims of target businesses or claims of vendors or other entities that are owed money by us for services rendered or contracted for or products sold to us.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As a result, the per-subunit distribution from the trust account may be less than $10.00, plus interest, due to such claims.</w:t>
      </w:r>
    </w:p>
    <w:p>
      <w:pPr>
        <w:spacing w:after="0" w:line="10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may not be able to return to our public stockholders at least $10.00.</w:t>
      </w:r>
    </w:p>
    <w:p>
      <w:pPr>
        <w:spacing w:after="0" w:line="18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shareholders are entitled to receive their pro-rata share of the proceeds held in the trust account, plus any interest income, net of taxes paid or payable. Negative interest rates could reduce the value of the assets held in trust such that the per-share redemption amount received by public shareholders may be less than $10.00 per share.</w:t>
      </w:r>
    </w:p>
    <w:p>
      <w:pPr>
        <w:spacing w:after="0" w:line="17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8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Our amended and restated certificate of incorporation provides that we will continue in existence only until 18 months from the closing of this offering. If we are unable to complete an initial business combination by 18 months, we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us (net of taxes payable), divided by the number of then outstanding public subunits, which redemption will completely extinguish public stockholders’ rights as holders of subunits (including the right to receive further liquidation distributions, if any), subject to applicable law. Public stockholders will also forfeit the one-quarter warrant included in the subunits being redeemed. As promptly as reasonably possible following such redemption, subject to the approval of our remaining stockholders and our board of directors, we will dissolve and liquidate, subject to our obligations under Delaware law to provide for claims of creditors and the requirements of other applicable law.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we cannot assure you that third parties will not seek to recover from our stockholders amounts owed to them by us.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72"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Our directors may decide not to enforce our sponsor’s indemnification obligations, resulting in a reduction in the amount of funds in the trust account available for distribution to our public stockholders.</w:t>
      </w:r>
    </w:p>
    <w:p>
      <w:pPr>
        <w:spacing w:after="0" w:line="5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the event that the proceeds in the trust account are reduced below $10.00 per public subunit and our sponsor asserts that it is unable to satisfy its obligations or that it has no indemnification obligations related to a particular claim, our independent directors would determine whether to take legal action against our sponsor to enforce such indemnification obligations.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subunit.</w:t>
      </w:r>
    </w:p>
    <w:p>
      <w:pPr>
        <w:spacing w:after="0" w:line="177"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If we do not file and maintain a current and effective prospectus relating to the common stock issuable upon exercise of the warrants, holders will only be able to exercise such warrants on a “cashless basis.”</w:t>
      </w:r>
    </w:p>
    <w:p>
      <w:pPr>
        <w:spacing w:after="0" w:line="56"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If we do not file and maintain a current and effective prospectus relating to the common stock issuable upon exercise of the warrants at the time that holders wish to exercise such warrants, they will only be able to exercise them on a “cashless basis” provided that an exemption from registration is available. As a result, the number of shares of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common stock issuable upon exercise of the warrants is available. Under the terms of the warrant agreement, we have agreed to use our best efforts to meet these conditions and to file and maintain a current and effective prospectus relating to the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68"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9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1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of the forum provisions of the warrant agreement, is filed in a court other than a court of the State of New York or the United States District Court for the Southern District of New York in the name of any holder of our warrants, such holder shall be deemed to have consented to: (x) the personal jurisdiction of the state and federal courts located in the State of New York in connection</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 w:name="page27"/>
    <w:bookmarkEnd w:id="2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with any “enforcement action” brought in any such court to enforce the forum provisions, and (y) having service of process made upon such warrant holder in any such enforcement action by service upon such warrant holder’s counsel in the foreign action as agent for such warrant holder.</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9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An investor will only be able to exercise a warrant if the issuance of shares of common stock upon such exercise has been registered or qualified or is deemed exempt under the securities laws of the state of residence of the holder of the warrants.</w:t>
      </w:r>
    </w:p>
    <w:p>
      <w:pPr>
        <w:spacing w:after="0" w:line="11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No warrants will be exercisable and we will not be obligated to issue shares of common stock unless the shares of common stock issuable upon such exercise has been registered or qualified or deemed to be exempt under the securities laws of the state of residence of the holder of the warrants. If the shares of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private warrants may be exercised at a time when the public warrants may not be exercised.</w:t>
      </w:r>
    </w:p>
    <w:p>
      <w:pPr>
        <w:spacing w:after="0" w:line="15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Once the private warrants become exercisable, such warrants may immediately be exercised on a cashless basis, at the holder’s option, so long as they are held by the initial purchasers or their permitted transferees. The public warrants, however, will only be exercisable on a cashless basis at the option of the holders if we fail to register the shares issuable upon exercise of the warrants under the Securities Act within 90 days following the closing of our initial business combination. Accordingly, it is possible that the holders of the private warrants could exercise such warrants at a time when the holders of public warrants could not.</w:t>
      </w:r>
    </w:p>
    <w:p>
      <w:pPr>
        <w:spacing w:after="0" w:line="17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with the approval by the holders of at least 50% of the then outstanding public warrants, including warrants included in the public subunits.</w:t>
      </w:r>
    </w:p>
    <w:p>
      <w:pPr>
        <w:spacing w:after="0" w:line="116"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at least 50% of the then outstanding public warrants, including warrants included in the public subunits, in order to make any change that adversely affects the interests of the registered holders.</w:t>
      </w:r>
    </w:p>
    <w:p>
      <w:pPr>
        <w:spacing w:after="0" w:line="19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144" w:lineRule="exact"/>
        <w:rPr>
          <w:sz w:val="20"/>
          <w:szCs w:val="20"/>
          <w:color w:val="auto"/>
        </w:rPr>
      </w:pPr>
    </w:p>
    <w:p>
      <w:pPr>
        <w:jc w:val="both"/>
        <w:ind w:left="1320" w:right="459" w:hanging="434"/>
        <w:spacing w:after="0" w:line="263" w:lineRule="auto"/>
        <w:tabs>
          <w:tab w:leader="none" w:pos="13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issue additional shares of common stock or equity-linked securities for capital raising purposes in connection with the closing of our initial business combination at an issue price or effective issue price of less than $9.20 per share,</w:t>
      </w:r>
    </w:p>
    <w:p>
      <w:pPr>
        <w:spacing w:after="0" w:line="116" w:lineRule="exact"/>
        <w:rPr>
          <w:rFonts w:ascii="Arial" w:cs="Arial" w:eastAsia="Arial" w:hAnsi="Arial"/>
          <w:sz w:val="18"/>
          <w:szCs w:val="18"/>
          <w:color w:val="auto"/>
        </w:rPr>
      </w:pPr>
    </w:p>
    <w:p>
      <w:pPr>
        <w:jc w:val="both"/>
        <w:ind w:left="1320" w:right="459" w:hanging="434"/>
        <w:spacing w:after="0" w:line="311" w:lineRule="auto"/>
        <w:tabs>
          <w:tab w:leader="none" w:pos="14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then the exercise price of the warrants will be adjusted to be equal to 115% of the higher of the Market Value and the price at which we issue the additional shares of common stock or equity-linked securities, and the $18.00 redemption trigger price will be adjusted to 180% of this amount. This may make it more difficult for us to consummate an initial business combination with a target business.</w:t>
      </w:r>
    </w:p>
    <w:p>
      <w:pPr>
        <w:spacing w:after="0" w:line="18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Since we have not yet selected a particular industry or target business with which to complete a business combination, we are unable to currently ascertain the merits or risks of the industry or business in which we may ultimately operate.</w:t>
      </w:r>
    </w:p>
    <w:p>
      <w:pPr>
        <w:spacing w:after="0" w:line="11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may pursue an acquisition opportunity in any business industry or sector, although we intend to focus on companies in the industry as described in this prospectus.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development stage, we may be affected by numerous risks inherent in the business operations of those entities. If we complete a business combination with an entity in an industry characterized by a high level of risk,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in this offering than a direct investment, if an opportunity were available, in a target business.</w:t>
      </w:r>
    </w:p>
    <w:p>
      <w:pPr>
        <w:spacing w:after="0" w:line="172"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Our ability to successfully effect a business combination and to be successful thereafter will be totally dependent upon the efforts of our key personnel, some of whom may join us following a business combination. While we intend to closely scrutinize any individuals we engage after a business combination, we cannot assure you that our assessment of these individuals will prove to be correct.</w:t>
      </w:r>
    </w:p>
    <w:p>
      <w:pPr>
        <w:spacing w:after="0" w:line="9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ability to successfully effect a business combination is dependent upon the efforts of our key personnel. We believe that our success depends on the continued service of our key personnel, at least until we have consummated our initial business combination. We cannot assure you that any of our key personnel will remain with us for the immediate or foreseeable future. In addition, none of our officers is required to commit any specified amount of time to our affairs and, accordingly, our officers will have conflicts of interest in allocating management time among various business activities, including identifying potential business combinations and monitoring the related due diligence. We do not have employment agreements with, or key-man insurance on the life of, any of our officers. The unexpected loss of the services of our key personnel could have a detrimental effect on us.</w:t>
      </w:r>
    </w:p>
    <w:p>
      <w:pPr>
        <w:spacing w:after="0" w:line="11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role of our key personnel after a business combination, however, cannot presently be ascertained. Although some of our key personnel may serve in senior management or advisory positions following a business combination, it is likely that most, if not all, of the management of the target business will remain in place. While we intend to closely scrutinize any individuals we engage after a business combination, we cannot assure you that our assessment of these individuals will prove to be correct.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officers and directors may not have significant experience or knowledge regarding the jurisdiction or industry of the target business we may seek to acquire.</w:t>
      </w:r>
    </w:p>
    <w:p>
      <w:pPr>
        <w:spacing w:after="0" w:line="10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may consummate a business combination with a target business in any geographic location or industry we choose, although we intend to focus our search for businesses in the technology industry that are compliant with applicable federal, state and local laws and regulation of those jurisdictions in which it is located or operates. We cannot assure you that our officers and directors will have enough experience or have sufficient knowledge relating to the jurisdiction of the target or its industry to make an informed decision regarding a business combination.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a business combination and as a result, may cause them to have conflicts of interest in determining whether a particular business combination is the most advantageous.</w:t>
      </w:r>
    </w:p>
    <w:p>
      <w:pPr>
        <w:spacing w:after="0" w:line="7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key personnel will be able to remain with the company after the consummation of a business combination only if they are able to negotiate employment or consulting agreements or other appropriate arrangements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the company after the consummation of the business combination. The personal and financial interests of such individuals may influence their motivation in identifying and selecting a target business.</w:t>
      </w:r>
    </w:p>
    <w:p>
      <w:pPr>
        <w:spacing w:after="0" w:line="17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Our officers and directors will allocate their time to other businesses thereby causing conflicts of interest in their determination as to how much time to devote to our affairs. This could have a negative impact on our ability to consummate a business combination.</w:t>
      </w:r>
    </w:p>
    <w:p>
      <w:pPr>
        <w:spacing w:after="0" w:line="116"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Our officers and directors will not commit their full time to our affairs. We presently expect each of our officers and directors to devote such amount of time as they reasonably believe is necessary to our business. We do not intend to have any full time employees prior to the consummation of our initial business combination. The foregoing could have a negative impact on our ability to consummate our initial business combination.</w:t>
      </w:r>
    </w:p>
    <w:p>
      <w:pPr>
        <w:spacing w:after="0" w:line="15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officers and directors may have a conflict of interest in determining whether a particular target business is appropriate for a business combination.</w:t>
      </w:r>
    </w:p>
    <w:p>
      <w:pPr>
        <w:spacing w:after="0" w:line="103"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sponsor has waived its right to convert its founder shares or any other shares purchased in this offering or thereafter, or to receive distributions from the trust account with respect to its founder shares upon our liquidation if we are unable to consummate a business combination. Accordingly, the shares acquired prior to this offering, as well as the private units (and underlying securities) and any warrants purchased by our officers or directors in the aftermarket, will be worthless if we do not consummate a business combination. The personal and financial interests of our directors and officers may influence their motivation in timely identifying and selecting a target business and completing a business combination and in determining whether the terms, conditions and timing of a particular business combination are appropriate and in our stockholders’ best interest.</w:t>
      </w:r>
    </w:p>
    <w:p>
      <w:pPr>
        <w:spacing w:after="0" w:line="165"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b w:val="1"/>
          <w:bCs w:val="1"/>
          <w:i w:val="1"/>
          <w:iCs w:val="1"/>
          <w:color w:val="auto"/>
        </w:rPr>
        <w:t>Our officers and directors or their affiliates have pre-existing fiduciary and contractual obligations and may in the future become affiliated with other entities engaged in business activities similar to those intended to be conducted by us (and they may also become affiliated another blank check company that may have acquisition objectives that are similar to ours). Accordingly, they may have conflicts of interest in determining to which entity a particular business opportunity should be presented.</w:t>
      </w:r>
    </w:p>
    <w:p>
      <w:pPr>
        <w:spacing w:after="0" w:line="8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Certain of our officers and directors or their affiliates have pre-existing fiduciary and contractual obligations to other companies. For example, Messrs. Cannon, Long and Sheehan are officers or director of Ackrell SPAC Partners I Co., which is a black check company which completed an IPO in December 2020 raising $139 million, with the stated focus on potential business combinations in the branded fast-moving consumer goods industry.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Additionally, our officers and directors may in the future become affiliated with entities that are engaged in a similar business, including another blank check company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our officers’ and directors’ fiduciary duties under Delaware law. For a more detailed description of our officers’ and directors’ business affiliations and the potential conflicts of interest that you should be aware of, see the sections titled “</w:t>
      </w:r>
      <w:r>
        <w:rPr>
          <w:rFonts w:ascii="Arial" w:cs="Arial" w:eastAsia="Arial" w:hAnsi="Arial"/>
          <w:sz w:val="17"/>
          <w:szCs w:val="17"/>
          <w:i w:val="1"/>
          <w:iCs w:val="1"/>
          <w:color w:val="auto"/>
        </w:rPr>
        <w:t>Management — Directors and</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 Officers</w:t>
      </w:r>
      <w:r>
        <w:rPr>
          <w:rFonts w:ascii="Arial" w:cs="Arial" w:eastAsia="Arial" w:hAnsi="Arial"/>
          <w:sz w:val="17"/>
          <w:szCs w:val="17"/>
          <w:color w:val="auto"/>
        </w:rPr>
        <w:t>” and “</w:t>
      </w:r>
      <w:r>
        <w:rPr>
          <w:rFonts w:ascii="Arial" w:cs="Arial" w:eastAsia="Arial" w:hAnsi="Arial"/>
          <w:sz w:val="17"/>
          <w:szCs w:val="17"/>
          <w:i w:val="1"/>
          <w:iCs w:val="1"/>
          <w:color w:val="auto"/>
        </w:rPr>
        <w:t>Management — Conflicts of Interest</w:t>
      </w:r>
      <w:r>
        <w:rPr>
          <w:rFonts w:ascii="Arial" w:cs="Arial" w:eastAsia="Arial" w:hAnsi="Arial"/>
          <w:sz w:val="17"/>
          <w:szCs w:val="17"/>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EarlyBirdCapital may have a conflict of interest in connection with our initial business combination.</w:t>
      </w:r>
    </w:p>
    <w:p>
      <w:pPr>
        <w:spacing w:after="0" w:line="15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engaged EarlyBirdCapital to assist us in connection with our initial business combination. We will pay EarlyBirdCapital a cash fee for such services in an aggregate amount equal to up to 3.5% of the total gross proceeds raised in the offering only if we consummate our initial business combination. The private units purchased by EarlyBirdCapital and/or its designees and the representative shares issued to EarlyBirdCapital and/or its designees will also be worthless if we do not consummate an initial business combination. These financial interests may result in EarlyBirdCapital having a conflict of interest when providing the services to us in connection with an initial business combination.</w:t>
      </w:r>
    </w:p>
    <w:p>
      <w:pPr>
        <w:spacing w:after="0" w:line="17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03"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units have been approved for listing on Nasdaq. Our units will be listed on Nasdaq on or promptly after the date of this prospectus. Following the date the subunits and warrants are eligible to trade separately, we anticipate that the subunits and warrants will be separately listed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 million)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11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4" w:lineRule="exact"/>
        <w:rPr>
          <w:sz w:val="20"/>
          <w:szCs w:val="20"/>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our units are and eventually our subunits and warrants will be listed on Nasdaq, our units, subunits and warrants are or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disclosure requirements applicable to emerging growth companies will make our subunits less attractive to investors.</w:t>
      </w:r>
    </w:p>
    <w:p>
      <w:pPr>
        <w:spacing w:after="0" w:line="4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 year period or revenues exceed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subunits less attractive because we may rely on these provisions. If some investors find our subunits less attractive as a result, there may be a less active trading market for our subunits and our subunit price may be more volatile.</w:t>
      </w:r>
    </w:p>
    <w:p>
      <w:pPr>
        <w:spacing w:after="0" w:line="16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It is likely we will consummate a business combination with a single target business, although we have the ability to simultaneously acquire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27" w:lineRule="exact"/>
        <w:rPr>
          <w:sz w:val="20"/>
          <w:szCs w:val="20"/>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a business combination.</w:t>
      </w:r>
    </w:p>
    <w:p>
      <w:pPr>
        <w:spacing w:after="0" w:line="116"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Alternatively, if we determine to simultaneously acquire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96"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The ability of our stockholders to exercise their conversion rights or sell their subunits to us in a tender offer may not allow us to effectuate the most desirable business combination or optimize our capital structure.</w:t>
      </w:r>
    </w:p>
    <w:p>
      <w:pPr>
        <w:spacing w:after="0" w:line="1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If our business combination requires us to use substantially all of our cash to pay the purchase price, because we will not know how many stockholders may exercise conversion rights or seek to sell their subunits to us in a tender offer, we may either need to reserve part of the trust account for possible payment upon such conversion, or we may need to arrange third party financing to help fund our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In connection with any vote to approve a business combination, we will offer each public stockholder the option to vote in favor of a proposed business combination and still seek conversion of his, her or its subunits.</w:t>
      </w:r>
    </w:p>
    <w:p>
      <w:pPr>
        <w:spacing w:after="0" w:line="10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connection with any vote to approve a business combination, we will offer each public stockholder (but not our sponsor, officers or directors) the right to have his, her or its subunits converted to cash (subject to the limitations described elsewhere in this prospectus) regardless of whether such stockholder votes for or against such proposed business combination or does not vote at all. The ability to seek conversion while voting in favor of our proposed business combination may make it more likely that we will consummate a business combination.</w:t>
      </w:r>
    </w:p>
    <w:p>
      <w:pPr>
        <w:spacing w:after="0" w:line="192" w:lineRule="exact"/>
        <w:rPr>
          <w:sz w:val="20"/>
          <w:szCs w:val="20"/>
          <w:color w:val="auto"/>
        </w:rPr>
      </w:pPr>
    </w:p>
    <w:p>
      <w:pPr>
        <w:jc w:val="both"/>
        <w:ind w:left="460" w:right="479"/>
        <w:spacing w:after="0" w:line="340" w:lineRule="auto"/>
        <w:rPr>
          <w:sz w:val="20"/>
          <w:szCs w:val="20"/>
          <w:color w:val="auto"/>
        </w:rPr>
      </w:pPr>
      <w:r>
        <w:rPr>
          <w:rFonts w:ascii="Arial" w:cs="Arial" w:eastAsia="Arial" w:hAnsi="Arial"/>
          <w:sz w:val="15"/>
          <w:szCs w:val="15"/>
          <w:b w:val="1"/>
          <w:bCs w:val="1"/>
          <w:i w:val="1"/>
          <w:iCs w:val="1"/>
          <w:color w:val="auto"/>
        </w:rPr>
        <w:t>We do not have a specified maximum conversion threshold. The absence of such a conversion threshold may make it easier for us to consummate a business combination even where a substantial number of public stockholders seek to convert their shares to cash in connection with the vote on the business combination.</w:t>
      </w:r>
    </w:p>
    <w:p>
      <w:pPr>
        <w:spacing w:after="0" w:line="63"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have no specified percentage threshold for conversion in our amended and restated certificate of incorporation. As a result, we may be able to consummate a business combination even though a substantial number of our public stockholders do not agree with the transaction and have converted their shares. However, in no event will we consummate an initial business combination unless we have net tangible assets of at least $5,000,001 immediately prior to or upon consummation of our initial business combination.</w:t>
      </w:r>
    </w:p>
    <w:p>
      <w:pPr>
        <w:spacing w:after="0" w:line="161"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In connection with any stockholder meeting called to approve a proposed initial business combination, we may require stockholders who wish to convert their subunits in connection with a proposed business combination to comply with specific requirements for conversion that may make it more difficult for them to exercise their conversion rights prior to the deadline for exercising their rights.</w:t>
      </w:r>
    </w:p>
    <w:p>
      <w:pPr>
        <w:spacing w:after="0" w:line="90"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stockholder meeting called to approve a proposed initial business combination, each public stockholder will have the right, regardless of whether he or she is voting for or against such proposed business combination or does not vote at all, to demand that we convert his or her subunits into a pro rata share of the trust account as of two business days prior to the consummation of the initial business combination. However, any stockholder redeeming its subunits will forfeit the one-quarter of a warrant included in such subunit, without the payment of any additional consideration. We may require public stockholders who wish to convert their subunits in connection with a proposed business combination to either (i) tender their certificates to our transfer agent or (ii) deliver their subunits to the transfer agent electronically using the Depository Trust Company’s DWAC (Deposit/Withdrawal At Custodian) System, at the holders’ option, in each case prior to a date set forth in the tender offer documents or proxy materials sent in connection with the proposal to approve the business combination. In order to obtain a physical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subunits through the DWAC System, we cannot assure you of this fact. Accordingly, if it takes longer than we anticipate for stockholders to deliver their subunits, stockholders who wish to convert may be unable to meet the deadline for exercising their conversion rights and thus may be unable to convert their subunits.</w:t>
      </w:r>
    </w:p>
    <w:p>
      <w:pPr>
        <w:spacing w:after="0" w:line="18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If, in connection with any stockholder meeting called to approve a proposed business combination, we require public stockholders who wish to convert their subunits to comply with specific requirements for conversion, such converting stockholders may be unable to sell their securities when they wish to in the event that the proposed business combination is not approved.</w:t>
      </w:r>
    </w:p>
    <w:p>
      <w:pPr>
        <w:spacing w:after="0" w:line="9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we require public stockholders who wish to convert their subunits to comply with specific requirements for conversion and such proposed business combination is not consummated, we will promptly return such certificates to the tendering public stockholders. Accordingly, investors who attempted to convert their subunits in such a circumstance will be unable to sell their securities after the failed acquisition until we have returned their securities to them. The market price for our subunits may decline during this time and you may not be able to sell your securities when you wish to, even while other stockholders that did not seek conversion may be able to sell their securities.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8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that there are numerous potential target businesses that we could acquire with the net proceeds of this offering, our ability to compete in acquiring certain sizable target businesses will be limited by our available financial resources. This inherent competitive limitation gives others an advantage in pursuing the acquisition of certain target businesses. Furthermore, seeking stockholder approval or engaging in a tender offer in connection with any proposed business combination may delay the consummation of such a transaction. Additionally, our outstanding warrants, and the future dilution they potentially represent, may not be viewed favorably by certain target businesses. Any of the foregoing may place us at a competitive disadvantage in successfully negotiating a business combination.</w:t>
      </w:r>
    </w:p>
    <w:p>
      <w:pPr>
        <w:spacing w:after="0" w:line="18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a business combination or to fund the operations and growth of the target business, which could compel us to restructure or abandon a particular business combination.</w:t>
      </w:r>
    </w:p>
    <w:p>
      <w:pPr>
        <w:spacing w:after="0" w:line="11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believe that the net proceeds of this offering, together with interest earned on the funds held in the trust account available to us to pay our income or other tax obligations, will be sufficient to allow us to consummate a business combination, because we have not yet identified any prospective target business, we cannot ascertain the capital requirements for any particular transaction. If the net proceeds of this offering prove to be insufficient, either because of the size of the business combination, the depletion of the available net proceeds in search of a target business, or the obligation to convert into cash a significant number of subunits from dissenting stockholders,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sponsor, officers, directors or stockholders is required to provide any financing to us in connection with or after a business combination.</w:t>
      </w:r>
    </w:p>
    <w:p>
      <w:pPr>
        <w:spacing w:after="0" w:line="17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initial stockholders will control a substantial interest in us and thus may influence certain actions requiring a stockholder vote.</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consummation of our offering, our initial stockholders will own approximately 21.1% of our issued and outstanding shares of common stock (assuming they do not purchase any units in this offering and assuming the over-allotment option is not exercised). None of our sponsor, officers, directors, initial stockholders or their affiliates have indicated any intention to purchase units in this offering or any units, subunits or warrants from persons in the open market or in private transactions. However, our sponsor, officers, directors, initial stockholders or their affiliates could determine in the future to make such purchases in the open market or in private transactions, to the extent permitted by law, in order to influence the vote or magnitude of the number of stockholders seeking to tender their subunits to us. In connection with any vote for a proposed business combination, our initial stockholders, as well as all of our officers and directors, have agreed to vote their founder shares and shares of common stock included in subunits owned by them immediately before this offering as well as any shares of common stock included in subunits acquired in this offering or in the aftermarket in favor of such proposed business combination.</w:t>
      </w:r>
    </w:p>
    <w:p>
      <w:pPr>
        <w:spacing w:after="0" w:line="9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a business combination, in which case all of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93" w:lineRule="auto"/>
        <w:rPr>
          <w:sz w:val="20"/>
          <w:szCs w:val="20"/>
          <w:color w:val="auto"/>
        </w:rPr>
      </w:pPr>
      <w:r>
        <w:rPr>
          <w:rFonts w:ascii="Arial" w:cs="Arial" w:eastAsia="Arial" w:hAnsi="Arial"/>
          <w:sz w:val="16"/>
          <w:szCs w:val="16"/>
          <w:color w:val="auto"/>
        </w:rPr>
        <w:t>current directors will continue in office until at least the consummation of the business combination. Accordingly, you may not be able to exercise your voting rights under corporate law for up to 18 months from the closing of this offering. If there is an annual meeting, as a consequence of our “staggered” board of directors, only a minority of the board of directors will be considered for election and our sponsor, because of their ownership position, will have considerable influence regarding the outcome. Accordingly, our initial stockholders will continue to exert control at least until the consummation of a business combination.</w:t>
      </w:r>
    </w:p>
    <w:p>
      <w:pPr>
        <w:spacing w:after="0" w:line="16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Our initial stockholders and the holders of the representative shares paid a nominal price for the founder shares and representative shares and, accordingly, you will experience immediate and substantial dilution from the purchase of our shares of common stock.</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share of common stock after this offering constitutes the dilution to the investors in this offering. Our initial stockholders and the holders of the representative shares acquired the founder shares and representative shares at a nominal price, significantly contributing to this dilution. Upon consummation of this offering, you and the other new investors will incur an immediate and substantial dilution of approximately 88.2% or $8.82 per share (the difference between the pro forma net tangible book value per share $1.18, and the initial offering price of $10.00 per unit). This is because investors in this offering will be contributing approximately 96.8% of the total amount paid to us for our outstanding securities after this offering but will only own approximately 75.9% of our outstanding securities (assuming the over-allotment option is not exercised) and this becomes exacerbated to the extent that public stockholders seek to convert their subunits into a pro rata share of the trust proceeds. Accordingly, the per-share purchase price you will be paying substantially exceeds our per share net tangible book value.</w:t>
      </w:r>
    </w:p>
    <w:p>
      <w:pPr>
        <w:spacing w:after="0" w:line="17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outstanding warrants may have an adverse effect on the market price of our subunits and make it more difficult to effect a business combination.</w:t>
      </w:r>
    </w:p>
    <w:p>
      <w:pPr>
        <w:spacing w:after="0" w:line="10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will be issuing warrants to purchase an aggregate of 6,000,000 shares of common stock as part of the units and subunits offered by this prospectus and private warrants to purchase an aggregate of 195,000 shares of common stock. We may also issue other units to our sponsor, initial stockholders, officers, directors or their affiliates in payment of working capital loans made to us as described in this prospectus. To the extent we issue shares of common stock to effect a business combination, the potential for the issuance of a substantial number of additional shares upon exercise of these warrants could make us a less attractive acquisition vehicle in the eyes of a target business. Such securities, when exercised, will increase the number of issued and outstanding shares of common stock and reduce the value of the shares issued to complete the business combination. Accordingly, our warrants may make it more difficult to effectuate a business combination or increase the cost of acquiring the target business. Additionally, the sale, or even the possibility of sale, of the shares underlying the warrants could have an adverse effect on the market price for our securities or on our ability to obtain future financing. If and to the extent these warrants are exercised, you may experience dilution to your holdings.</w:t>
      </w:r>
    </w:p>
    <w:p>
      <w:pPr>
        <w:spacing w:after="0" w:line="16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8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have the ability to redeem outstanding warrants (excluding the private warrants and any warrants underlying additional units issued to our sponsor, officers or directors in payment of working capital loans made to us) at any time after they become exercisable and prior to their expiration, at a price of $0.01 per warrant, provided that the last reported sales price of the common stock equals or exceeds $18.00 per share (as adjusted for stock splits, stock dividends, reorganizations and recapitalizations) for any 20 trading days within a 30 trading-day period commencing once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(or any warrants underlying additional units issued to our sponsor, officers or directors in payment of working capital loans made to us) will be redeemable by us so long as they are held by the initial purchasers or their permitted transferees.</w:t>
      </w:r>
    </w:p>
    <w:p>
      <w:pPr>
        <w:spacing w:after="0" w:line="178"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b w:val="1"/>
          <w:bCs w:val="1"/>
          <w:i w:val="1"/>
          <w:i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9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If we call our public warrants for redemption after the redemption criteria described elsewhere in this prospectus have been satisfied, our management will have the option to require any holder that wishes to exercise his warrant (including any private warrants)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“upside” of the holder’s investment in our company.</w:t>
      </w:r>
    </w:p>
    <w:p>
      <w:pPr>
        <w:spacing w:after="0" w:line="16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our security holders exercise their registration rights, it may have an adverse effect on the market price of our shares of common stock and the existence of these rights may make it more difficult to effect a business combination.</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initial stockholders are entitled to make a demand that we register the resale of the founder shares at any time commencing three months prior to the date on which their shares may be released from escrow. Additionally, the holders of representative shares, the private units and any units our sponsor, initial stockholders, officers, directors, or their affiliates may be issued in payment of working capital loans made to us, are entitled to demand that we register the resale of the representative shares, private units and any other units we issue to them (and the underlying securities) commencing at any time after we consummate an initial business combination. The presence of these additional securities trading in the public market may have an adverse effect on the market price of our securities. In addition, the existence of these rights may make it more difficult to effectuate a business combination or increase the cost of acquiring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securities.</w:t>
      </w:r>
    </w:p>
    <w:p>
      <w:pPr>
        <w:spacing w:after="0" w:line="17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a business combination.</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 company that, among other things, is or holds itself out as being engaged primarily, or proposes to engage primarily, in the business of investing, reinvesting, owning, trading or holding certain types of securities would be deemed an investment company under the Investment Company Act, as amended, or the Investment Company Act. Since we will invest the proceeds held in the trust account, it is possible that we could be deemed an investment company. Notwithstanding the foregoing, we do not believe that our anticipated principal activities will subject us to the Investment Company Act. To this end, the proceeds held in trust may be invested by the trustee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By restricting the investment of the proceeds to these instruments, we intend to meet the requirements for the exemption provided in Rule 3a-1 promulgated under the Investment Company Act.</w:t>
      </w:r>
    </w:p>
    <w:p>
      <w:pPr>
        <w:spacing w:after="0" w:line="11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we are nevertheless deemed to be an investment company under the Investment Company Act, we may be subject to certain restrictions that may make it more difficult for us to complete a business combination, including:</w:t>
      </w:r>
    </w:p>
    <w:p>
      <w:pPr>
        <w:spacing w:after="0" w:line="116" w:lineRule="exact"/>
        <w:rPr>
          <w:sz w:val="20"/>
          <w:szCs w:val="20"/>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158" w:lineRule="exact"/>
        <w:rPr>
          <w:sz w:val="20"/>
          <w:szCs w:val="20"/>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5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reporting, record keeping, voting, proxy, compliance policies and procedures and disclosure requirements and other rules and regulations.</w:t>
      </w:r>
    </w:p>
    <w:p>
      <w:pPr>
        <w:spacing w:after="0" w:line="103"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Compliance with these additional regulatory burdens would require additional expense for which we have not allotted.</w:t>
      </w:r>
    </w:p>
    <w:p>
      <w:pPr>
        <w:spacing w:after="0" w:line="17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Our search for an initial business combination, and any target business with which we ultimately consummate an initial business combination, may be materially adversely affected by the coronavirus (COVID-19) pandemic and other events, and the status of debt and equity markets.</w:t>
      </w:r>
    </w:p>
    <w:p>
      <w:pPr>
        <w:spacing w:after="0" w:line="9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coronavirus disease (COVID-19) pandemic has adversely affected, and other events (such as terrorist attacks, natural disasters or a significant outbreak of other infectious diseases) could adversely affect, the economies and financial markets worldwide, and the business of any potential target business with which we consummate an initial business combination could be materially and adversely affected. Furthermore, we may be unable to complete an initial business combination if concerns relating to COVID-19 continue to restrict travel, limit the ability to have meetings with potential investors or the target company’s personnel, vendors and services providers are unavailable</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to negotiate and consummate a transaction in a timely manner. The extent to which COVID-19 impacts our search for an initial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events (such as terrorist attacks, natural disasters or a significant outbreak of other infectious diseases) continue for an extensive period of time, our ability to consummate an initial business combination, or the operations of a target business with which we ultimately consummate an initial business combination, may be materially adversely affected.</w:t>
      </w:r>
    </w:p>
    <w:p>
      <w:pPr>
        <w:spacing w:after="0" w:line="12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In addition, our ability to consummate a transaction may be dependent on our ability to raise additional equity and debt financing which may be impacted by COVID-19 and other events (such as terrorist attacks, natural disasters or a significant outbreak of other infectious diseases), including as a result of increased market volatility, decreased market liquidity in third-party financing being unavailable on terms acceptable to us or at all.</w:t>
      </w:r>
    </w:p>
    <w:p>
      <w:pPr>
        <w:spacing w:after="0" w:line="18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Because there are numerous companies with business plans similar to ours seeking to effectuate business combinations, it may be more difficult for us to do so.</w:t>
      </w:r>
    </w:p>
    <w:p>
      <w:pPr>
        <w:spacing w:after="0" w:line="10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In 2020, based upon publicly available information, in excess of 240 blank check companies similarly structured to us completed initial public offerings, and many others have filed registration statements for initial public offerings that were completed in the beginning of 2021. Very few of these companies have consummated a business combination. Accordingly, there are many other blank check companies that are seeking to carry out a business plan similar to our business plan. While, like us, some of those companies may focus on specific industries, all of them, like us, may consummate a business combination in any industry they choose. We may, therefore, be subject to competition from these and other companies with a business plan similar to ours, which, as a result, may increase demand for privately-held companies to combine with companies structured similarly to ours. However, it is also possible that there are only a limited number of attractive target businesses available to such entities, or that many privately-held target businesses may not be inclined to enter into business combinations with publicly held blank check companies like us. We cannot assure you that we will be able to successfully compete for an attractive business combination. Additionally, because of this competition, we cannot assure you that we will be able to effectuate a business combination within the required time periods. If we are unable to find a suitable target business within such time periods, we will be forced to liquidate.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determination for the offering price of our units is more arbitrary than the pricing of securities for an operating company in a particular industry.</w:t>
      </w:r>
    </w:p>
    <w:p>
      <w:pPr>
        <w:spacing w:after="0" w:line="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subunits and warrants were negotiated between us and EarlyBirdCapital. Factors considered in determining the prices and terms of the units, including the securities underlying the units, include:</w:t>
      </w:r>
    </w:p>
    <w:p>
      <w:pPr>
        <w:spacing w:after="0" w:line="119" w:lineRule="exact"/>
        <w:rPr>
          <w:sz w:val="20"/>
          <w:szCs w:val="20"/>
          <w:color w:val="auto"/>
        </w:rPr>
      </w:pPr>
    </w:p>
    <w:p>
      <w:pPr>
        <w:ind w:left="1320" w:right="479" w:hanging="434"/>
        <w:spacing w:after="0" w:line="277" w:lineRule="auto"/>
        <w:tabs>
          <w:tab w:leader="none" w:pos="15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 and</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8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If we do not conduct an adequate due diligence investigation of a target business, we may be required to subsequently take write-downs or write-offs or incur restructuring, impairment or other charges that could have a significant negative effect on our financial condition, results of operations and our stock price, which could cause you to lose some or all of your investment.</w:t>
      </w:r>
    </w:p>
    <w:p>
      <w:pPr>
        <w:spacing w:after="0" w:line="10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must conduct a due diligence investigation of the target businesses we intend to acquire. Intensive due diligence is time consuming and expensive due to the operations, accounting, finance and legal professionals who must be involved in the due diligence process. Even if we conduct extensive due diligence on a target business, this diligence may not reveal all material issues that may affect a particular target business, and factors outside the control of the target business and outside of our control may later arise. If our diligence fails to identify issues specific to a target business, industry or the environment in which the target business operates, we may be forced to later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common stock.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68"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The requirement that we complete an initial business combination within 18 months from the closing of this offering may give potential target businesses leverage over us in negotiating a business combination.</w:t>
      </w:r>
    </w:p>
    <w:p>
      <w:pPr>
        <w:spacing w:after="0" w:line="1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have 18 months to complete an initial business combination from the closing of this offering.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9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116"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We will only be required to obtain a fairness opinion with respect to the target business that we seek to acquire if it is an entity that is affiliated with any of our sponsor, initial stockholders, officers, directors or their affiliates. In all other instances, we will have no obligation to obtain an opinion. Accordingly, investors will be relying solely on the judgment of our board of directors in approving a proposed business combination.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Resources could be spent researching acquisitions that are not consummated, which could materially adversely affect subsequent attempts to locate and acquire or merge with another business.</w:t>
      </w:r>
    </w:p>
    <w:p>
      <w:pPr>
        <w:spacing w:after="0" w:line="43"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It is anticipated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a decision is made not to complete a specific business combination, the costs incurred up to that point for the proposed transaction likely would not be recoverable. Furthermore, even if an agreement is reached relating to a specific target business, we may fail to consummate the business combination for any number of reasons including those beyond our control. Any such event will result in a loss to us of the related costs incurred which could materially adversely affect subsequent attempts to locate and acquire or merge with another business.</w:t>
      </w:r>
    </w:p>
    <w:p>
      <w:pPr>
        <w:spacing w:after="0" w:line="16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Compliance with the Sarbanes-Oxley Act of 2002 will require substantial financial and management resources and may increase the time and costs of completing an acquisition.</w:t>
      </w:r>
    </w:p>
    <w:p>
      <w:pPr>
        <w:spacing w:after="0" w:line="103"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Section 404 of the Sarbanes-Oxley Act of 2002 requires that we evaluate and report on our system of internal controls and may require that we have such system of internal controls audited beginning with our Annual Report on Form 10-K for the year ending December 31, 2022. If we fail to maintain the adequacy of our internal controls,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controls.</w:t>
      </w:r>
    </w:p>
    <w:p>
      <w:pPr>
        <w:spacing w:after="0" w:line="12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Furthermore, any failure to implement required new or improved controls, or difficulties encountered in the implementation of adequate controls over our financial processes and reporting in the future, could harm our operating results or cause us to fail to meet our reporting obligations.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in a foreign jurisdiction, we would be subject to a variety of additional risks that may negatively impact our operations.</w:t>
      </w:r>
    </w:p>
    <w:p>
      <w:pPr>
        <w:spacing w:after="0" w:line="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If we are successful in consummating a business combination with a target business in a foreign country, we would be subject to any special considerations or risks associated with companies operating in the target business’ home jurisdiction, including any of the following:</w:t>
      </w:r>
    </w:p>
    <w:p>
      <w:pPr>
        <w:spacing w:after="0" w:line="116" w:lineRule="exact"/>
        <w:rPr>
          <w:sz w:val="20"/>
          <w:szCs w:val="20"/>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tax issues, such as tax law changes and variations in tax laws as compared to the United States;</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We cannot assure you that we would be able to adequately address these additional risks. If we were unable to do so, our operations might suffer.</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0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If we effect a business combination with a company located outside of the United States, the laws of the country in which such company operates will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6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1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amended and restated certificate of incorporation and bylaws contain provisions that may discourage unsolicited takeover proposals that stockholders may consider to be in their best interests. Our board of directors is divided into three classes, each of which will generally serve for a term of three years with only one class of directors being elected in each year. As a result, at a given annual meeting only a minority of the board of directors may be considered for election. Since our “staggered board” may prevent our stockholders from replacing a majority of our board of directors at any given annual meeting, it may entrench management and discourage unsolicited stockholder proposals that may be in the best interests of stockholders. Moreover, our board of directors has the ability to designate the terms of and issue new series of preferred stock.</w:t>
      </w:r>
    </w:p>
    <w:p>
      <w:pPr>
        <w:spacing w:after="0" w:line="98"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49"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will not be able to complete a business combination with prospective target businesses unless their financial statements are prepared in accordance with U.S. generally accepted accounting principles or international financial reporting standards.</w:t>
      </w:r>
    </w:p>
    <w:p>
      <w:pPr>
        <w:spacing w:after="0" w:line="10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or GAAP, or international financial reporting standards, or IFRS,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Additionally, to the extent we furnish our stockholders with financial statements prepared in accordance with IFRS, such financial statements will need to be audited in accordance with U.S. GAAP at the time of the consummation of the business combination. These financial statement requirements may limit the pool of potential target businesses we may acquire.</w:t>
      </w:r>
    </w:p>
    <w:p>
      <w:pPr>
        <w:spacing w:after="0" w:line="17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03"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ectPr>
          <w:pgSz w:w="11900" w:h="16838" w:orient="portrait"/>
          <w:cols w:equalWidth="0" w:num="1">
            <w:col w:w="9019"/>
          </w:cols>
          <w:pgMar w:left="1440" w:top="274"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 w:name="page40"/>
    <w:bookmarkEnd w:id="3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may be tax consequences to our business combinations that may adversely affect us.</w:t>
      </w:r>
    </w:p>
    <w:p>
      <w:pPr>
        <w:spacing w:after="0" w:line="158"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While we expect to undertake any merger or acquisition so as to minimize taxes both to the acquired business and/or asset and us, such business combination might not meet the statutory requirements of a tax-free reorganization, or the parties might not obtain the intended tax-free treatment upon a transfer of shares or assets. A non-qualifying reorganization could result in the imposition of substantial taxes.</w:t>
      </w:r>
    </w:p>
    <w:p>
      <w:pPr>
        <w:spacing w:after="0" w:line="171"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An investment in this offering may involve adverse U.S. federal income tax consequences because the redemption price per subunit is greater than an investor’s initial tax basis in a subunit.</w:t>
      </w:r>
    </w:p>
    <w:p>
      <w:pPr>
        <w:spacing w:after="0" w:line="79"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Although we intend to take a contrary position, if our subunits are not viewed as participating in our corporate growth (i.e. our future earnings or increases in our net asset value) to any significant extent (other than by reason of any “conversion” feature) due to our limited potential for corporate growth prior to a business combination, there is a risk that an investor’s entitlement to receive payments upon a redemption of its subunits in excess of the investor’s initial tax basis in its subunits (see “Taxation — Material U.S. Federal Income Tax Considerations — Allocation of Purchase Price of a Unit and Characterization of a Unit and its Components”) will result in constructive income to the investor. This could affect the timing and character of income recognition and result in U.S. federal income tax liability to the investor without the investor’s receipt of cash from us. Prospective investors are urged to consult their own tax advisors with respect to these tax risks, as well as the specific tax consequences to them of purchasing, holding or disposing of our securities.</w:t>
      </w:r>
    </w:p>
    <w:p>
      <w:pPr>
        <w:spacing w:after="0" w:line="16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9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 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0" w:name="page41"/>
    <w:bookmarkEnd w:id="4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7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Cyber incidents or attacks directed at us could result in information theft, data corruption, operational disruption and/or financial loss.</w:t>
      </w:r>
    </w:p>
    <w:p>
      <w:pPr>
        <w:spacing w:after="0" w:line="103"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96"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We may seek business combination opportunities in industries outside of the technology industry and related sectors (which may or may not be outside of our management’s areas of expertise).</w:t>
      </w:r>
    </w:p>
    <w:p>
      <w:pPr>
        <w:spacing w:after="0" w:line="7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intend to focus our search for a target business or businesses in the technology industry and related sectors. Because we have not yet identified or approached any specific target business or industry, we cannot provide specific risks of any business combination. However, risks inherent in investments in the technology industry include, but are not limited to, the following:</w:t>
      </w:r>
    </w:p>
    <w:p>
      <w:pPr>
        <w:spacing w:after="0" w:line="106" w:lineRule="exact"/>
        <w:rPr>
          <w:sz w:val="20"/>
          <w:szCs w:val="20"/>
          <w:color w:val="auto"/>
        </w:rPr>
      </w:pPr>
    </w:p>
    <w:p>
      <w:pPr>
        <w:ind w:left="1320" w:right="479" w:hanging="434"/>
        <w:spacing w:after="0" w:line="277" w:lineRule="auto"/>
        <w:tabs>
          <w:tab w:leader="none" w:pos="1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competition in the industry, which could cause a loss of market share, lower prices or an increase in advertising and promotional expenditures;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predict, identify and interpret changes in technology trends or preferences and develop and offer new competitive products rapidly enough to meet those changes;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 global economic conditions decreasing demand for products or causing customers and other business partners to suffer financial hardship;</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optimize the supply chain or disruption of the supply chain;</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fluctuations, including due to changes in the costs of labor, transportation, energy, pension and healthcare;</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recalls or product liability claims should products prove defective;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changes in customer relationships or in end user demand for products;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maintain and expand reputation and brand image;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Reliance on third parties, such as suppliers, distributors and contractors, for certain functions; and</w:t>
      </w:r>
    </w:p>
    <w:p>
      <w:pPr>
        <w:spacing w:after="0" w:line="180" w:lineRule="exact"/>
        <w:rPr>
          <w:rFonts w:ascii="Arial" w:cs="Arial" w:eastAsia="Arial" w:hAnsi="Arial"/>
          <w:sz w:val="16"/>
          <w:szCs w:val="16"/>
          <w:color w:val="auto"/>
        </w:rPr>
      </w:pPr>
    </w:p>
    <w:p>
      <w:pPr>
        <w:ind w:left="1320" w:right="479" w:hanging="434"/>
        <w:spacing w:after="0" w:line="277" w:lineRule="auto"/>
        <w:tabs>
          <w:tab w:leader="none" w:pos="14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obtain, maintain and enforce necessary intellectual property protections and to avoid infringing upon the intellectual property rights of others.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We may seek business combination opportunities in industries outside of the technology industry and related sectors (which may or may not be outside of our management’s areas of expertise).</w:t>
      </w:r>
    </w:p>
    <w:p>
      <w:pPr>
        <w:spacing w:after="0" w:line="6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intend to focus on identifying business combination candidates in the technology industry and related sectors, we will consider a business combination outside of the technology industry and related sectors if a business combination candidate is presented to us and we determine that such candidate offers an attractive acquisition opportunity for our company or we are unable to identify a suitable candidate in the technology industry and related sectors after having expended a reasonable amount of time and effort in an attempt to do so.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an initial business combination outside of the technology industry and related sectors, our management’s expertise may not be directly applicable to its evaluation or operation, and the information contained herein regarding the technology industry and related sectors would not be relevant to an understanding of the initial business combination we elect to consummate.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13"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in the technology industry;</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 and other benefits;</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5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a business combination in the technology industry;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 in the technology industry;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changes in control of us if we acquire one or more target businesses for stock;</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use of proceeds not held in the trust account or available to us from interest income on the trust account balance; or</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financial performance following this offering or following our initial business combination.</w:t>
      </w:r>
    </w:p>
    <w:p>
      <w:pPr>
        <w:spacing w:after="0" w:line="16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479"/>
        <w:spacing w:after="0" w:line="342" w:lineRule="auto"/>
        <w:rPr>
          <w:sz w:val="20"/>
          <w:szCs w:val="20"/>
          <w:color w:val="auto"/>
        </w:rPr>
      </w:pPr>
      <w:r>
        <w:rPr>
          <w:rFonts w:ascii="Arial" w:cs="Arial" w:eastAsia="Arial" w:hAnsi="Arial"/>
          <w:sz w:val="16"/>
          <w:szCs w:val="16"/>
          <w:color w:val="auto"/>
        </w:rPr>
        <w:t>We estimate that the net proceeds of this offering, in addition to the funds we will receive from the sale of the private units (all of which will be deposited into the trust account), will be as set forth in the following table:</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2520" w:type="dxa"/>
            <w:vAlign w:val="bottom"/>
            <w:gridSpan w:val="10"/>
          </w:tcPr>
          <w:p>
            <w:pPr>
              <w:jc w:val="right"/>
              <w:ind w:right="80"/>
              <w:spacing w:after="0"/>
              <w:rPr>
                <w:sz w:val="20"/>
                <w:szCs w:val="20"/>
                <w:color w:val="auto"/>
              </w:rPr>
            </w:pPr>
            <w:r>
              <w:rPr>
                <w:rFonts w:ascii="Arial" w:cs="Arial" w:eastAsia="Arial" w:hAnsi="Arial"/>
                <w:sz w:val="16"/>
                <w:szCs w:val="16"/>
                <w:b w:val="1"/>
                <w:bCs w:val="1"/>
                <w:color w:val="auto"/>
                <w:w w:val="98"/>
              </w:rPr>
              <w:t>Over-Allotment   Over-Allotment</w:t>
            </w:r>
          </w:p>
        </w:tc>
      </w:t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124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Option Exercised</w:t>
            </w: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From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120,000,000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138,000,000</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From private placement</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3,900,000</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4,260,000</w:t>
            </w: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Total gross proceeds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123,900,000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142,260,000</w:t>
            </w:r>
          </w:p>
        </w:tc>
        <w:tc>
          <w:tcPr>
            <w:tcW w:w="160" w:type="dxa"/>
            <w:vAlign w:val="bottom"/>
          </w:tcPr>
          <w:p>
            <w:pPr>
              <w:spacing w:after="0"/>
              <w:rPr>
                <w:sz w:val="19"/>
                <w:szCs w:val="19"/>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8"/>
              </w:rPr>
              <w:t>Underwriting discount payable at closing (2.0% of gross proceeds from</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1"/>
        </w:trPr>
        <w:tc>
          <w:tcPr>
            <w:tcW w:w="5580" w:type="dxa"/>
            <w:vAlign w:val="bottom"/>
          </w:tcPr>
          <w:p>
            <w:pPr>
              <w:ind w:left="180"/>
              <w:spacing w:after="0"/>
              <w:rPr>
                <w:sz w:val="20"/>
                <w:szCs w:val="20"/>
                <w:color w:val="auto"/>
              </w:rPr>
            </w:pPr>
            <w:r>
              <w:rPr>
                <w:rFonts w:ascii="Arial" w:cs="Arial" w:eastAsia="Arial" w:hAnsi="Arial"/>
                <w:sz w:val="18"/>
                <w:szCs w:val="18"/>
                <w:color w:val="auto"/>
              </w:rPr>
              <w:t>units offered to public)</w:t>
            </w:r>
          </w:p>
        </w:tc>
        <w:tc>
          <w:tcPr>
            <w:tcW w:w="120" w:type="dxa"/>
            <w:vAlign w:val="bottom"/>
          </w:tcPr>
          <w:p>
            <w:pPr>
              <w:spacing w:after="0"/>
              <w:rPr>
                <w:sz w:val="23"/>
                <w:szCs w:val="2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2,400,000</w:t>
            </w:r>
            <w:r>
              <w:rPr>
                <w:rFonts w:ascii="Arial" w:cs="Arial" w:eastAsia="Arial" w:hAnsi="Arial"/>
                <w:sz w:val="20"/>
                <w:szCs w:val="20"/>
                <w:color w:val="auto"/>
                <w:vertAlign w:val="superscript"/>
              </w:rPr>
              <w:t>(2)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2,760,000</w:t>
            </w:r>
            <w:r>
              <w:rPr>
                <w:rFonts w:ascii="Arial" w:cs="Arial" w:eastAsia="Arial" w:hAnsi="Arial"/>
                <w:sz w:val="20"/>
                <w:szCs w:val="20"/>
                <w:color w:val="auto"/>
                <w:vertAlign w:val="superscript"/>
              </w:rPr>
              <w:t>(2)</w:t>
            </w: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225,000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Nasdaq listing fees (including deferred portion)</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75,000</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35,000</w:t>
            </w: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32,629</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23,714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23,714</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D&amp;O Insurance</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18,657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18,657</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3,150,000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3,510,000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i w:val="1"/>
                <w:iCs w:val="1"/>
                <w:color w:val="auto"/>
              </w:rPr>
              <w:t>Net proceeds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Held in trust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120,000,000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138,000,000</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Not held in trust</w:t>
            </w:r>
          </w:p>
        </w:tc>
        <w:tc>
          <w:tcPr>
            <w:tcW w:w="1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750,000</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net proceeds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120,750,000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138,750,000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00"/>
        </w:trPr>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5"/>
              </w:rPr>
              <w:t>Percentage</w:t>
            </w: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77"/>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Use of net proceeds not held in trust</w:t>
            </w:r>
            <w:r>
              <w:rPr>
                <w:rFonts w:ascii="Arial" w:cs="Arial" w:eastAsia="Arial" w:hAnsi="Arial"/>
                <w:sz w:val="20"/>
                <w:szCs w:val="20"/>
                <w:i w:val="1"/>
                <w:iCs w:val="1"/>
                <w:color w:val="auto"/>
                <w:vertAlign w:val="superscript"/>
              </w:rPr>
              <w:t>(3)(4)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7"/>
              </w:rPr>
              <w:t>Legal, accounting and other expenses attendant to the search for target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businesses and to the due diligence, investigation, structuring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negotiation of a business combination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240,000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32.0%</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Legal, accounting, audit and other fees relating to SEC reporting</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Payment of administrative fee to an affiliate of our Chairman</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($10,000 per month for up to 18 months)</w:t>
            </w:r>
          </w:p>
        </w:tc>
        <w:tc>
          <w:tcPr>
            <w:tcW w:w="12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180,000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150,000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9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portion of the offering expenses, including the SEC registration fee, the FINRA filing fee, the non-refundable portion of the Nasdaq listing fee and a portion of the legal and audit fees, will have been paid from the loan we received from our sponsor described below. These funds will be repaid out of the proceeds of this offering available to us.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discounts or commissions will be paid with respect to the purchase of the private units.</w:t>
      </w:r>
    </w:p>
    <w:p>
      <w:pPr>
        <w:spacing w:after="0" w:line="18" w:lineRule="exact"/>
        <w:rPr>
          <w:rFonts w:ascii="Arial" w:cs="Arial" w:eastAsia="Arial" w:hAnsi="Arial"/>
          <w:sz w:val="16"/>
          <w:szCs w:val="16"/>
          <w:color w:val="auto"/>
        </w:rPr>
      </w:pPr>
    </w:p>
    <w:p>
      <w:pPr>
        <w:jc w:val="both"/>
        <w:ind w:left="880" w:right="459" w:hanging="426"/>
        <w:spacing w:after="0" w:line="281" w:lineRule="auto"/>
        <w:tabs>
          <w:tab w:leader="none" w:pos="9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amount of proceeds not held in trust will remain constant at approximately $750,000 even if the over-allotment option is exercised. The amount in the table above does not include interest available to us from the trust account. The proceeds held in the trust account may be invested only in U.S. government treasury obligations with a maturity of 185 days or less or in money market funds meeting certain conditions under Rule 2a-7 under the Investment Company Act which invest only in direct U.S. government treasury obligations. We estimate that the after-tax interest earned on the trust account will be approximately $100,000 per year, assuming an interest rate of 0.1% per year; however, we can provide no assurances regarding this amount.</w:t>
      </w:r>
    </w:p>
    <w:p>
      <w:pPr>
        <w:spacing w:after="0" w:line="3" w:lineRule="exact"/>
        <w:rPr>
          <w:rFonts w:ascii="Arial" w:cs="Arial" w:eastAsia="Arial" w:hAnsi="Arial"/>
          <w:sz w:val="15"/>
          <w:szCs w:val="15"/>
          <w:color w:val="auto"/>
        </w:rPr>
      </w:pPr>
    </w:p>
    <w:p>
      <w:pPr>
        <w:jc w:val="both"/>
        <w:ind w:left="880" w:right="459" w:hanging="426"/>
        <w:spacing w:after="0" w:line="290" w:lineRule="auto"/>
        <w:tabs>
          <w:tab w:leader="none" w:pos="961"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ectPr>
          <w:pgSz w:w="11900" w:h="16838" w:orient="portrait"/>
          <w:cols w:equalWidth="0" w:num="1">
            <w:col w:w="9019"/>
          </w:cols>
          <w:pgMar w:left="1440" w:top="274" w:right="1440" w:bottom="993"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993" w:gutter="0" w:footer="0" w:header="0"/>
          <w:type w:val="continuous"/>
        </w:sectPr>
      </w:pPr>
    </w:p>
    <w:bookmarkStart w:id="44" w:name="page45"/>
    <w:bookmarkEnd w:id="4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Our sponsor and EarlyBirdCapital have committed that they and/or their designees will purchase the private units (for an aggregate purchase price of $3,900,000) from us on a private placement basis simultaneously with the consummation of this offering. They have also agreed that if the over-allotment option is exercised by the underwriters in full or in part, they will purchase from us an additional number of private units (up to a maximum of 36,000 private units at a price of $10.00 per private unit)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securities) are identical to the units (and underlying securities) sold in this offering subject to certain limited exceptions as described elsewhere in this prospectus. All of the proceeds we receive from these purchases will be placed in the trust account described below.</w:t>
      </w:r>
    </w:p>
    <w:p>
      <w:pPr>
        <w:spacing w:after="0" w:line="10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$120,000,000, or 138,000,000 if the over-allotment option is exercised in full, of net proceeds of this offering and the sale of the private units will be placed in a U.S.-based trust account maintained by Continental Stock Transfer &amp; Trust Company, New York, New York, as trustee. The funds held in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we are not deemed to be an investment company under the Investment Company Act. Except with respect to interest earned on the funds held in the trust account that may be released to us to pay our income or other tax obligations, the proceeds will not be released from the trust account until the earlier of the completion of a business combination or our redemption of 100% of the outstanding public subunits if we have not completed a business combination in the required time period. The proceeds held in the trust account may be used as consideration to pay the sellers of a target business with which we complete a business combination. Any amounts not paid as consideration to the sellers of the target business may be used to finance operations of the target business.</w:t>
      </w:r>
    </w:p>
    <w:p>
      <w:pPr>
        <w:spacing w:after="0" w:line="117"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The payment to an affiliate of our Chief Executive Officer of a monthly fee of $10,000 is for general and administrative services including office space, utilities and secretarial support. This arrangement is being agreed to by such party for our benefit and is not intended to provide our Chairman with compensation in lieu of a salary. We believe, based on rents and fees for similar services in other comparable areas, that the fee charged by such party is at least as favorable as we could have obtained from an unaffiliated person. This arrangement will terminate upon completion of our initial business combination or the distribution of the trust account to our public stockholders.</w:t>
      </w:r>
    </w:p>
    <w:p>
      <w:pPr>
        <w:spacing w:after="0" w:line="11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1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Regardless of whether the over-allotment option is exercised in full, the net proceeds from this offering available to us out of trust for our working capital requirements in searching for a business combination will be approximately $750,000. We intend to use the proceeds for miscellaneous expenses such as paying for director and officer liability insurance premiums and for due diligence, legal, accounting and other expenses of structuring and negotiating business combinations, as well as for reimbursement of any out-of-pocket expenses incurred by our sponsor, officers and directors in connection with activities on our behalf as described above. The allocation of the net proceeds available to us outside of the trust account represents our best estimate of the intended uses of these funds. In the event that our assumptions prove to be inaccurate, we may reallocate some of such proceeds within the above described categories.</w:t>
      </w:r>
    </w:p>
    <w:p>
      <w:pPr>
        <w:spacing w:after="0" w:line="113"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may use substantially all of the net proceeds of this offering, including the funds held in the trust account, to acquire a target business and to pay our expenses relating thereto, including a fee payable to EarlyBirdCapital upon consummation of our initial business combination for assisting us in connection with our initial business combination, as described under the section titled “</w:t>
      </w:r>
      <w:r>
        <w:rPr>
          <w:rFonts w:ascii="Arial" w:cs="Arial" w:eastAsia="Arial" w:hAnsi="Arial"/>
          <w:sz w:val="17"/>
          <w:szCs w:val="17"/>
          <w:i w:val="1"/>
          <w:iCs w:val="1"/>
          <w:color w:val="auto"/>
        </w:rPr>
        <w:t>Underwriting — Business Combination Marketing</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To the extent that our capital stock is used in whole or in part as consideration to effect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the proceeds held in the trust account which are not used to consummate a business combination will be disbursed to the combined company and will, along with any other net proceeds not expended, be used as working capital to finance the operations of the</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target business. Such working capital funds could be used in a variety of ways including continuing or expanding the target business’ operations, for strategic acquisitions and for marketing and research and development of existing or new products.</w:t>
      </w:r>
    </w:p>
    <w:p>
      <w:pPr>
        <w:spacing w:after="0" w:line="11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sponsor has agreed to advance us the funds necessary to complete such liquidation (currently anticipated to be no more than $15,000) and has agreed not to seek repayment of such expenses.</w:t>
      </w:r>
    </w:p>
    <w:p>
      <w:pPr>
        <w:spacing w:after="0" w:line="11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sponsor has agreed to loan us an aggregate of up to $300,000, which will be used to pay a portion of the expenses of this offering referenced in the line items above for SEC registration fee, FINRA filing fee, the non-refundable portion of the Nasdaq listing fee and a portion of the legal and audit fees and expenses. The note governing the loan is non-interest bearing and is payable on the earlier to occur of March 31, 2021, the consummation of this offering, or the abandonment of this offering. The loan will be payable without interest. The loan will be repaid out of the proceeds of this offering available to us for payment of offering expenses. As of the date of this prospectus, no loans had been made to us by our sponsor.</w:t>
      </w:r>
    </w:p>
    <w:p>
      <w:pPr>
        <w:spacing w:after="0" w:line="9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believe that, upon consummation of this offering, we will have sufficient available funds to operate for the next 18 months from the closing of this offering, assuming that a business combination is not consummated during that time. However, if necessary, 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1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A public stockholder will be entitled to receive funds from the trust account (including interest earned on his, her or its portion of the trust account to the extent not previously released to us) only in the event of (i) our redemption of 100% of the outstanding public subunits if we have not completed a business combination in the required time period, (ii) if that public stockholder converts such subunits, or sells such subunits to us in a tender offer, in connection with a business combination which we consummate or (iii) we seek to amend any provisions of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this offering. This redemption right shall apply in the event of the approval of any such amendment to our amended and restated certificate of incorporation, whether proposed by our sponsor, initial stockholders, executive officers, directors or any other person. In no other circumstances will a public stockholder have any right or interest of any kind to or in the trust account.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Further, if we incur any indebtedness, our ability to declare dividends may be limited by restrictive covenants we may agree to in connection therewith.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and subunits we are offering by this prospectus, and the pro forma net tangible book value per share after this offering constitutes the dilution to investors in this offering. Such calculation does not reflect any dilution associated with the sale and exercise of warrants. Net tangible book value per share is determined by dividing our net tangible book value, which is our total tangible assets less total liabilities (including the value of shares of common stock which may be converted into cash or sold in a tender offer), by the number of outstanding shares of common stock.</w:t>
      </w:r>
    </w:p>
    <w:p>
      <w:pPr>
        <w:spacing w:after="0" w:line="127"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At December 31, 2020, after giving effect to the sale of 2,875,000 founder shares that occurred on January 4, 2021 for an aggregate purchase price of $25,000, our net tangible book deficit would have been $716, or approximately a net tangible book deficit of $0.00 per share of common stock. After giving effect to the issuance of the founder shares, the issuance of the 350,000 representative shares, the stock dividend of 0.2 shares of common stock for every share of common stock outstanding, the sale of 12,000,000 shares of common stock included in the subunits we are offering by this prospectus, the sale of the private units and the deduction of underwriting commissions and estimated expenses of this offering, our pro forma net tangible book value at December 31, 2020 would have been $5,000,002 or $1.18 per share, representing an immediate increase in net tangible book value (as decreased by the value of the approximately 11,577,432 shares of common stock included in subunits that may be converted to cash and assuming no exercise of the underwriters’ over-allotment option) of $1.18 per share to our initial stockholders and an immediate dilution of $8.82 per share or 88.2% to our public stockholders not exercising their conversion rights. The decrease attributable to public shares subject to conversion is included in the calculation below at $10.00 per subunit, as all public stockholders have the right to convert.</w:t>
      </w:r>
    </w:p>
    <w:p>
      <w:pPr>
        <w:spacing w:after="0" w:line="11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warrants included in the units: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Without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Over-allotment</w:t>
            </w:r>
          </w:p>
        </w:tc>
        <w:tc>
          <w:tcPr>
            <w:tcW w:w="10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Over-allotment</w:t>
            </w: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Net tangible book deficit before this offering</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vMerge w:val="continue"/>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Increase attributable to public stockholders and sale of the private units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1.18</w:t>
            </w:r>
          </w:p>
        </w:tc>
        <w:tc>
          <w:tcPr>
            <w:tcW w:w="36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1.18</w:t>
            </w:r>
          </w:p>
        </w:tc>
        <w:tc>
          <w:tcPr>
            <w:tcW w:w="3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8.82</w:t>
            </w:r>
          </w:p>
        </w:tc>
        <w:tc>
          <w:tcPr>
            <w:tcW w:w="3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Percentage of dilution to public stockholders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88.2</w:t>
            </w:r>
          </w:p>
        </w:tc>
        <w:tc>
          <w:tcPr>
            <w:tcW w:w="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89.4</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 over-allotment option) by $115,774,317 because holders of up to approximately 96.5%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days prior to the commencement of our tender offer or stockholders meeting, including interest earned on the funds held in the trust account and not previously released to us to pay our franchise and income taxes), divided by the number of shares of common stock sold in this offering.</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with respect to our existing stockholders and the public stockholders: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2220" w:type="dxa"/>
            <w:vAlign w:val="bottom"/>
            <w:gridSpan w:val="4"/>
          </w:tcPr>
          <w:p>
            <w:pPr>
              <w:jc w:val="right"/>
              <w:ind w:right="650"/>
              <w:spacing w:after="0"/>
              <w:rPr>
                <w:sz w:val="20"/>
                <w:szCs w:val="20"/>
                <w:color w:val="auto"/>
              </w:rPr>
            </w:pPr>
            <w:r>
              <w:rPr>
                <w:rFonts w:ascii="Arial" w:cs="Arial" w:eastAsia="Arial" w:hAnsi="Arial"/>
                <w:sz w:val="16"/>
                <w:szCs w:val="16"/>
                <w:b w:val="1"/>
                <w:bCs w:val="1"/>
                <w:color w:val="auto"/>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w w:val="88"/>
              </w:rPr>
              <w:t>Average Price</w:t>
            </w:r>
          </w:p>
        </w:tc>
        <w:tc>
          <w:tcPr>
            <w:tcW w:w="0" w:type="dxa"/>
            <w:vAlign w:val="bottom"/>
          </w:tcPr>
          <w:p>
            <w:pPr>
              <w:spacing w:after="0"/>
              <w:rPr>
                <w:sz w:val="1"/>
                <w:szCs w:val="1"/>
                <w:color w:val="auto"/>
              </w:rPr>
            </w:pPr>
          </w:p>
        </w:tc>
      </w:tr>
      <w:tr>
        <w:trPr>
          <w:trHeight w:val="46"/>
        </w:trPr>
        <w:tc>
          <w:tcPr>
            <w:tcW w:w="22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Number</w:t>
            </w:r>
          </w:p>
        </w:tc>
        <w:tc>
          <w:tcPr>
            <w:tcW w:w="106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73"/>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47"/>
        </w:trPr>
        <w:tc>
          <w:tcPr>
            <w:tcW w:w="22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0.008</w:t>
            </w:r>
          </w:p>
        </w:tc>
        <w:tc>
          <w:tcPr>
            <w:tcW w:w="0" w:type="dxa"/>
            <w:vAlign w:val="bottom"/>
          </w:tcPr>
          <w:p>
            <w:pPr>
              <w:spacing w:after="0"/>
              <w:rPr>
                <w:sz w:val="1"/>
                <w:szCs w:val="1"/>
                <w:color w:val="auto"/>
              </w:rPr>
            </w:pPr>
          </w:p>
        </w:tc>
      </w:tr>
      <w:tr>
        <w:trPr>
          <w:trHeight w:val="284"/>
        </w:trPr>
        <w:tc>
          <w:tcPr>
            <w:tcW w:w="2280" w:type="dxa"/>
            <w:vAlign w:val="bottom"/>
          </w:tcPr>
          <w:p>
            <w:pPr>
              <w:spacing w:after="0"/>
              <w:rPr>
                <w:sz w:val="20"/>
                <w:szCs w:val="20"/>
                <w:color w:val="auto"/>
              </w:rPr>
            </w:pPr>
            <w:r>
              <w:rPr>
                <w:rFonts w:ascii="Arial" w:cs="Arial" w:eastAsia="Arial" w:hAnsi="Arial"/>
                <w:sz w:val="18"/>
                <w:szCs w:val="18"/>
                <w:color w:val="auto"/>
              </w:rPr>
              <w:t>Representative shares</w:t>
            </w:r>
            <w:r>
              <w:rPr>
                <w:rFonts w:ascii="Arial" w:cs="Arial" w:eastAsia="Arial" w:hAnsi="Arial"/>
                <w:sz w:val="20"/>
                <w:szCs w:val="20"/>
                <w:color w:val="auto"/>
                <w:vertAlign w:val="superscript"/>
              </w:rPr>
              <w:t>(2)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63"/>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stockholders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3,900,000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56"/>
        </w:trPr>
        <w:tc>
          <w:tcPr>
            <w:tcW w:w="2280" w:type="dxa"/>
            <w:vAlign w:val="bottom"/>
          </w:tcPr>
          <w:p>
            <w:pPr>
              <w:spacing w:after="0"/>
              <w:rPr>
                <w:sz w:val="20"/>
                <w:szCs w:val="20"/>
                <w:color w:val="auto"/>
              </w:rPr>
            </w:pPr>
            <w:r>
              <w:rPr>
                <w:rFonts w:ascii="Arial" w:cs="Arial" w:eastAsia="Arial" w:hAnsi="Arial"/>
                <w:sz w:val="18"/>
                <w:szCs w:val="18"/>
                <w:color w:val="auto"/>
              </w:rPr>
              <w:t>Public stockholders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120,000,000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123,925,035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59" w:hanging="426"/>
        <w:spacing w:after="0" w:line="266" w:lineRule="auto"/>
        <w:tabs>
          <w:tab w:leader="none" w:pos="9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450,000 founder shares have been forfeited as a result thereof.</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Assumes the issuance of an additional 420,000 shares underlying the representative shares.</w:t>
      </w:r>
    </w:p>
    <w:p>
      <w:pPr>
        <w:sectPr>
          <w:pgSz w:w="11900" w:h="16838" w:orient="portrait"/>
          <w:cols w:equalWidth="0" w:num="1">
            <w:col w:w="9019"/>
          </w:cols>
          <w:pgMar w:left="1440" w:top="274" w:right="1440"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8" w:name="page49"/>
    <w:bookmarkEnd w:id="4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net tangible book value after the offering is calculated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Without</w:t>
            </w:r>
          </w:p>
        </w:tc>
        <w:tc>
          <w:tcPr>
            <w:tcW w:w="8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3"/>
              </w:rPr>
              <w:t>Over-allotment</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2"/>
              </w:rPr>
              <w:t>Over-allotment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proceeds from this offering and sale of the private units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120,750,000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138,750,000</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Plus: Proceeds from the issuance of representative shares</w:t>
            </w: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Plus: Offering costs paid in advance, excluded from tangible book value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this offering</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(115,774,317)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(133,774,317)</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outstanding prior to this offering</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3,450,000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3,450,000</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Common stock forfeited if over-allotment is not exercised</w:t>
            </w: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underlying the representative shares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420,000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420,000</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Common stock included in the units offered</w:t>
            </w: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13,800,000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included in the private units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390,000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426,000</w:t>
            </w: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Less: common stock subject to redemption</w:t>
            </w: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(11,577,432)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(13,377,432)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4,232,568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4,718,568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3960"/>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5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The following table sets forth our capitalization at December 31, 2020, prior to the issuance of the founder shares, and at January 4, 2021, after the issuance of the founder shares, and also as adjusted to give effect to the issuance of the representative shares, the sale of our units and the private units and the application of the estimated net proceeds derived from the sale of such securities: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w w:val="93"/>
              </w:rPr>
              <w:t>January 4, 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2"/>
              </w:rPr>
              <w:t>After Issuance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ind w:right="1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1"/>
              </w:rPr>
              <w:t>of the Founder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141"/>
              <w:spacing w:after="0"/>
              <w:rPr>
                <w:sz w:val="20"/>
                <w:szCs w:val="20"/>
                <w:color w:val="auto"/>
              </w:rPr>
            </w:pPr>
            <w:r>
              <w:rPr>
                <w:rFonts w:ascii="Arial" w:cs="Arial" w:eastAsia="Arial" w:hAnsi="Arial"/>
                <w:sz w:val="16"/>
                <w:szCs w:val="16"/>
                <w:b w:val="1"/>
                <w:bCs w:val="1"/>
                <w:color w:val="auto"/>
                <w:w w:val="93"/>
              </w:rPr>
              <w:t>Actual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6"/>
              </w:rPr>
              <w:t>As Adjusted</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related party</w:t>
            </w:r>
            <w:r>
              <w:rPr>
                <w:rFonts w:ascii="Arial" w:cs="Arial" w:eastAsia="Arial" w:hAnsi="Arial"/>
                <w:sz w:val="20"/>
                <w:szCs w:val="20"/>
                <w:color w:val="auto"/>
                <w:vertAlign w:val="superscript"/>
              </w:rPr>
              <w:t>(1)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360" w:type="dxa"/>
            <w:vAlign w:val="bottom"/>
          </w:tcPr>
          <w:p>
            <w:pPr>
              <w:spacing w:after="0" w:line="182" w:lineRule="exact"/>
              <w:rPr>
                <w:sz w:val="20"/>
                <w:szCs w:val="20"/>
                <w:color w:val="auto"/>
              </w:rPr>
            </w:pPr>
            <w:r>
              <w:rPr>
                <w:rFonts w:ascii="Arial" w:cs="Arial" w:eastAsia="Arial" w:hAnsi="Arial"/>
                <w:sz w:val="18"/>
                <w:szCs w:val="18"/>
                <w:color w:val="auto"/>
                <w:w w:val="95"/>
              </w:rPr>
              <w:t>Common stock, subject to redemption, 0 and 11,577,432</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w w:val="94"/>
              </w:rPr>
              <w:t>shares which are subject to possible redemption, actual</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360" w:type="dxa"/>
            <w:vAlign w:val="bottom"/>
          </w:tcPr>
          <w:p>
            <w:pPr>
              <w:ind w:left="180"/>
              <w:spacing w:after="0"/>
              <w:rPr>
                <w:sz w:val="20"/>
                <w:szCs w:val="20"/>
                <w:color w:val="auto"/>
              </w:rPr>
            </w:pPr>
            <w:r>
              <w:rPr>
                <w:rFonts w:ascii="Arial" w:cs="Arial" w:eastAsia="Arial" w:hAnsi="Arial"/>
                <w:sz w:val="18"/>
                <w:szCs w:val="18"/>
                <w:color w:val="auto"/>
              </w:rPr>
              <w:t>and as adjusted, respectively</w:t>
            </w:r>
            <w:r>
              <w:rPr>
                <w:rFonts w:ascii="Arial" w:cs="Arial" w:eastAsia="Arial" w:hAnsi="Arial"/>
                <w:sz w:val="20"/>
                <w:szCs w:val="20"/>
                <w:color w:val="auto"/>
                <w:vertAlign w:val="superscript"/>
              </w:rPr>
              <w:t>(2)</w:t>
            </w:r>
          </w:p>
        </w:tc>
        <w:tc>
          <w:tcPr>
            <w:tcW w:w="220" w:type="dxa"/>
            <w:vAlign w:val="bottom"/>
          </w:tcPr>
          <w:p>
            <w:pPr>
              <w:spacing w:after="0"/>
              <w:rPr>
                <w:sz w:val="23"/>
                <w:szCs w:val="23"/>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115,774,317</w:t>
            </w:r>
          </w:p>
        </w:tc>
        <w:tc>
          <w:tcPr>
            <w:tcW w:w="0" w:type="dxa"/>
            <w:vAlign w:val="bottom"/>
          </w:tcPr>
          <w:p>
            <w:pPr>
              <w:spacing w:after="0"/>
              <w:rPr>
                <w:sz w:val="1"/>
                <w:szCs w:val="1"/>
                <w:color w:val="auto"/>
              </w:rPr>
            </w:pPr>
          </w:p>
        </w:tc>
      </w:tr>
      <w:tr>
        <w:trPr>
          <w:trHeight w:val="257"/>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Preferred stock, $.0001 par value, 1,000,000 shares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authorized; none issued or outstanding</w:t>
            </w:r>
          </w:p>
        </w:tc>
        <w:tc>
          <w:tcPr>
            <w:tcW w:w="22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$0.0001 par value, 100,000,000 shares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authorized, 0, 3,450,000 and 4,232,568 shares issued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and outstanding, actual as of December 31, 2020, as of</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after issuance of the founder shares, and as adjusted,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r>
              <w:rPr>
                <w:rFonts w:ascii="Arial" w:cs="Arial" w:eastAsia="Arial" w:hAnsi="Arial"/>
                <w:sz w:val="20"/>
                <w:szCs w:val="20"/>
                <w:color w:val="auto"/>
                <w:vertAlign w:val="superscript"/>
              </w:rPr>
              <w:t>(3)</w:t>
            </w: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24,655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5,000,294</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Total stockholders’ equity/(deficit)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vMerge w:val="continue"/>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(716</w:t>
            </w:r>
          </w:p>
        </w:tc>
        <w:tc>
          <w:tcPr>
            <w:tcW w:w="140" w:type="dxa"/>
            <w:vAlign w:val="bottom"/>
            <w:vMerge w:val="continue"/>
          </w:tcPr>
          <w:p>
            <w:pPr>
              <w:spacing w:after="0"/>
              <w:rPr>
                <w:sz w:val="20"/>
                <w:szCs w:val="20"/>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24,284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5,000,002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24,284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120,774,319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59" w:hanging="426"/>
        <w:spacing w:after="0" w:line="265" w:lineRule="auto"/>
        <w:tabs>
          <w:tab w:leader="none" w:pos="9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There was $0 outstanding at December 31, 2020 and January 4, 2021 under the $300,000 promissory note issued to our sponsor. The note is non-interest bearing and is payable on the earlier to occur of March 31, 2021, the consummation of this offering or the abandonment of this offering.</w:t>
      </w:r>
    </w:p>
    <w:p>
      <w:pPr>
        <w:spacing w:after="0" w:line="1" w:lineRule="exact"/>
        <w:rPr>
          <w:rFonts w:ascii="Arial" w:cs="Arial" w:eastAsia="Arial" w:hAnsi="Arial"/>
          <w:sz w:val="16"/>
          <w:szCs w:val="16"/>
          <w:color w:val="auto"/>
        </w:rPr>
      </w:pPr>
    </w:p>
    <w:p>
      <w:pPr>
        <w:jc w:val="both"/>
        <w:ind w:left="880" w:right="479" w:hanging="426"/>
        <w:spacing w:after="0" w:line="281" w:lineRule="auto"/>
        <w:tabs>
          <w:tab w:leader="none" w:pos="928" w:val="left"/>
        </w:tabs>
        <w:numPr>
          <w:ilvl w:val="0"/>
          <w:numId w:val="23"/>
        </w:numPr>
        <w:rPr>
          <w:rFonts w:ascii="Arial" w:cs="Arial" w:eastAsia="Arial" w:hAnsi="Arial"/>
          <w:sz w:val="15"/>
          <w:szCs w:val="15"/>
          <w:color w:val="auto"/>
        </w:rPr>
      </w:pPr>
      <w:r>
        <w:rPr>
          <w:rFonts w:ascii="Arial" w:cs="Arial" w:eastAsia="Arial" w:hAnsi="Arial"/>
          <w:sz w:val="15"/>
          <w:szCs w:val="15"/>
          <w:color w:val="auto"/>
        </w:rPr>
        <w:t>Upon the consummation of our initial business combination, we will provide our stockholders (but not our sponsor, initial stockholders, officers or directors) with the opportunity to convert or sell their public subunits for cash equal to their pro rata share of the aggregate amount then on deposit in the trust account as of two business days prior to the consummation of the initial business combination, including interest not previously released to us (less taxes payable), subject to the limitations described herein whereby our net tangible assets will be maintained at a minimum of $5,000,001 either immediately prior to or upon consummation.</w:t>
      </w:r>
    </w:p>
    <w:p>
      <w:pPr>
        <w:spacing w:after="0" w:line="3" w:lineRule="exact"/>
        <w:rPr>
          <w:rFonts w:ascii="Arial" w:cs="Arial" w:eastAsia="Arial" w:hAnsi="Arial"/>
          <w:sz w:val="15"/>
          <w:szCs w:val="15"/>
          <w:color w:val="auto"/>
        </w:rPr>
      </w:pPr>
    </w:p>
    <w:p>
      <w:pPr>
        <w:jc w:val="both"/>
        <w:ind w:left="880" w:right="459" w:hanging="426"/>
        <w:spacing w:after="0" w:line="317" w:lineRule="auto"/>
        <w:tabs>
          <w:tab w:leader="none" w:pos="909"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“January 4, 2021” information includes the 2,875,000 founder shares that we had issued for $25,000 on January 4, 2021. The “as adjusted” information gives effect to the issuance of the founder shares, the issuance of the 350,000 representative shares, the stock dividend of 0.2 shares of common stock for every share of common stock outstanding and the sale of the units we are offering and the sale of the private units (assuming the over-allotment option has not been exercised and an aggregate of 450,000 founder shares have been forfeited as a result thereof).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3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were formed on September 15, 2020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 The issuance of additional shares of common stock or preferred stock:</w:t>
      </w:r>
    </w:p>
    <w:p>
      <w:pPr>
        <w:spacing w:after="0" w:line="110" w:lineRule="exact"/>
        <w:rPr>
          <w:sz w:val="20"/>
          <w:szCs w:val="20"/>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44" w:lineRule="exact"/>
        <w:rPr>
          <w:sz w:val="20"/>
          <w:szCs w:val="20"/>
          <w:color w:val="auto"/>
        </w:rPr>
      </w:pPr>
    </w:p>
    <w:p>
      <w:pPr>
        <w:ind w:left="1320" w:right="479" w:hanging="434"/>
        <w:spacing w:after="0" w:line="277" w:lineRule="auto"/>
        <w:tabs>
          <w:tab w:leader="none" w:pos="1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pay our debt obligations;</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4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89" w:lineRule="exact"/>
        <w:rPr>
          <w:rFonts w:ascii="Arial" w:cs="Arial" w:eastAsia="Arial" w:hAnsi="Arial"/>
          <w:sz w:val="18"/>
          <w:szCs w:val="18"/>
          <w:color w:val="auto"/>
        </w:rPr>
      </w:pPr>
    </w:p>
    <w:p>
      <w:pPr>
        <w:ind w:left="1320" w:right="479" w:hanging="434"/>
        <w:spacing w:after="0" w:line="308" w:lineRule="auto"/>
        <w:tabs>
          <w:tab w:leader="none" w:pos="1459"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w:t>
      </w:r>
    </w:p>
    <w:p>
      <w:pPr>
        <w:spacing w:after="0" w:line="7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neither engaged in any operations nor generated any revenues to date. Our entire activity since inception has been to prepare for our proposed fundraising through an offering of our equity securities.</w:t>
      </w:r>
    </w:p>
    <w:p>
      <w:pPr>
        <w:spacing w:after="0" w:line="7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are an emerging growth company as defined in the JOBS Act.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As indicated in the accompanying financial statements, at December 31, 2020, we had cash balance of $0 and a working capital deficit of $716. Further, we have incurred and expect to continue to incur significant costs in pursuit of our financing and acquisition plans. Management’s plans to address this uncertainty through this offering are discussed above. We cannot assure you that our plans to raise capital or to consummate an initial business combination will be successful. These factors, among others, raise substantial doubt about our ability to continue as a going concern.</w:t>
      </w:r>
    </w:p>
    <w:p>
      <w:pPr>
        <w:spacing w:after="0" w:line="12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liquidity needs have been satisfied to date through the payment of certain of our deferred offering costs with the $25,000 purchase price of the founder shares and loans from our sponsor in an aggregate amount of up to $300,000 that are more fully described below. We estimate that the net proceeds from (i) the sale of the units in this offering, after deducting offering expenses of approximately $750,000 and underwriting discounts and commissions of $2,400,000 (or $2,760,000 if the over-allotment option is exercised in full) and (ii) the sale of the private units for a purchase price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of $3,900,000 (or $4,260,000 if the over-allotment option is exercised in full) will be $120,750,000 (or $138,750,000 if the over-allotment option is exercised in full). Of this amount, $120,000,000 (or $138,000,000 if the over-allotment option is exercised in full) will be held in the trust account. The remaining $750,000 will not be held in trust.</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may use substantially all of the net proceeds of this offering, including the funds held in the trust account, to acquire a target business and to pay our expenses relating thereto, including a fee payable to EarlyBirdCapital, upon consummation of our initial business combination for assisting us in connection with our initial business combination, as described under the section titled “</w:t>
      </w:r>
      <w:r>
        <w:rPr>
          <w:rFonts w:ascii="Arial" w:cs="Arial" w:eastAsia="Arial" w:hAnsi="Arial"/>
          <w:sz w:val="17"/>
          <w:szCs w:val="17"/>
          <w:i w:val="1"/>
          <w:iCs w:val="1"/>
          <w:color w:val="auto"/>
        </w:rPr>
        <w:t>Underwriting — Business Combination Marketing</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To the extent that our capital stock is used in whole or in part as consideration to effect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business combination if the funds available to us outside of the trust account were insufficient to cover such expenses.</w:t>
      </w:r>
    </w:p>
    <w:p>
      <w:pPr>
        <w:spacing w:after="0" w:line="111"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believe that, upon consummation of this offering, the approximate $750,000 of net proceeds not held in the trust account, together with the interest earned on the trust account that is available to us, will be sufficient to allow us to operate for at least the next 18 months, assuming that a business combination is not consummated during that time. Over this time period, we will be using these funds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We anticipate that we will incur approximately:</w:t>
      </w:r>
    </w:p>
    <w:p>
      <w:pPr>
        <w:spacing w:after="0" w:line="84" w:lineRule="exact"/>
        <w:rPr>
          <w:sz w:val="20"/>
          <w:szCs w:val="20"/>
          <w:color w:val="auto"/>
        </w:rPr>
      </w:pPr>
    </w:p>
    <w:p>
      <w:pPr>
        <w:jc w:val="both"/>
        <w:ind w:left="1320" w:right="479" w:hanging="434"/>
        <w:spacing w:after="0" w:line="263" w:lineRule="auto"/>
        <w:tabs>
          <w:tab w:leader="none" w:pos="14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$240,000 of expenses for the search for target businesses and for the legal, accounting and other expenses attendant to the due diligence investigations, structuring and negotiating of a business combination;</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5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$180,000 of expenses in legal, audit, accounting and other fees relating to our SEC reporting obligations;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$180,000 for the payment of the administrative fee to an affiliate of our Chief Executive Officer (of $10,000 per month for up to 18 months);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$150,000 for general working capital that will be used for miscellaneous expenses.</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our estimates of the above costs are less than the actual costs,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subunits upon consummation of our initial business combination, in which case we may issue additional securities or incur debt in connection with such business combination. We do not have a maximum debt leverage ratio or a policy with respect to how much debt we may incur. The amount of debt we will be willing to incur will depend on the facts and circumstances of the proposed business combination and market conditions at the time of the potential business combination. At this time, we are not party to any arrangement or understanding with any third party with respect to raising additional funds through the sale of our securities or the incurrence of debt.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January 4, 2021, we executed a promissory note with the sponsor in which the sponsor has agreed to loan us an aggregate of up to $300,000 to pay certain pre-offering expenses. The loan is non-interest bearing, unsecured and due on the earlier of March 31, 2021, the consummation of this offering or the abandonment of this offering.</w:t>
      </w:r>
    </w:p>
    <w:p>
      <w:pPr>
        <w:spacing w:after="0" w:line="10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February 1, 2021, the sponsor funded to us $100,000 pursuant to the promissory note. On February 10, 2021, the sponsor funded to us an additional $25,000 pursuant to the promissory note, for an aggregate amount of $125,000. We intend to repay the loan from the proceeds of this offering not being placed in trust upon consummation of this offering.</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2" w:name="page53"/>
    <w:bookmarkEnd w:id="5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are obligated, commencing on the date of this prospectus, to pay SPAC Partners LLC, an affiliate of our Chief Executive Officer, a monthly fee of $10,000 for general and administrative services.</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On January 13, 2021, we issued to EarlyBirdCapital and its designees an aggregate of 350,000 representative shares of common stock at $0.0001 per share. On March 10, 2021, we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(A) to vote the representative shares in favor of any proposed business combination, (B) not to convert representative shares in connection with a stockholder vote to approve a proposed initial business combination or sell the representative shares to us in a tender offer in connection with a proposed initial business combination and (C) that the representative shares will not participate in any liquidating distributions from our trust account upon winding up if a business combination is not consummated.</w:t>
      </w:r>
    </w:p>
    <w:p>
      <w:pPr>
        <w:spacing w:after="0" w:line="11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EarlyBirdCapital is acting as representative of the underwriters in this offering and will be paid underwriting commissions equal to 2% of the gross proceeds of this offering. We will engage EarlyBirdCapital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in connection with our initial business combination, assist us in obtaining stockholder approval for the business combination and assist us with our press releases and public filings in connection with the business combination. We will pay EarlyBirdCapital a cash fee for such services upon the consummation of our initial business combination in an amount equal to 3.5% of the gross proceeds of this offering (exclusive of any applicable finders’ fees which might become payable); provided that up to 30% of the fee may be allocated at our sole discretion to other FINRA members that assist us in identifying or consummating an initial business combination.</w:t>
      </w:r>
    </w:p>
    <w:p>
      <w:pPr>
        <w:spacing w:after="0" w:line="10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may also pay consulting, success or finder fees to our sponsor, officers, directors, initial stockholders or their affiliates in connection with the consummation of our initial business combination. We may pay such fees in the event such parties bring specific target company, industry or market expertise, as well as insights or relationships that we believe are necessary in order to locate, assess, negotiate and consummate an initial business combination. The amount of any fee we pay to such parties will be based upon the prevailing market for similar services for such transactions at such time, and will be subject to the review of our audit committee pursuant to the audit committee’s policies and procedures relating to transactions that may present conflicts of interest.</w:t>
      </w:r>
    </w:p>
    <w:p>
      <w:pPr>
        <w:spacing w:after="0" w:line="12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sponsor and EarlyBirdCapital have committed that they and/or their designees will purchase from us an aggregate of 390,000 private units at $10.00 per unit, for a total purchase price of $3,900,000 in a private placement that will occur simultaneously with the consummation of this offering. Each private unit consists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36,000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3" w:name="page54"/>
    <w:bookmarkEnd w:id="5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91" w:lineRule="auto"/>
        <w:rPr>
          <w:sz w:val="20"/>
          <w:szCs w:val="20"/>
          <w:color w:val="auto"/>
        </w:rPr>
      </w:pPr>
      <w:r>
        <w:rPr>
          <w:rFonts w:ascii="Arial" w:cs="Arial" w:eastAsia="Arial" w:hAnsi="Arial"/>
          <w:sz w:val="16"/>
          <w:szCs w:val="16"/>
          <w:color w:val="auto"/>
        </w:rPr>
        <w:t>for the fiscal year ending December 31, 2022. As of the date of this prospectus,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a business combination may have internal controls that need improvement in areas such as:</w:t>
      </w:r>
    </w:p>
    <w:p>
      <w:pPr>
        <w:spacing w:after="0" w:line="99" w:lineRule="exact"/>
        <w:rPr>
          <w:sz w:val="20"/>
          <w:szCs w:val="20"/>
          <w:color w:val="auto"/>
        </w:rPr>
      </w:pPr>
    </w:p>
    <w:p>
      <w:pPr>
        <w:ind w:left="1300" w:hanging="414"/>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Due to the short-term nature of these investments, we believe there will be no associated material exposure to interest rate risk.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7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As of the date of this prospectus, we did not have any off-balance sheet arrangements as defined in Item 303(a) (4)(ii) of Regulation S-K and did not have any commitments or contractual obligations. No unaudited quarterly operating data is included in this prospectus as we have conducted no operations to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are a blank check company formed under the laws of the State of Delaware on September 15, 2020. We were formed for the purpose of entering into a merger, share exchange, asset acquisition, stock purchase, recapitalization, reorganization or other similar business combination with one or more businesses or entities, which we refer to as a “target business.” To date, our efforts have been limited to organizational activities as well as activities related to this offering. None of our officers, directors, promoters and other affiliates has engaged in any substantive discussions on our behalf with representatives of other companies regarding the possibility of a potential business combination with us. Our initial business combination and value creation strategy will be to identify, acquire and, after our initial business combination, assist in the growth of a technology business in the United States. Our focus will be on the artificial intelligence, cloud services and automotive technology sectors. However, we are not limited to the technology industry, or the named sectors, and we may pursue a business combination opportunity in any business or industry we choose and we may pursue a company with operations or opportunities outside of the United States.</w:t>
      </w:r>
    </w:p>
    <w:p>
      <w:pPr>
        <w:spacing w:after="0" w:line="100"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Our Chairman, Dr. Eric R. Ball, and special advisor, Mr. Brent Callinicos, both have long track records of senior management leadership in high growth technology companies. Within the technology industry, our initial focus will be on the artificial intelligence, cloud services and automotive technology sectors. Our management team possesses a strong understanding of the SPAC structure and market. Our Chief Executive Officer, Stephen N. Cannon, has served as a member of management for five SPACs that have completed initial public offerings, four of which have consummated a business combination.</w:t>
      </w:r>
    </w:p>
    <w:p>
      <w:pPr>
        <w:spacing w:after="0" w:line="11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Dr. Eric R Ball, our Chairman, is the founder and General Partner of Impact Venture Capital, or Impact VC. Impact VC is a Silicon Valley based venture firm investing in early-stage applied artificial intelligence startup companies since 2016. Previously Mr. Ball held several senior level management positions in high growth technology companies. He was the Chief Financial Officer for C3.AI from 2015 to 2016. Prior to that Dr. Ball spent over a decade with Oracle Corp, including acting as Senior Vice President &amp; Treasurer, and previously was a senior financial professional for Flextronics International, Cisco Systems, Avery Dennison, and AT&amp;T. Dr. Ball has served as advisor and board member of several technology companies, including currently serving as chairman of the audit committee for the board of Glu Mobile Inc.</w:t>
      </w:r>
    </w:p>
    <w:p>
      <w:pPr>
        <w:spacing w:after="0" w:line="9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Mr. Brent Callinicos is our special advisor. Mr. Callinicos is currently an angel investor, active in investing in early-stage technology companies. Mr. Callinicos was formerly the Chief Operating Officer and Chief Financial Officer of Virgin Hyperloop One. Prior to that, Mr. Callinicos was the Chief Financial Officer of Uber Technologies Inc. Prior to that, Mr. Callinicos was the Vice President, Treasurer and Chief Accountant of Google Inc., now known as Alphabet Inc. Prior to that, Mr. Callinicos held several senior management roles at Microsoft, including as Treasurer, Vice President of Worldwide Licensing and Pricing, and CFO of the Platforms and Services Division. Mr. Callinicos has served as an advisor to several technology companies and currently sits on several boards.</w:t>
      </w:r>
    </w:p>
    <w:p>
      <w:pPr>
        <w:spacing w:after="0" w:line="12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Stephen N. Cannon, our Chief Executive Officer, has served as a member of management for five SPACs that have completed initial public offerings, four of which have consummated a business combination. The fifth SPAC, Ackrell SPAC Partners I Co., completed its IPO in December 2020 and is searching for target businesses with which to consummate a potential business combination with a focus on the branded fast-moving consumer goods industry.</w:t>
      </w:r>
    </w:p>
    <w:p>
      <w:pPr>
        <w:spacing w:after="0" w:line="12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Daniel L Sheehan, our Chief Operating Officer, and Long Long, our Chief Financial Officer, are also currently serving as members of the board and management, respectively, for Ackrell SPAC Partners I Co.</w:t>
      </w:r>
    </w:p>
    <w:p>
      <w:pPr>
        <w:spacing w:after="0" w:line="6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Bryant B. Edwards, a director of ours, served as Chief Operating Officer and director for Twelve Seas Investment Co., a SPAC which successful closed its business combination in December 2019.</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While we may pursue a business combination target in any business, industry or geographical location, we intend to focus our search for businesses in the technology industry, and our focus will be on the artificial intelligence, cloud services and automotive technology sectors.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management team consists of seasoned professionals who have experience spanning the technology industry, including the sectors within the technology industry that we intend to focus on initially, mergers and acquisitions, corporate finance, corporate governance and compliance, legal and regulatory matters and investment management. See “</w:t>
      </w:r>
      <w:r>
        <w:rPr>
          <w:rFonts w:ascii="Arial" w:cs="Arial" w:eastAsia="Arial" w:hAnsi="Arial"/>
          <w:sz w:val="17"/>
          <w:szCs w:val="17"/>
          <w:i w:val="1"/>
          <w:iCs w:val="1"/>
          <w:color w:val="auto"/>
        </w:rPr>
        <w:t>Management</w:t>
      </w:r>
      <w:r>
        <w:rPr>
          <w:rFonts w:ascii="Arial" w:cs="Arial" w:eastAsia="Arial" w:hAnsi="Arial"/>
          <w:sz w:val="17"/>
          <w:szCs w:val="17"/>
          <w:color w:val="auto"/>
        </w:rPr>
        <w:t>” for additional information about our directors and executive officers. We believe that our officers’ and directors’ industry expertise, transaction experience and relationships may provide us with a substantial number of attractive potential business combination targets.</w:t>
      </w:r>
    </w:p>
    <w:p>
      <w:pPr>
        <w:spacing w:after="0" w:line="110"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The past performance of our management team or of their affiliates is not a guarantee either (i) that we will be able to identify a suitable candidate for our initial business combination or (ii) of success with respect to any business combination we may consummate. You should not rely on the historical record of our management team’s or their affiliates’ performance as indicative of our future performance.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believe that there are a range of target businesses that could benefit from our industry knowledge, relationships, capital and public vehicle. Our strategy is to identify and complete our initial business combination with a target operating in the technology industry. Our focus will be on the artificial intelligence, cloud services and automotive technology sectors. While we intend to initially focus on potential opportunities in the United States, the technology industry is global and we may pursue opportunities internationally.</w:t>
      </w:r>
    </w:p>
    <w:p>
      <w:pPr>
        <w:spacing w:after="0" w:line="80"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Following the completion of this offering, our management team plans to identify and contact potential target businesses and start to evaluate and pursue a possible business combination. In addition, we will communicate the parameters of our search to our network of relationships and transaction sources to help us identify potential target businesses. We intend to leverage our team’s collective experience in the technology industry and capital markets to successfully complete a business combination, and then continue to support our target business with our industry relationships, insights and regulatory knowledge, financial expertise and capital resources.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We believe we are well positioned to find and attract an exciting technology business, and to help them as a newly public company grow and thrive, offering a partnership that extends far beyond our capital. Our management team’s deep operational experience, product experience, extensive networks, and track records as investors, advisors, and board members make us an attractive partner.</w:t>
      </w:r>
    </w:p>
    <w:p>
      <w:pPr>
        <w:spacing w:after="0" w:line="10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are dedicated to finding bold founders, operators, and inventors who are committed to building a leading business and would benefit from access to the public markets as well as working with our team. We have a proven track record of success in the technology industry as senior executives, investors and board members and are confident that we can partner with other founders, shareholder and management to help support building a category-defining business. We believe we possess the following tools to drive value creation at a company:</w:t>
      </w:r>
    </w:p>
    <w:p>
      <w:pPr>
        <w:spacing w:after="0" w:line="7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b w:val="1"/>
          <w:bCs w:val="1"/>
          <w:color w:val="auto"/>
        </w:rPr>
        <w:t xml:space="preserve">Experience recognizing key technology trends: </w:t>
      </w:r>
      <w:r>
        <w:rPr>
          <w:rFonts w:ascii="Arial" w:cs="Arial" w:eastAsia="Arial" w:hAnsi="Arial"/>
          <w:sz w:val="17"/>
          <w:szCs w:val="17"/>
          <w:color w:val="auto"/>
        </w:rPr>
        <w:t>Our team has demonstrated a long history of managing and</w:t>
      </w:r>
      <w:r>
        <w:rPr>
          <w:rFonts w:ascii="Arial" w:cs="Arial" w:eastAsia="Arial" w:hAnsi="Arial"/>
          <w:sz w:val="17"/>
          <w:szCs w:val="17"/>
          <w:b w:val="1"/>
          <w:bCs w:val="1"/>
          <w:color w:val="auto"/>
        </w:rPr>
        <w:t xml:space="preserve"> </w:t>
      </w:r>
      <w:r>
        <w:rPr>
          <w:rFonts w:ascii="Arial" w:cs="Arial" w:eastAsia="Arial" w:hAnsi="Arial"/>
          <w:sz w:val="17"/>
          <w:szCs w:val="17"/>
          <w:color w:val="auto"/>
        </w:rPr>
        <w:t>growing businesses at the epicenter of major technology trends. More recently, certain team members have been active in identifying and investing, at earlier stages, in companies focus on the next big trend, such as artificial intelligence, cloud services and automotive technology. For the technology industry especially, history has shown that small early stage companies, of even just five years ago, are often among the most exciting group of companies seeking a public listing in the near future. We believe our recent activity in identifying investment opportunities in early stage companies in key technology trends, is an advantage when combined with our track record of managing and growing successful public technology companies, and unique in our ability to identify and successful secure an initial business combination.</w:t>
      </w:r>
    </w:p>
    <w:p>
      <w:pPr>
        <w:spacing w:after="0" w:line="106" w:lineRule="exact"/>
        <w:rPr>
          <w:sz w:val="20"/>
          <w:szCs w:val="20"/>
          <w:color w:val="auto"/>
        </w:rPr>
      </w:pPr>
    </w:p>
    <w:p>
      <w:pPr>
        <w:jc w:val="both"/>
        <w:ind w:left="460" w:right="459"/>
        <w:spacing w:after="0" w:line="281" w:lineRule="auto"/>
        <w:rPr>
          <w:sz w:val="20"/>
          <w:szCs w:val="20"/>
          <w:color w:val="auto"/>
        </w:rPr>
      </w:pPr>
      <w:r>
        <w:rPr>
          <w:rFonts w:ascii="Arial" w:cs="Arial" w:eastAsia="Arial" w:hAnsi="Arial"/>
          <w:sz w:val="17"/>
          <w:szCs w:val="17"/>
          <w:b w:val="1"/>
          <w:bCs w:val="1"/>
          <w:color w:val="auto"/>
        </w:rPr>
        <w:t xml:space="preserve">Experience identifying strong management teams: </w:t>
      </w:r>
      <w:r>
        <w:rPr>
          <w:rFonts w:ascii="Arial" w:cs="Arial" w:eastAsia="Arial" w:hAnsi="Arial"/>
          <w:sz w:val="17"/>
          <w:szCs w:val="17"/>
          <w:color w:val="auto"/>
        </w:rPr>
        <w:t>With key members of our team having had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senior executive roles at key technology companies, we believe we have an ability to identify the characteristics of successful business leaders, and effective in engaging with these management teams. In addition, key members of our team have more recently been investing in many founder led businesses.</w:t>
      </w:r>
    </w:p>
    <w:p>
      <w:pPr>
        <w:spacing w:after="0" w:line="97"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 xml:space="preserve">History of operating experience: </w:t>
      </w:r>
      <w:r>
        <w:rPr>
          <w:rFonts w:ascii="Arial" w:cs="Arial" w:eastAsia="Arial" w:hAnsi="Arial"/>
          <w:sz w:val="18"/>
          <w:szCs w:val="18"/>
          <w:color w:val="auto"/>
        </w:rPr>
        <w:t>The members of our team are seasoned operators having held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level roles in various companies. We have experience in developing and executing strategy, building and retaining teams, and executing business combinations among other activities.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56" w:lineRule="auto"/>
        <w:rPr>
          <w:sz w:val="20"/>
          <w:szCs w:val="20"/>
          <w:color w:val="auto"/>
        </w:rPr>
      </w:pPr>
      <w:r>
        <w:rPr>
          <w:rFonts w:ascii="Arial" w:cs="Arial" w:eastAsia="Arial" w:hAnsi="Arial"/>
          <w:sz w:val="18"/>
          <w:szCs w:val="18"/>
          <w:b w:val="1"/>
          <w:bCs w:val="1"/>
          <w:color w:val="auto"/>
        </w:rPr>
        <w:t xml:space="preserve">Deep network and connections to company founders: </w:t>
      </w:r>
      <w:r>
        <w:rPr>
          <w:rFonts w:ascii="Arial" w:cs="Arial" w:eastAsia="Arial" w:hAnsi="Arial"/>
          <w:sz w:val="18"/>
          <w:szCs w:val="18"/>
          <w:color w:val="auto"/>
        </w:rPr>
        <w:t>Our team has numerous existing connections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founders and business leaders across sectors within the technology industry. We have invested in many companies, served on many boards and have worked with many influential founders and senior management teams within the technology industry, and specifically the sectors we intend to initially focus on. We believe our network and our connections will assist in the successful selection of our initial business combination and subsequent guidance of the company.</w:t>
      </w:r>
    </w:p>
    <w:p>
      <w:pPr>
        <w:spacing w:after="0" w:line="120"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b w:val="1"/>
          <w:bCs w:val="1"/>
          <w:color w:val="auto"/>
        </w:rPr>
        <w:t xml:space="preserve">Significant Prior SPAC Experience: </w:t>
      </w:r>
      <w:r>
        <w:rPr>
          <w:rFonts w:ascii="Arial" w:cs="Arial" w:eastAsia="Arial" w:hAnsi="Arial"/>
          <w:sz w:val="16"/>
          <w:szCs w:val="16"/>
          <w:color w:val="auto"/>
        </w:rPr>
        <w:t>Our management team possesses a strong understanding of the SPAC</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structure and market. Our CEO, Stephen N. Cannon, has served as a member of management for five SPACs that have completed initial public offerings, four of which have consummated business combinations. In the case of his most recent SPAC merger, Twelve Seas Investment Co, the common shares are currently trading approximately five percent above its SPAC IPO price. However, the stock price performance of Mr. Cannon’s prior SPACs has not always been positive for investors. For example, the common shares of the three other SPACs that previously consummated business combinations are currently trading below $10.00 per share. Further, Mr. Cannon’s other SPAC never consummated its IPO due to market conditions.</w:t>
      </w:r>
    </w:p>
    <w:p>
      <w:pPr>
        <w:spacing w:after="0" w:line="9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Following the completion of this offering, we will communicate with our founding team’s network, which includes private equity firms, venture capitalists, entrepreneurs and business leaders, to articulate the parameters for our search for a partner company and a potential business combination and to begin the process of pursuing and reviewing potential opportunities.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Criteria</w:t>
      </w:r>
    </w:p>
    <w:p>
      <w:pPr>
        <w:spacing w:after="0" w:line="148"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intend to leverage the extensive network and experience of our management team in identifying a suitable target within the technology industry and structuring a business combination that is attractive to both the target and our public stockholders. We have identified the following general criteria and guidelines that we believe are important in evaluating prospective target businesses. While we intend to use these criteria and guidelines in evaluating prospective businesses, we may deviate from these criteria and guidelines should we see fit to do so:</w:t>
      </w:r>
    </w:p>
    <w:p>
      <w:pPr>
        <w:spacing w:after="0" w:line="9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b w:val="1"/>
          <w:bCs w:val="1"/>
          <w:i w:val="1"/>
          <w:iCs w:val="1"/>
          <w:color w:val="auto"/>
        </w:rPr>
        <w:t xml:space="preserve">Clear and Sustainable Competitive Advantages: </w:t>
      </w:r>
      <w:r>
        <w:rPr>
          <w:rFonts w:ascii="Arial" w:cs="Arial" w:eastAsia="Arial" w:hAnsi="Arial"/>
          <w:sz w:val="16"/>
          <w:szCs w:val="16"/>
          <w:color w:val="auto"/>
        </w:rPr>
        <w:t>We intend to target businesses that differentiate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themselves from their peers in ways that are difficult to replicate and have clear competitive advantages. Members of our team have accomplished track records of founding, operating, and investing in the technology industry and intend to focus on prospective businesses that engage with technology to serve customers in novel and transformational manner. We believe our team’s expertise and understanding of innovative businesses will be paramount in identifying and assessing initial business combination candidates.</w:t>
      </w:r>
    </w:p>
    <w:p>
      <w:pPr>
        <w:spacing w:after="0" w:line="9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High Growth Potential: </w:t>
      </w:r>
      <w:r>
        <w:rPr>
          <w:rFonts w:ascii="Arial" w:cs="Arial" w:eastAsia="Arial" w:hAnsi="Arial"/>
          <w:sz w:val="18"/>
          <w:szCs w:val="18"/>
          <w:color w:val="auto"/>
        </w:rPr>
        <w:t>We intend to seek businesses that are well positioned to grow in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markets and which have clear plans on how to leverage additional capital to accelerate growth. We expect to target businesses that have had, or expect to have, strong cash flow generation. We believe that our team’s collective experiences engaging with innovative businesses positions us well to identify, nurture, and expand high potential businesses.</w:t>
      </w:r>
    </w:p>
    <w:p>
      <w:pPr>
        <w:spacing w:after="0" w:line="107"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b w:val="1"/>
          <w:bCs w:val="1"/>
          <w:i w:val="1"/>
          <w:iCs w:val="1"/>
          <w:color w:val="auto"/>
        </w:rPr>
        <w:t xml:space="preserve">Experienced Management Teams: </w:t>
      </w:r>
      <w:r>
        <w:rPr>
          <w:rFonts w:ascii="Arial" w:cs="Arial" w:eastAsia="Arial" w:hAnsi="Arial"/>
          <w:sz w:val="16"/>
          <w:szCs w:val="16"/>
          <w:color w:val="auto"/>
        </w:rPr>
        <w:t>We intend to seek to target businesses that have strong, experienced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dynamic management teams, many of whom will be founders of the businesses, but whom we believe may benefit from our financial, managerial and investment expertise as well as our extensive industry networks and insights. We believe that identifying such management teams is particularly important given our target industry.</w:t>
      </w:r>
    </w:p>
    <w:p>
      <w:pPr>
        <w:spacing w:after="0" w:line="90"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b w:val="1"/>
          <w:bCs w:val="1"/>
          <w:i w:val="1"/>
          <w:iCs w:val="1"/>
          <w:color w:val="auto"/>
        </w:rPr>
        <w:t xml:space="preserve">Attractive Valuations: </w:t>
      </w:r>
      <w:r>
        <w:rPr>
          <w:rFonts w:ascii="Arial" w:cs="Arial" w:eastAsia="Arial" w:hAnsi="Arial"/>
          <w:sz w:val="18"/>
          <w:szCs w:val="18"/>
          <w:color w:val="auto"/>
        </w:rPr>
        <w:t>We intend to only evaluate a business that, based on our due diligence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experience, represents an attractive valuation relative to publicly listed companies with similar characteristics or in similar industry segments. We intend to seek businesses in which we believe we can add operational value through mentorship of management, knowledge of operating challenges, experience with industry dynamics, expertise in navigating public markets, and strategic relationships with investors, among others.</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 xml:space="preserve">Will Benefit from Being a Public Company: </w:t>
      </w:r>
      <w:r>
        <w:rPr>
          <w:rFonts w:ascii="Arial" w:cs="Arial" w:eastAsia="Arial" w:hAnsi="Arial"/>
          <w:sz w:val="18"/>
          <w:szCs w:val="18"/>
          <w:color w:val="auto"/>
        </w:rPr>
        <w:t>We intend to pursue a business that will benefit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a public company, including potentially having broader access to capital and a public currency for acquisitions.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are not presently engaged in, and we will not engage in, any substantive commercial business for an indefinite period of time following this offering. We intend to utilize cash derived from the proceeds of this offering and the private placement of private units, our capital stock, debt or a combination of these in effecting a business combination which has not yet been identified. Accordingly, investors in this offering are investing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Not Identified a Target Business</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To date, we have not selected any target business on which to concentrate our search for a business combination. None of our sponsor, officers, directors, promoters and other affiliates has engaged in any substantive discussions on our behalf with representatives of other companies regarding the possibility of a potential merger, capital stock exchange, asset acquisition or other similar business combination with us. Additionally, we have not engaged or retained any agent or other representative to identify or locate such companies. Finally, we have not contacted any of the prospective target businesses that Ackrell SPAC Partners I Co. or Twelve Seas Investment Company had considered and rejected. We do not currently intend to contact any of such targets; however, we may do so if we become aware that the valuations, operations, profits or prospects of such target business, or the benefits of any potential transaction with such target business, would be attractive. As a result, we cannot assure you that we will be able to locate a target business or that we will be able to engage in a business combination with a target business on favorable terms or at all.</w:t>
      </w:r>
    </w:p>
    <w:p>
      <w:pPr>
        <w:spacing w:after="0" w:line="9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Subject to our management team’s pre-existing fiduciary obligations and the fair market value requirement described below, we will have virtually unrestricted flexibility in identifying and selecting a prospective acquisition candidate. We have not established any specific attributes or criteria (financial or otherwise) for prospective target businesses other than as described above. Accordingly, there is no basis for investors in this offering to evaluate the possible merits or risks of the target business with which we may ultimately complete a business combination. Although our management will endeavor to evaluate the risks inherent in a particular target business, we cannot assure you that we will properly ascertain or assess all significant risk factors.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58"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While we have not yet selected a target business with which to consummate our initial business combination, we believe based on our management’s business knowledge and past experience that there are numerous potential candidates. We expect that our principal means of identifying potential target businesses will be through the extensive contacts and relationships of our sponsor, initial stockholders, officers and directors and their affiliates. While our officers and directors are not required to commit any specific amount of time in identifying or performing due diligence on potential target businesses, our officers and directors believe that the relationships they have developed over their careers and their access to our sponsor’s contacts and resources will generate a number of potential business combination opportunities that will warrant further investigation. We also anticipate that target business candidates will be brought to our attention from various unaffiliated sources, including investment bankers, venture capital funds, private equity funds, leveraged</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8" w:name="page59"/>
    <w:bookmarkEnd w:id="5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this prospectus and know what types of businesses we are targeting.</w:t>
      </w:r>
    </w:p>
    <w:p>
      <w:pPr>
        <w:spacing w:after="0" w:line="12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officers and directors must present to us all target business opportunities that have a fair market value of at least 80% of the assets held in the trust account (excluding taxes payable on the income accrued in the trust account) at the time of the agreement to enter into the initial business combination, subject to any pre-existing fiduciary or contractual obligations.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In addition, we may pay consulting, success or finder fees to our sponsor, officers, directors, initial stockholders or their affiliates in connection with the consummation of our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104"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We have no present intention to enter into a business combination with a target business that is affiliated with any of our officers, directors or sponsor. However, we are not restricted from entering into any such transactions and may do so if (i) such transaction is approved by a majority of our disinterested independent directors and</w:t>
      </w:r>
    </w:p>
    <w:p>
      <w:pPr>
        <w:spacing w:after="0" w:line="2" w:lineRule="exact"/>
        <w:rPr>
          <w:sz w:val="20"/>
          <w:szCs w:val="20"/>
          <w:color w:val="auto"/>
        </w:rPr>
      </w:pPr>
    </w:p>
    <w:p>
      <w:pPr>
        <w:jc w:val="both"/>
        <w:ind w:left="460" w:right="459" w:hanging="6"/>
        <w:spacing w:after="0" w:line="255" w:lineRule="auto"/>
        <w:tabs>
          <w:tab w:leader="none" w:pos="7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obtain an opinion from an independent investment banking firm, or another independent entity that commonly renders valuation opinions, that the business combination is fair to our unaffiliated stockholders from a financial point of view.</w:t>
      </w:r>
    </w:p>
    <w:p>
      <w:pPr>
        <w:spacing w:after="0" w:line="10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Unlike other blank check company offerings, we have structured our offering to be an offering of units that consist of one subunit (consisting of one share of common stock and one-quarter of a warrant) and one-quarter of a warrant. We have structured our offering in this fashion for two primary reasons:</w:t>
      </w:r>
    </w:p>
    <w:p>
      <w:pPr>
        <w:spacing w:after="0" w:line="116" w:lineRule="exact"/>
        <w:rPr>
          <w:sz w:val="20"/>
          <w:szCs w:val="20"/>
          <w:color w:val="auto"/>
        </w:rPr>
      </w:pPr>
    </w:p>
    <w:p>
      <w:pPr>
        <w:jc w:val="both"/>
        <w:ind w:left="1320" w:right="459" w:hanging="434"/>
        <w:spacing w:after="0" w:line="255" w:lineRule="auto"/>
        <w:tabs>
          <w:tab w:leader="none" w:pos="15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24" w:lineRule="exact"/>
        <w:rPr>
          <w:rFonts w:ascii="Arial" w:cs="Arial" w:eastAsia="Arial" w:hAnsi="Arial"/>
          <w:sz w:val="18"/>
          <w:szCs w:val="18"/>
          <w:color w:val="auto"/>
        </w:rPr>
      </w:pPr>
    </w:p>
    <w:p>
      <w:pPr>
        <w:jc w:val="both"/>
        <w:ind w:left="1320" w:right="459" w:hanging="434"/>
        <w:spacing w:after="0" w:line="275" w:lineRule="auto"/>
        <w:tabs>
          <w:tab w:leader="none" w:pos="143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Minimize Dilution. This structure will reduce the total number of warrants outstanding, as compared to a structure in which one unit consists of one share and one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95"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158"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Subject to our management team’s pre-existing fiduciary obligations and the limitations that a target business have a fair market value of at least 80% of the balance in the trust account (excluding the taxes payable on the interest earned on the trust account)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w:t>
      </w:r>
    </w:p>
    <w:p>
      <w:pPr>
        <w:spacing w:after="0" w:line="12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time and costs required to select and evaluate a target business and to structure and complete the business combination cannot presently be ascertained with any degree of certainty.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Market Value of Target Business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Nasdaq listing rules require that the target business or businesses that we acquire must collectively have a fair market value equal to at least 80% of the balance of the funds in the trust account (excluding the taxes payable on the interest earned on the trust account) at the time of the execution of a definitive agreement for our initial business combination. Notwithstanding the foregoing, if we are not then listed on Nasdaq for whatever reason, we would no longer be required to meet the foregoing 80% fair market value test.</w:t>
      </w:r>
    </w:p>
    <w:p>
      <w:pPr>
        <w:spacing w:after="0" w:line="10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currently anticipate structuring a business combination to acquire 100% of the equity interests or assets of the target business or businesses. We may, however, structure our initial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trust account balance test.</w:t>
      </w:r>
    </w:p>
    <w:p>
      <w:pPr>
        <w:spacing w:after="0" w:line="10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to independently determine that the target business has a sufficient fair market value, we will obtain an opinion from an unaffiliated, independent investment banking firm, or another independent entity that commonly renders valuation opinions, with respect to the satisfaction of such criteria. Additionally, pursuant to Nasdaq rules, any initial business combination must be approved by a majority of our independent directors.</w:t>
      </w:r>
    </w:p>
    <w:p>
      <w:pPr>
        <w:spacing w:after="0" w:line="100"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We will not be required to obtain an opinion from an investment banking firm as to the fair market value if our board of directors independently determines that the target business complies with the 80% threshold.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Although this process may entail the simultaneous acquisitions of several operating businesses and we may seek to effect a business combination with more than one target business, we expect to complete our business combination with a single business.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a business combination with only a single entity, our lack of diversification may:</w:t>
      </w:r>
    </w:p>
    <w:p>
      <w:pPr>
        <w:spacing w:after="0" w:line="111" w:lineRule="exact"/>
        <w:rPr>
          <w:sz w:val="20"/>
          <w:szCs w:val="20"/>
          <w:color w:val="auto"/>
        </w:rPr>
      </w:pPr>
    </w:p>
    <w:p>
      <w:pPr>
        <w:jc w:val="both"/>
        <w:ind w:left="1320" w:right="459" w:hanging="434"/>
        <w:spacing w:after="0" w:line="263" w:lineRule="auto"/>
        <w:tabs>
          <w:tab w:leader="none" w:pos="14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us to numerous economic, competitive and regulatory developments, any or all of which may have a substantial adverse impact upon the particular industry in which we may operate subsequent to a business combination, and</w:t>
      </w:r>
    </w:p>
    <w:p>
      <w:pPr>
        <w:spacing w:after="0" w:line="102" w:lineRule="exact"/>
        <w:rPr>
          <w:rFonts w:ascii="Arial" w:cs="Arial" w:eastAsia="Arial" w:hAnsi="Arial"/>
          <w:sz w:val="18"/>
          <w:szCs w:val="18"/>
          <w:color w:val="auto"/>
        </w:rPr>
      </w:pPr>
    </w:p>
    <w:p>
      <w:pPr>
        <w:ind w:left="1320" w:right="479" w:hanging="434"/>
        <w:spacing w:after="0" w:line="342" w:lineRule="auto"/>
        <w:tabs>
          <w:tab w:leader="none" w:pos="13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result in our dependency upon the performance of a single operating business or the development or market acceptance of a single or limited number of products, processes or services.</w:t>
      </w:r>
    </w:p>
    <w:p>
      <w:pPr>
        <w:spacing w:after="0" w:line="5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If we determine to simultaneously acquire several businesses and such businesses are owned by different sellers, we will need for each of such sellers to agree that our purchase of its business is contingent on the simultaneous closings of the other acquisitions, which may make it more difficult for us, and delay our ability, to complete the business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combination. With multiple acquisitions,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 Business’ Management</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Although we intend to scrutinize the management of a prospective target business when evaluating the desirability of effecting a business combination, we cannot assure you that our assessment of the target business’ management will prove to be correct. In addition, we cannot assure you that the future management will have the necessary skills, qualifications or abilities to manage a public company. Furthermore, the future role of our officers and directors, if any, in the target business following a business combination cannot presently be stated with any certainty. While it is possible that some of our key personnel will remain associated in senior management or advisory positions with us following a business combination, it is unlikely that they will devote their full time efforts to our affairs subsequent to a business combination. Moreover, they would only be able to remain with the company after the consummation of a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a business combination will not be the determining factor in our decision as to whether or not we will proceed with any potential business combination. Additionally, we cannot assure you that our officers and directors will have significant experience or knowledge relating to the operations of the particular target business.</w:t>
      </w:r>
    </w:p>
    <w:p>
      <w:pPr>
        <w:spacing w:after="0" w:line="10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any such additional managers we do recruit will have the requisite skills, knowledge or experience necessary to enhance the incumbent management.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14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proposed business combination, we will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all of his, her or its subunits rather than some pro rata portion of his, her or its subunits.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decide to allow our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2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chose our net tangible asset threshold of $5,000,001 to ensure that we would avoid being subject to Rule 419 promulgated under the Securities Act of 1933, as amended.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either immediately prior to or upon consummation and this may force us to seek third party financing which may not be available on terms acceptable to us or at all. As a</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result, we may not be able to consummate such initial business combination and we may not be able to locate another suitable target within the applicable time period, if at all. Public stockholders may therefore have to wait 18 months in order to be able to receive a pro rata share of the trust account.</w:t>
      </w:r>
    </w:p>
    <w:p>
      <w:pPr>
        <w:spacing w:after="0" w:line="116"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Our sponsor, initial stockholders, officers and directors have agreed (1) to vote any shares of common stock owned by them in favor of any proposed business combination, (2) not to convert any founder shares or subunits in connection with a stockholder vote to approve a proposed initial business combination and (3) not sell any founder shares of subunits in any tender in connection with a proposed initial business combination.</w:t>
      </w:r>
    </w:p>
    <w:p>
      <w:pPr>
        <w:spacing w:after="0" w:line="9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None of our officers, directors, sponsor, initial stockholders or their affiliates has indicated any intention to purchase units, subunits or warrants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sponsor, initial stockholders or their affiliates could make such purchases in the open market or in private transactions in order to influence the vote. Notwithstanding the foregoing, our officers, directors, sponsor, initial stockholders and their affiliates will not make purchases of units, subunits or warrants if the purchases would violate Section 9(a)(2) or Rule 10b-5 of the Exchange Act, which are rules designed to stop potential manipulation of a company’s stock.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At any meeting called to approve an initial business combination, public stockholders may seek to convert their subunits, regardless of whether they vote for or against the proposed business combination or do not vote at all, into their pro rata share of the aggregate amount then on deposit in the trust account as of two business days prior to the consummation of the initial business combination, less any taxes then due but not yet paid. Alternatively, we may provide our public stockholders with the opportunity to sell their subunits to us through a tender offer (and thereby avoid the need for a stockholder vote) for an amount equal to their pro rata share of the aggregate amount then on deposit in the trust account, less any taxes then due but not yet paid.</w:t>
      </w:r>
    </w:p>
    <w:p>
      <w:pPr>
        <w:spacing w:after="0" w:line="9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Our sponsor, initial stockholders and our officers and directors will not have conversion rights with respect to any founder shares or subunits owned by them, directly or indirectly, whether acquired prior to this offering or purchased by them in this offering or in the aftermarket. Additionally, the holders of the representative shares will not have conversion rights with respect to the representative shares.</w:t>
      </w:r>
    </w:p>
    <w:p>
      <w:pPr>
        <w:spacing w:after="0" w:line="104"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7"/>
          <w:szCs w:val="17"/>
          <w:color w:val="auto"/>
        </w:rPr>
        <w:t>Furthermore, public stockholders who redeem or tender their subunits for their pro rata share of the trust account will continue to have the right to exercise any warrants held by them which are not included in a subunit, but will automatically forfeit the warrants included in the redeemed subunits. This is different than other similarly structured blank check companies where a redeeming or tendering stockholder is able to keep any warrants he may still hold, whether included in a unit or held separately. Common stock alone will not be entitled to receive the redemption amount. Accordingly, investors may have a disincentive to exercise the redemption rights because they will automatically forfeit, without the receipt of any additional consideration, the portion of the warrant included in the subunit.</w:t>
      </w:r>
    </w:p>
    <w:p>
      <w:pPr>
        <w:spacing w:after="0" w:line="97"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We may require public holders of subunits, whether they are a record holder or hold their subunits in “street name,” to either (i) tender their certificates to our transfer agent or (ii) deliver their subunits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20" w:lineRule="exact"/>
        <w:rPr>
          <w:sz w:val="20"/>
          <w:szCs w:val="20"/>
          <w:color w:val="auto"/>
        </w:rPr>
      </w:pPr>
    </w:p>
    <w:p>
      <w:pPr>
        <w:jc w:val="both"/>
        <w:ind w:left="460" w:right="479"/>
        <w:spacing w:after="0" w:line="290" w:lineRule="auto"/>
        <w:rPr>
          <w:sz w:val="20"/>
          <w:szCs w:val="20"/>
          <w:color w:val="auto"/>
        </w:rPr>
      </w:pPr>
      <w:r>
        <w:rPr>
          <w:rFonts w:ascii="Arial" w:cs="Arial" w:eastAsia="Arial" w:hAnsi="Arial"/>
          <w:sz w:val="16"/>
          <w:szCs w:val="16"/>
          <w:color w:val="auto"/>
        </w:rPr>
        <w:t>There is a nominal cost associated with the above-referenced delivery process and the act of certificating the subunits or delivering them through the DWAC System. The transfer agent will typically charge the tendering broker $45.00 and it would be up to the broker whether or not to pass this cost on to the holder. However, this fee would be incurred regardless of whether or not we require holders seeking to exercise conversion rights. The need to deliver subunits is a requirement of exercising conversion rights regardless of the timing of when such delivery must be effectuated. However, in the event we require stockholders seeking to exercise conversion rights prior to the consummation of the proposed business combination and the proposed business combination is not consummated this may result in an increased cost to stockholders.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Any proxy solicitation materials we furnish to stockholders in connection with a vote for any proposed business combination will indicate whether we are requiring stockholders to satisfy such certification and delivery requirements. Accordingly, a stockholder would have from the time the stockholder received our proxy statement up until the vote on the proposal to approve the business combination to deliver his shares if he wishes to seek to exercise his conversion rights. This time period varies depending on the specific facts of each transaction. However, as the delivery process can be accomplished by the stockholder, whether or not he is a record holder or his shares are held in “street name,” in a matter of hours by simply contacting the transfer agent or his broker and requesting delivery of his shares through the DWAC System, we believe this time period is sufficient for an average investor. However, we cannot assure you of this fact. Please see the risk factor titled “</w:t>
      </w:r>
      <w:r>
        <w:rPr>
          <w:rFonts w:ascii="Arial" w:cs="Arial" w:eastAsia="Arial" w:hAnsi="Arial"/>
          <w:sz w:val="17"/>
          <w:szCs w:val="17"/>
          <w:i w:val="1"/>
          <w:iCs w:val="1"/>
          <w:color w:val="auto"/>
        </w:rPr>
        <w:t>In connection with any stockholder meeting called to approve a proposed initial business combination, we may</w:t>
      </w:r>
      <w:r>
        <w:rPr>
          <w:rFonts w:ascii="Arial" w:cs="Arial" w:eastAsia="Arial" w:hAnsi="Arial"/>
          <w:sz w:val="17"/>
          <w:szCs w:val="17"/>
          <w:color w:val="auto"/>
        </w:rPr>
        <w:t xml:space="preserve"> </w:t>
      </w:r>
      <w:r>
        <w:rPr>
          <w:rFonts w:ascii="Arial" w:cs="Arial" w:eastAsia="Arial" w:hAnsi="Arial"/>
          <w:sz w:val="17"/>
          <w:szCs w:val="17"/>
          <w:i w:val="1"/>
          <w:iCs w:val="1"/>
          <w:color w:val="auto"/>
        </w:rPr>
        <w:t>require stockholders who wish to convert their subunits in connection with a proposed business combination to comply with specific requirements for conversion that may make it more difficult for them to exercise their conversion rights prior to the deadline for exercising their rights</w:t>
      </w:r>
      <w:r>
        <w:rPr>
          <w:rFonts w:ascii="Arial" w:cs="Arial" w:eastAsia="Arial" w:hAnsi="Arial"/>
          <w:sz w:val="17"/>
          <w:szCs w:val="17"/>
          <w:color w:val="auto"/>
        </w:rPr>
        <w:t>” for further information on the risks of failing</w:t>
      </w:r>
      <w:r>
        <w:rPr>
          <w:rFonts w:ascii="Arial" w:cs="Arial" w:eastAsia="Arial" w:hAnsi="Arial"/>
          <w:sz w:val="17"/>
          <w:szCs w:val="17"/>
          <w:i w:val="1"/>
          <w:iCs w:val="1"/>
          <w:color w:val="auto"/>
        </w:rPr>
        <w:t xml:space="preserve"> </w:t>
      </w:r>
      <w:r>
        <w:rPr>
          <w:rFonts w:ascii="Arial" w:cs="Arial" w:eastAsia="Arial" w:hAnsi="Arial"/>
          <w:sz w:val="17"/>
          <w:szCs w:val="17"/>
          <w:color w:val="auto"/>
        </w:rPr>
        <w:t>to comply with these requirements.</w:t>
      </w:r>
    </w:p>
    <w:p>
      <w:pPr>
        <w:spacing w:after="0" w:line="117"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Any request to convert such subunits once made, may be withdrawn at any time up to the vote on the proposed business combination or the expiration of the tender offer. Furthermore, if a holder of a public subunit delivered his certificate in connection with an election of their conversion and subsequently decides prior to the applicable date not to elect to exercise such rights, he may simply request that the transfer agent return the certificate (physically or electronically).</w:t>
      </w:r>
    </w:p>
    <w:p>
      <w:pPr>
        <w:spacing w:after="0" w:line="12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If the initial business combination is not approved or completed for any reason, then our public stockholders who elected to exercise their conversion rights would not be entitled to convert their subunits for the applicable pro rata share of the trust account as of two business days prior to the consummation of the initial business combination. In such case, we will promptly return any subunits delivered by public 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if No Business Combination</w:t>
      </w:r>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amended and restated certificate of incorporation provides that we will have only 18 months to complete an initial business combination from the closing of this offering. If we have not completed an initial business combination by such date, we will (i) cease all operations except for the purpose of winding up and (ii) as promptly as reasonably possible but not more than ten business days thereafter, redeem 100% of the outstanding public subunits, at a per-share price, payable in cash, equal to the aggregate amount then on deposit in the trust account, including any interest not previously released to us but net of taxes payable, divided by the number of then outstanding public subunits, which redemption will completely extinguish public stockholders’ rights as stockholders (including the right to receive further liquidation distributions, if any), subject to applicable law. Public stockholders will also forfeit the one-quarter of a warrant included in the subunits being redeemed. As promptly as reasonably possible following such redemption, subject to the approval of our remaining stockholders and our board of directors, we will dissolve and liquidate, subject to our obligations under Delaware law to provide for claims of creditors and the requirements of other applicable law.</w:t>
      </w:r>
    </w:p>
    <w:p>
      <w:pPr>
        <w:spacing w:after="0" w:line="100"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Our sponsor, initial stockholders, officers and directors have agreed that they will not propose any amendment to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this offering unless we provide our public stockholders with the opportunity to convert their subunits upon such approval at a per-subunit price, payable in cash, equal to the aggregate amount then on deposit in the trust account, including interest not previously released to us but net of franchise and income taxes payable, divided by the number of then outstanding public subunits. This redemption right shall apply in the event of the approval of any such amendment, whether proposed by our sponsor, initial stockholders, executive officers, directors or any other person.</w:t>
      </w:r>
    </w:p>
    <w:p>
      <w:pPr>
        <w:spacing w:after="0" w:line="10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subunits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subunit as soon as reasonably possible following our 18</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1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subunits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w:t>
      </w:r>
    </w:p>
    <w:p>
      <w:pPr>
        <w:spacing w:after="0" w:line="11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w:t>
      </w:r>
    </w:p>
    <w:p>
      <w:pPr>
        <w:spacing w:after="0" w:line="11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are required to seek to have all third parties (including any vendors or other entities we engage after this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the offering, will not execute agreements with us waiving such claims to the monies held in the trust account. Furthermore, there is no guarantee that other vendors, service providers and 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subunit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our sponsor entered into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this offering against certain liabilities, including liabilities under the Securities Act. As a result, if we liquidate, the per-subunit distribution from the trust account could be less than $10.00 due to claims or potential claims of creditors.</w:t>
      </w:r>
    </w:p>
    <w:p>
      <w:pPr>
        <w:spacing w:after="0" w:line="323"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anticipate notifying the trustee of the trust account to begin liquidating such assets promptly after the 18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month and anticipate it will take no more than 10 business days to effectuate such distribution. The holders of the founder shares and private subunits have waived their rights to participate in any liquidation distribution from the trust account with respect to such shares and subunits.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we are unable to complete an initial business combination and expend all of the net proceeds of this offering, other than the proceeds deposited in the trust account, and without taking into account interest, if any, earned on the trust account, the initial per-subunit redemption price would be $10.00. The proceeds deposited in the trust account could, however, become subject to claims of our creditors that are in preference to the claims of public stockholders.</w:t>
      </w:r>
    </w:p>
    <w:p>
      <w:pPr>
        <w:spacing w:after="0" w:line="12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a business combination within the required time period, if the stockholders seek to have us convert or purchase their respective subunits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w:t>
      </w:r>
    </w:p>
    <w:p>
      <w:pPr>
        <w:spacing w:after="0" w:line="12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subunit.</w:t>
      </w:r>
    </w:p>
    <w:p>
      <w:pPr>
        <w:spacing w:after="0" w:line="10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18 months from the closing of this offering,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amended and restated certificate of incorporation contains certain requirements and restrictions relating to this offering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this offering, we will provide dissenting public stockholders with the opportunity to convert their public subunits in connection with any such vote. This conversion right shall apply in the event of the approval of any such amendment, whether proposed by our sponsor, any executive officer, director or director nominee, or any other person. Our sponsor, officers and directors have agreed to waive any conversion rights with respect to any founder shares, private subunits, private shares and any public subunits they may hold in connection with any vote to amend our amended and restated certificate of incorporation. Specifically, our amended and restated certificate of incorporation provides, among other things, that:</w:t>
      </w:r>
    </w:p>
    <w:p>
      <w:pPr>
        <w:spacing w:after="0" w:line="117" w:lineRule="exact"/>
        <w:rPr>
          <w:sz w:val="20"/>
          <w:szCs w:val="20"/>
          <w:color w:val="auto"/>
        </w:rPr>
      </w:pPr>
    </w:p>
    <w:p>
      <w:pPr>
        <w:jc w:val="both"/>
        <w:ind w:left="1320" w:right="459" w:hanging="434"/>
        <w:spacing w:after="0" w:line="286" w:lineRule="auto"/>
        <w:tabs>
          <w:tab w:leader="none" w:pos="13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shall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w:t>
      </w:r>
    </w:p>
    <w:p>
      <w:pPr>
        <w:spacing w:after="0" w:line="1" w:lineRule="exact"/>
        <w:rPr>
          <w:rFonts w:ascii="Arial" w:cs="Arial" w:eastAsia="Arial" w:hAnsi="Arial"/>
          <w:sz w:val="16"/>
          <w:szCs w:val="16"/>
          <w:color w:val="auto"/>
        </w:rPr>
      </w:pPr>
    </w:p>
    <w:p>
      <w:pPr>
        <w:jc w:val="both"/>
        <w:ind w:left="1320" w:right="459" w:hanging="2"/>
        <w:spacing w:after="0" w:line="253" w:lineRule="auto"/>
        <w:tabs>
          <w:tab w:leader="none" w:pos="1589" w:val="left"/>
        </w:tabs>
        <w:numPr>
          <w:ilvl w:val="1"/>
          <w:numId w:val="31"/>
        </w:numPr>
        <w:rPr>
          <w:rFonts w:ascii="Arial" w:cs="Arial" w:eastAsia="Arial" w:hAnsi="Arial"/>
          <w:sz w:val="18"/>
          <w:szCs w:val="18"/>
          <w:color w:val="auto"/>
        </w:rPr>
      </w:pPr>
      <w:r>
        <w:rPr>
          <w:rFonts w:ascii="Arial" w:cs="Arial" w:eastAsia="Arial" w:hAnsi="Arial"/>
          <w:sz w:val="18"/>
          <w:szCs w:val="18"/>
          <w:color w:val="auto"/>
        </w:rPr>
        <w:t>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9" w:lineRule="auto"/>
        <w:tabs>
          <w:tab w:leader="none" w:pos="13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19" w:lineRule="exact"/>
        <w:rPr>
          <w:rFonts w:ascii="Arial" w:cs="Arial" w:eastAsia="Arial" w:hAnsi="Arial"/>
          <w:sz w:val="18"/>
          <w:szCs w:val="18"/>
          <w:color w:val="auto"/>
        </w:rPr>
      </w:pPr>
    </w:p>
    <w:p>
      <w:pPr>
        <w:jc w:val="both"/>
        <w:ind w:left="1320" w:right="459" w:hanging="434"/>
        <w:spacing w:after="0" w:line="263" w:lineRule="auto"/>
        <w:tabs>
          <w:tab w:leader="none" w:pos="14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months from the closing of this offering, then we will redeem all of the outstanding public subunits and thereafter liquidate and dissolve our company;</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consummation of this offering, $120.0 million, or $138.0 million if the over-allotment option is exercised in full, shall be placed into the trust account;</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4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16"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stock that participates in any manner in the proceeds of the trust account, or that votes as a class with the common stock sold in this offering on an initial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that there may be numerous potential target businesses that we could acquire with the net proceeds of this offering, our ability to compete in acquiring certain sizable target businesses may be limited by our available financial resources.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58" w:lineRule="exact"/>
        <w:rPr>
          <w:sz w:val="20"/>
          <w:szCs w:val="20"/>
          <w:color w:val="auto"/>
        </w:rPr>
      </w:pPr>
    </w:p>
    <w:p>
      <w:pPr>
        <w:ind w:left="1320" w:right="459" w:hanging="434"/>
        <w:spacing w:after="0" w:line="277" w:lineRule="auto"/>
        <w:tabs>
          <w:tab w:leader="none" w:pos="13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obligation to seek stockholder approval of a business combination or engage in a tender offer may delay the completion of a transaction;</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obligation to convert or repurchase subunits held by our public stockholders may reduce the resources available to us for a business combination;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outstanding warrants, and the potential future dilution they represent.</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privately-held entities having a similar business objective as ours in acquiring a target business with significant growth potential on favorable terms.</w:t>
      </w:r>
    </w:p>
    <w:p>
      <w:pPr>
        <w:spacing w:after="0" w:line="12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currently maintain our principal executive offices at 2093 Philadelphia Pike #1968, Claymont, DE 19703. The cost for this space is included in the $10,000 per-month fee SPAC Partners LLC, an affiliate of our Chief Executive Officer, will charge us for general and administrative services commencing on the date of this prospectus pursuant to a letter agreement between us and our sponsor. We believe that the fee charged by such party is at least as favorable as we could have obtained from an unaffiliated person. We consider our current office space, combined with the other office space otherwise available to our executive officers, adequate for our current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have three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acquire has been located, management may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full time employees prior to the consummation of a business combination.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6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have registered our units, subunits,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0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generally accepted accounting principles or international financial reporting standards.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spacing w:after="0" w:line="11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may be required to have our internal control procedures audited for the fiscal year ending December 31, 2022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have net tangible assets in excess of $5,000,000 upon the successful consummation of this offering and will file a Current Report on Form 8-K, including an audited balance sheet demonstrating this fact.</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640" w:right="120" w:hanging="179"/>
        <w:spacing w:after="0" w:line="386" w:lineRule="auto"/>
        <w:rPr>
          <w:sz w:val="20"/>
          <w:szCs w:val="20"/>
          <w:color w:val="auto"/>
        </w:rPr>
      </w:pPr>
      <w:r>
        <w:rPr>
          <w:rFonts w:ascii="Arial" w:cs="Arial" w:eastAsia="Arial" w:hAnsi="Arial"/>
          <w:sz w:val="15"/>
          <w:szCs w:val="15"/>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Arial" w:cs="Arial" w:eastAsia="Arial" w:hAnsi="Arial"/>
                <w:sz w:val="16"/>
                <w:szCs w:val="16"/>
                <w:b w:val="1"/>
                <w:bCs w:val="1"/>
                <w:color w:val="auto"/>
              </w:rPr>
              <w:t>Terms of the Offering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820" w:type="dxa"/>
            <w:vAlign w:val="bottom"/>
            <w:tcBorders>
              <w:bottom w:val="single" w:sz="8" w:color="auto"/>
            </w:tcBorders>
            <w:gridSpan w:val="4"/>
          </w:tcPr>
          <w:p>
            <w:pPr>
              <w:spacing w:after="0"/>
              <w:rPr>
                <w:sz w:val="4"/>
                <w:szCs w:val="4"/>
                <w:color w:val="auto"/>
              </w:rPr>
            </w:pPr>
          </w:p>
        </w:tc>
        <w:tc>
          <w:tcPr>
            <w:tcW w:w="100" w:type="dxa"/>
            <w:vAlign w:val="bottom"/>
            <w:vMerge w:val="restart"/>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820" w:type="dxa"/>
            <w:vAlign w:val="bottom"/>
            <w:gridSpan w:val="4"/>
          </w:tcPr>
          <w:p>
            <w:pPr>
              <w:spacing w:after="0" w:line="195" w:lineRule="exact"/>
              <w:rPr>
                <w:sz w:val="20"/>
                <w:szCs w:val="20"/>
                <w:color w:val="auto"/>
              </w:rPr>
            </w:pPr>
            <w:r>
              <w:rPr>
                <w:rFonts w:ascii="Arial" w:cs="Arial" w:eastAsia="Arial" w:hAnsi="Arial"/>
                <w:sz w:val="18"/>
                <w:szCs w:val="18"/>
                <w:color w:val="auto"/>
                <w:w w:val="89"/>
              </w:rPr>
              <w:t>$120,000,000 of the proceeds from this</w:t>
            </w:r>
          </w:p>
        </w:tc>
        <w:tc>
          <w:tcPr>
            <w:tcW w:w="100" w:type="dxa"/>
            <w:vAlign w:val="bottom"/>
            <w:vMerge w:val="continue"/>
          </w:tcPr>
          <w:p>
            <w:pPr>
              <w:spacing w:after="0"/>
              <w:rPr>
                <w:sz w:val="16"/>
                <w:szCs w:val="16"/>
                <w:color w:val="auto"/>
              </w:rPr>
            </w:pPr>
          </w:p>
        </w:tc>
        <w:tc>
          <w:tcPr>
            <w:tcW w:w="2940" w:type="dxa"/>
            <w:vAlign w:val="bottom"/>
          </w:tcPr>
          <w:p>
            <w:pPr>
              <w:spacing w:after="0" w:line="195" w:lineRule="exact"/>
              <w:rPr>
                <w:sz w:val="20"/>
                <w:szCs w:val="20"/>
                <w:color w:val="auto"/>
              </w:rPr>
            </w:pPr>
            <w:r>
              <w:rPr>
                <w:rFonts w:ascii="Arial" w:cs="Arial" w:eastAsia="Arial" w:hAnsi="Arial"/>
                <w:sz w:val="18"/>
                <w:szCs w:val="18"/>
                <w:color w:val="auto"/>
                <w:w w:val="95"/>
              </w:rPr>
              <w:t>$105,840,000 of the offering proceeds</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w w:val="98"/>
              </w:rPr>
              <w:t>offering and sale of the private units</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5"/>
              </w:rPr>
              <w:t>would be required to be deposited into</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rPr>
              <w:t>will be deposited into a U.S.-based</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either  an  escrow  account  with  an</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trust</w:t>
            </w:r>
          </w:p>
        </w:tc>
        <w:tc>
          <w:tcPr>
            <w:tcW w:w="880" w:type="dxa"/>
            <w:vAlign w:val="bottom"/>
          </w:tcPr>
          <w:p>
            <w:pPr>
              <w:ind w:left="160"/>
              <w:spacing w:after="0"/>
              <w:rPr>
                <w:sz w:val="20"/>
                <w:szCs w:val="20"/>
                <w:color w:val="auto"/>
              </w:rPr>
            </w:pPr>
            <w:r>
              <w:rPr>
                <w:rFonts w:ascii="Arial" w:cs="Arial" w:eastAsia="Arial" w:hAnsi="Arial"/>
                <w:sz w:val="18"/>
                <w:szCs w:val="18"/>
                <w:color w:val="auto"/>
              </w:rPr>
              <w:t>account</w:t>
            </w:r>
          </w:p>
        </w:tc>
        <w:tc>
          <w:tcPr>
            <w:tcW w:w="1120" w:type="dxa"/>
            <w:vAlign w:val="bottom"/>
          </w:tcPr>
          <w:p>
            <w:pPr>
              <w:ind w:left="160"/>
              <w:spacing w:after="0"/>
              <w:rPr>
                <w:sz w:val="20"/>
                <w:szCs w:val="20"/>
                <w:color w:val="auto"/>
              </w:rPr>
            </w:pPr>
            <w:r>
              <w:rPr>
                <w:rFonts w:ascii="Arial" w:cs="Arial" w:eastAsia="Arial" w:hAnsi="Arial"/>
                <w:sz w:val="18"/>
                <w:szCs w:val="18"/>
                <w:color w:val="auto"/>
              </w:rPr>
              <w:t>maintained</w:t>
            </w:r>
          </w:p>
        </w:tc>
        <w:tc>
          <w:tcPr>
            <w:tcW w:w="340" w:type="dxa"/>
            <w:vAlign w:val="bottom"/>
          </w:tcPr>
          <w:p>
            <w:pPr>
              <w:ind w:left="160"/>
              <w:spacing w:after="0"/>
              <w:rPr>
                <w:sz w:val="20"/>
                <w:szCs w:val="20"/>
                <w:color w:val="auto"/>
              </w:rPr>
            </w:pPr>
            <w:r>
              <w:rPr>
                <w:rFonts w:ascii="Arial" w:cs="Arial" w:eastAsia="Arial" w:hAnsi="Arial"/>
                <w:sz w:val="18"/>
                <w:szCs w:val="18"/>
                <w:color w:val="auto"/>
                <w:w w:val="83"/>
              </w:rPr>
              <w:t>by</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insured depositary institution or in a</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w w:val="94"/>
              </w:rPr>
              <w:t>Continental  Stock  Transfer  &amp;  Trust</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2"/>
              </w:rPr>
              <w:t>separate bank account established by a</w:t>
            </w:r>
          </w:p>
        </w:tc>
        <w:tc>
          <w:tcPr>
            <w:tcW w:w="0" w:type="dxa"/>
            <w:vAlign w:val="bottom"/>
          </w:tcPr>
          <w:p>
            <w:pPr>
              <w:spacing w:after="0"/>
              <w:rPr>
                <w:sz w:val="1"/>
                <w:szCs w:val="1"/>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Company, acting as trustee</w:t>
            </w:r>
          </w:p>
        </w:tc>
        <w:tc>
          <w:tcPr>
            <w:tcW w:w="34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1"/>
              </w:rPr>
              <w:t>broker-dealer in which the broker-dealer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7"/>
              </w:rPr>
              <w:t>acts as trustee for persons having the</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beneficial interests in the account.</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2">
            <w:col w:w="1980" w:space="720"/>
            <w:col w:w="631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20"/>
        </w:trPr>
        <w:tc>
          <w:tcPr>
            <w:tcW w:w="2580" w:type="dxa"/>
            <w:vAlign w:val="bottom"/>
          </w:tcPr>
          <w:p>
            <w:pPr>
              <w:spacing w:after="0"/>
              <w:rPr>
                <w:sz w:val="20"/>
                <w:szCs w:val="20"/>
                <w:color w:val="auto"/>
              </w:rPr>
            </w:pPr>
            <w:r>
              <w:rPr>
                <w:rFonts w:ascii="Arial" w:cs="Arial" w:eastAsia="Arial" w:hAnsi="Arial"/>
                <w:sz w:val="18"/>
                <w:szCs w:val="18"/>
                <w:b w:val="1"/>
                <w:bCs w:val="1"/>
                <w:color w:val="auto"/>
                <w:w w:val="93"/>
              </w:rPr>
              <w:t xml:space="preserve">Investment of net proceeds  </w:t>
            </w:r>
            <w:r>
              <w:rPr>
                <w:rFonts w:ascii="Arial" w:cs="Arial" w:eastAsia="Arial" w:hAnsi="Arial"/>
                <w:sz w:val="18"/>
                <w:szCs w:val="18"/>
                <w:color w:val="auto"/>
                <w:w w:val="93"/>
              </w:rPr>
              <w:t>The</w:t>
            </w:r>
          </w:p>
        </w:tc>
        <w:tc>
          <w:tcPr>
            <w:tcW w:w="2540" w:type="dxa"/>
            <w:vAlign w:val="bottom"/>
            <w:gridSpan w:val="4"/>
          </w:tcPr>
          <w:p>
            <w:pPr>
              <w:jc w:val="right"/>
              <w:spacing w:after="0"/>
              <w:rPr>
                <w:sz w:val="20"/>
                <w:szCs w:val="20"/>
                <w:color w:val="auto"/>
              </w:rPr>
            </w:pPr>
            <w:r>
              <w:rPr>
                <w:rFonts w:ascii="Arial" w:cs="Arial" w:eastAsia="Arial" w:hAnsi="Arial"/>
                <w:sz w:val="18"/>
                <w:szCs w:val="18"/>
                <w:color w:val="auto"/>
                <w:w w:val="98"/>
              </w:rPr>
              <w:t>$120,000,000 of proceeds from</w:t>
            </w:r>
          </w:p>
        </w:tc>
        <w:tc>
          <w:tcPr>
            <w:tcW w:w="2980" w:type="dxa"/>
            <w:vAlign w:val="bottom"/>
          </w:tcPr>
          <w:p>
            <w:pPr>
              <w:ind w:left="40"/>
              <w:spacing w:after="0"/>
              <w:rPr>
                <w:sz w:val="20"/>
                <w:szCs w:val="20"/>
                <w:color w:val="auto"/>
              </w:rPr>
            </w:pPr>
            <w:r>
              <w:rPr>
                <w:rFonts w:ascii="Arial" w:cs="Arial" w:eastAsia="Arial" w:hAnsi="Arial"/>
                <w:sz w:val="18"/>
                <w:szCs w:val="18"/>
                <w:color w:val="auto"/>
                <w:w w:val="96"/>
              </w:rPr>
              <w:t>Proceeds  could  be  invested  only  in</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rPr>
              <w:t>this offering and sale of the private</w:t>
            </w:r>
          </w:p>
        </w:tc>
        <w:tc>
          <w:tcPr>
            <w:tcW w:w="2980" w:type="dxa"/>
            <w:vAlign w:val="bottom"/>
          </w:tcPr>
          <w:p>
            <w:pPr>
              <w:ind w:left="40"/>
              <w:spacing w:after="0"/>
              <w:rPr>
                <w:sz w:val="20"/>
                <w:szCs w:val="20"/>
                <w:color w:val="auto"/>
              </w:rPr>
            </w:pPr>
            <w:r>
              <w:rPr>
                <w:rFonts w:ascii="Arial" w:cs="Arial" w:eastAsia="Arial" w:hAnsi="Arial"/>
                <w:sz w:val="18"/>
                <w:szCs w:val="18"/>
                <w:color w:val="auto"/>
                <w:w w:val="99"/>
              </w:rPr>
              <w:t>specified securities such as a money</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4"/>
              </w:rPr>
              <w:t>units held in trust will only be invested</w:t>
            </w:r>
          </w:p>
        </w:tc>
        <w:tc>
          <w:tcPr>
            <w:tcW w:w="2980" w:type="dxa"/>
            <w:vAlign w:val="bottom"/>
          </w:tcPr>
          <w:p>
            <w:pPr>
              <w:ind w:left="40"/>
              <w:spacing w:after="0"/>
              <w:rPr>
                <w:sz w:val="20"/>
                <w:szCs w:val="20"/>
                <w:color w:val="auto"/>
              </w:rPr>
            </w:pPr>
            <w:r>
              <w:rPr>
                <w:rFonts w:ascii="Arial" w:cs="Arial" w:eastAsia="Arial" w:hAnsi="Arial"/>
                <w:sz w:val="18"/>
                <w:szCs w:val="18"/>
                <w:color w:val="auto"/>
                <w:w w:val="97"/>
              </w:rPr>
              <w:t>market fund meeting conditions of the</w:t>
            </w:r>
          </w:p>
        </w:tc>
      </w:tr>
      <w:tr>
        <w:trPr>
          <w:trHeight w:val="216"/>
        </w:trPr>
        <w:tc>
          <w:tcPr>
            <w:tcW w:w="2580" w:type="dxa"/>
            <w:vAlign w:val="bottom"/>
          </w:tcPr>
          <w:p>
            <w:pPr>
              <w:ind w:left="2240"/>
              <w:spacing w:after="0"/>
              <w:rPr>
                <w:sz w:val="20"/>
                <w:szCs w:val="20"/>
                <w:color w:val="auto"/>
              </w:rPr>
            </w:pPr>
            <w:r>
              <w:rPr>
                <w:rFonts w:ascii="Arial" w:cs="Arial" w:eastAsia="Arial" w:hAnsi="Arial"/>
                <w:sz w:val="18"/>
                <w:szCs w:val="18"/>
                <w:color w:val="auto"/>
              </w:rPr>
              <w:t>in</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United</w:t>
            </w:r>
          </w:p>
        </w:tc>
        <w:tc>
          <w:tcPr>
            <w:tcW w:w="680" w:type="dxa"/>
            <w:vAlign w:val="bottom"/>
          </w:tcPr>
          <w:p>
            <w:pPr>
              <w:ind w:left="40"/>
              <w:spacing w:after="0"/>
              <w:rPr>
                <w:sz w:val="20"/>
                <w:szCs w:val="20"/>
                <w:color w:val="auto"/>
              </w:rPr>
            </w:pPr>
            <w:r>
              <w:rPr>
                <w:rFonts w:ascii="Arial" w:cs="Arial" w:eastAsia="Arial" w:hAnsi="Arial"/>
                <w:sz w:val="18"/>
                <w:szCs w:val="18"/>
                <w:color w:val="auto"/>
              </w:rPr>
              <w:t>States</w:t>
            </w:r>
          </w:p>
        </w:tc>
        <w:tc>
          <w:tcPr>
            <w:tcW w:w="1060" w:type="dxa"/>
            <w:vAlign w:val="bottom"/>
          </w:tcPr>
          <w:p>
            <w:pPr>
              <w:jc w:val="right"/>
              <w:spacing w:after="0"/>
              <w:rPr>
                <w:sz w:val="20"/>
                <w:szCs w:val="20"/>
                <w:color w:val="auto"/>
              </w:rPr>
            </w:pPr>
            <w:r>
              <w:rPr>
                <w:rFonts w:ascii="Arial" w:cs="Arial" w:eastAsia="Arial" w:hAnsi="Arial"/>
                <w:sz w:val="18"/>
                <w:szCs w:val="18"/>
                <w:color w:val="auto"/>
                <w:w w:val="96"/>
              </w:rPr>
              <w:t>“government</w:t>
            </w:r>
          </w:p>
        </w:tc>
        <w:tc>
          <w:tcPr>
            <w:tcW w:w="2980" w:type="dxa"/>
            <w:vAlign w:val="bottom"/>
          </w:tcPr>
          <w:p>
            <w:pPr>
              <w:ind w:left="40"/>
              <w:spacing w:after="0"/>
              <w:rPr>
                <w:sz w:val="20"/>
                <w:szCs w:val="20"/>
                <w:color w:val="auto"/>
              </w:rPr>
            </w:pPr>
            <w:r>
              <w:rPr>
                <w:rFonts w:ascii="Arial" w:cs="Arial" w:eastAsia="Arial" w:hAnsi="Arial"/>
                <w:sz w:val="18"/>
                <w:szCs w:val="18"/>
                <w:color w:val="auto"/>
              </w:rPr>
              <w:t>Investment   Company   Act   or   in</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rPr>
              <w:t>securities”  within  the  meaning  of</w:t>
            </w:r>
          </w:p>
        </w:tc>
        <w:tc>
          <w:tcPr>
            <w:tcW w:w="2980" w:type="dxa"/>
            <w:vAlign w:val="bottom"/>
          </w:tcPr>
          <w:p>
            <w:pPr>
              <w:ind w:left="40"/>
              <w:spacing w:after="0"/>
              <w:rPr>
                <w:sz w:val="20"/>
                <w:szCs w:val="20"/>
                <w:color w:val="auto"/>
              </w:rPr>
            </w:pPr>
            <w:r>
              <w:rPr>
                <w:rFonts w:ascii="Arial" w:cs="Arial" w:eastAsia="Arial" w:hAnsi="Arial"/>
                <w:sz w:val="18"/>
                <w:szCs w:val="18"/>
                <w:color w:val="auto"/>
                <w:w w:val="95"/>
              </w:rPr>
              <w:t>securities that are direct obligations of,</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7"/>
              </w:rPr>
              <w:t>Section  2(a)(16)  of  the  Investment</w:t>
            </w:r>
          </w:p>
        </w:tc>
        <w:tc>
          <w:tcPr>
            <w:tcW w:w="2980" w:type="dxa"/>
            <w:vAlign w:val="bottom"/>
          </w:tcPr>
          <w:p>
            <w:pPr>
              <w:ind w:left="40"/>
              <w:spacing w:after="0"/>
              <w:rPr>
                <w:sz w:val="20"/>
                <w:szCs w:val="20"/>
                <w:color w:val="auto"/>
              </w:rPr>
            </w:pPr>
            <w:r>
              <w:rPr>
                <w:rFonts w:ascii="Arial" w:cs="Arial" w:eastAsia="Arial" w:hAnsi="Arial"/>
                <w:sz w:val="18"/>
                <w:szCs w:val="18"/>
                <w:color w:val="auto"/>
                <w:w w:val="91"/>
              </w:rPr>
              <w:t>or obligations guaranteed as to principal</w:t>
            </w:r>
          </w:p>
        </w:tc>
      </w:tr>
      <w:tr>
        <w:trPr>
          <w:trHeight w:val="216"/>
        </w:trPr>
        <w:tc>
          <w:tcPr>
            <w:tcW w:w="3000" w:type="dxa"/>
            <w:vAlign w:val="bottom"/>
            <w:gridSpan w:val="2"/>
          </w:tcPr>
          <w:p>
            <w:pPr>
              <w:ind w:left="2240"/>
              <w:spacing w:after="0"/>
              <w:rPr>
                <w:sz w:val="20"/>
                <w:szCs w:val="20"/>
                <w:color w:val="auto"/>
              </w:rPr>
            </w:pPr>
            <w:r>
              <w:rPr>
                <w:rFonts w:ascii="Arial" w:cs="Arial" w:eastAsia="Arial" w:hAnsi="Arial"/>
                <w:sz w:val="18"/>
                <w:szCs w:val="18"/>
                <w:color w:val="auto"/>
                <w:w w:val="96"/>
              </w:rPr>
              <w:t>Company</w:t>
            </w:r>
          </w:p>
        </w:tc>
        <w:tc>
          <w:tcPr>
            <w:tcW w:w="380" w:type="dxa"/>
            <w:vAlign w:val="bottom"/>
          </w:tcPr>
          <w:p>
            <w:pPr>
              <w:ind w:left="80"/>
              <w:spacing w:after="0"/>
              <w:rPr>
                <w:sz w:val="20"/>
                <w:szCs w:val="20"/>
                <w:color w:val="auto"/>
              </w:rPr>
            </w:pPr>
            <w:r>
              <w:rPr>
                <w:rFonts w:ascii="Arial" w:cs="Arial" w:eastAsia="Arial" w:hAnsi="Arial"/>
                <w:sz w:val="18"/>
                <w:szCs w:val="18"/>
                <w:color w:val="auto"/>
              </w:rPr>
              <w:t>Act</w:t>
            </w:r>
          </w:p>
        </w:tc>
        <w:tc>
          <w:tcPr>
            <w:tcW w:w="680" w:type="dxa"/>
            <w:vAlign w:val="bottom"/>
          </w:tcPr>
          <w:p>
            <w:pPr>
              <w:ind w:left="100"/>
              <w:spacing w:after="0"/>
              <w:rPr>
                <w:sz w:val="20"/>
                <w:szCs w:val="20"/>
                <w:color w:val="auto"/>
              </w:rPr>
            </w:pPr>
            <w:r>
              <w:rPr>
                <w:rFonts w:ascii="Arial" w:cs="Arial" w:eastAsia="Arial" w:hAnsi="Arial"/>
                <w:sz w:val="18"/>
                <w:szCs w:val="18"/>
                <w:color w:val="auto"/>
              </w:rPr>
              <w:t>with  a</w:t>
            </w:r>
          </w:p>
        </w:tc>
        <w:tc>
          <w:tcPr>
            <w:tcW w:w="1060" w:type="dxa"/>
            <w:vAlign w:val="bottom"/>
          </w:tcPr>
          <w:p>
            <w:pPr>
              <w:jc w:val="right"/>
              <w:spacing w:after="0"/>
              <w:rPr>
                <w:sz w:val="20"/>
                <w:szCs w:val="20"/>
                <w:color w:val="auto"/>
              </w:rPr>
            </w:pPr>
            <w:r>
              <w:rPr>
                <w:rFonts w:ascii="Arial" w:cs="Arial" w:eastAsia="Arial" w:hAnsi="Arial"/>
                <w:sz w:val="18"/>
                <w:szCs w:val="18"/>
                <w:color w:val="auto"/>
              </w:rPr>
              <w:t>maturity  of</w:t>
            </w:r>
          </w:p>
        </w:tc>
        <w:tc>
          <w:tcPr>
            <w:tcW w:w="2980" w:type="dxa"/>
            <w:vAlign w:val="bottom"/>
          </w:tcPr>
          <w:p>
            <w:pPr>
              <w:ind w:left="40"/>
              <w:spacing w:after="0"/>
              <w:rPr>
                <w:sz w:val="20"/>
                <w:szCs w:val="20"/>
                <w:color w:val="auto"/>
              </w:rPr>
            </w:pPr>
            <w:r>
              <w:rPr>
                <w:rFonts w:ascii="Arial" w:cs="Arial" w:eastAsia="Arial" w:hAnsi="Arial"/>
                <w:sz w:val="18"/>
                <w:szCs w:val="18"/>
                <w:color w:val="auto"/>
              </w:rPr>
              <w:t>or interest by, the United States.</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8"/>
              </w:rPr>
              <w:t>185 days or less or in money market</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2"/>
              </w:rPr>
              <w:t>funds meeting certain conditions under</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rPr>
              <w:t>Rule  2a-7  promulgated  under  the</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4"/>
              </w:rPr>
              <w:t>Investment Company Act which invest</w:t>
            </w:r>
          </w:p>
        </w:tc>
        <w:tc>
          <w:tcPr>
            <w:tcW w:w="2980" w:type="dxa"/>
            <w:vAlign w:val="bottom"/>
          </w:tcPr>
          <w:p>
            <w:pPr>
              <w:spacing w:after="0"/>
              <w:rPr>
                <w:sz w:val="18"/>
                <w:szCs w:val="18"/>
                <w:color w:val="auto"/>
              </w:rPr>
            </w:pPr>
          </w:p>
        </w:tc>
      </w:tr>
      <w:tr>
        <w:trPr>
          <w:trHeight w:val="230"/>
        </w:trPr>
        <w:tc>
          <w:tcPr>
            <w:tcW w:w="2580" w:type="dxa"/>
            <w:vAlign w:val="bottom"/>
          </w:tcPr>
          <w:p>
            <w:pPr>
              <w:ind w:left="2240"/>
              <w:spacing w:after="0"/>
              <w:rPr>
                <w:sz w:val="20"/>
                <w:szCs w:val="20"/>
                <w:color w:val="auto"/>
              </w:rPr>
            </w:pPr>
            <w:r>
              <w:rPr>
                <w:rFonts w:ascii="Arial" w:cs="Arial" w:eastAsia="Arial" w:hAnsi="Arial"/>
                <w:sz w:val="18"/>
                <w:szCs w:val="18"/>
                <w:color w:val="auto"/>
                <w:w w:val="96"/>
              </w:rPr>
              <w:t>only</w:t>
            </w:r>
          </w:p>
        </w:tc>
        <w:tc>
          <w:tcPr>
            <w:tcW w:w="420" w:type="dxa"/>
            <w:vAlign w:val="bottom"/>
          </w:tcPr>
          <w:p>
            <w:pPr>
              <w:ind w:left="160"/>
              <w:spacing w:after="0"/>
              <w:rPr>
                <w:sz w:val="20"/>
                <w:szCs w:val="20"/>
                <w:color w:val="auto"/>
              </w:rPr>
            </w:pPr>
            <w:r>
              <w:rPr>
                <w:rFonts w:ascii="Arial" w:cs="Arial" w:eastAsia="Arial" w:hAnsi="Arial"/>
                <w:sz w:val="18"/>
                <w:szCs w:val="18"/>
                <w:color w:val="auto"/>
              </w:rPr>
              <w:t>in</w:t>
            </w: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direct  U.S.</w:t>
            </w:r>
          </w:p>
        </w:tc>
        <w:tc>
          <w:tcPr>
            <w:tcW w:w="1060" w:type="dxa"/>
            <w:vAlign w:val="bottom"/>
          </w:tcPr>
          <w:p>
            <w:pPr>
              <w:jc w:val="right"/>
              <w:spacing w:after="0"/>
              <w:rPr>
                <w:sz w:val="20"/>
                <w:szCs w:val="20"/>
                <w:color w:val="auto"/>
              </w:rPr>
            </w:pPr>
            <w:r>
              <w:rPr>
                <w:rFonts w:ascii="Arial" w:cs="Arial" w:eastAsia="Arial" w:hAnsi="Arial"/>
                <w:sz w:val="18"/>
                <w:szCs w:val="18"/>
                <w:color w:val="auto"/>
              </w:rPr>
              <w:t>government</w:t>
            </w:r>
          </w:p>
        </w:tc>
        <w:tc>
          <w:tcPr>
            <w:tcW w:w="2980" w:type="dxa"/>
            <w:vAlign w:val="bottom"/>
          </w:tcPr>
          <w:p>
            <w:pPr>
              <w:spacing w:after="0"/>
              <w:rPr>
                <w:sz w:val="20"/>
                <w:szCs w:val="20"/>
                <w:color w:val="auto"/>
              </w:rPr>
            </w:pPr>
          </w:p>
        </w:tc>
      </w:tr>
    </w:tbl>
    <w:p>
      <w:pPr>
        <w:ind w:left="2700"/>
        <w:spacing w:after="0"/>
        <w:rPr>
          <w:sz w:val="20"/>
          <w:szCs w:val="20"/>
          <w:color w:val="auto"/>
        </w:rPr>
      </w:pPr>
      <w:r>
        <w:rPr>
          <w:rFonts w:ascii="Arial" w:cs="Arial" w:eastAsia="Arial" w:hAnsi="Arial"/>
          <w:sz w:val="18"/>
          <w:szCs w:val="18"/>
          <w:color w:val="auto"/>
        </w:rPr>
        <w:t>treasury obligations.</w:t>
      </w:r>
    </w:p>
    <w:p>
      <w:pPr>
        <w:sectPr>
          <w:pgSz w:w="11900" w:h="16838" w:orient="portrait"/>
          <w:cols w:equalWidth="0" w:num="1">
            <w:col w:w="9019"/>
          </w:cols>
          <w:pgMar w:left="1440" w:top="274" w:right="1440" w:bottom="1440" w:gutter="0" w:footer="0" w:header="0"/>
          <w:type w:val="continuous"/>
        </w:sectPr>
      </w:pPr>
    </w:p>
    <w:p>
      <w:pPr>
        <w:spacing w:after="0" w:line="180" w:lineRule="exact"/>
        <w:rPr>
          <w:sz w:val="20"/>
          <w:szCs w:val="20"/>
          <w:color w:val="auto"/>
        </w:rPr>
      </w:pPr>
    </w:p>
    <w:p>
      <w:pPr>
        <w:ind w:left="640" w:hanging="179"/>
        <w:spacing w:after="0" w:line="266"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479"/>
        <w:spacing w:after="0" w:line="253" w:lineRule="auto"/>
        <w:rPr>
          <w:sz w:val="20"/>
          <w:szCs w:val="20"/>
          <w:color w:val="auto"/>
        </w:rPr>
      </w:pPr>
      <w:r>
        <w:rPr>
          <w:rFonts w:ascii="Arial" w:cs="Arial" w:eastAsia="Arial" w:hAnsi="Arial"/>
          <w:sz w:val="18"/>
          <w:szCs w:val="18"/>
          <w:color w:val="auto"/>
        </w:rPr>
        <w:t>Our initial business combination must We would be restricted from acquiring a occur with one or more target target business unless the fair value of businesses that together have a fair such business or net assets to be market value of at least 80% of the acquired represent at least 80% of the assets held in the trust account maximum offering proceeds. (excluding the taxes payable 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earned on the trust account)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time of the agreement to enter into</w:t>
      </w:r>
    </w:p>
    <w:p>
      <w:pPr>
        <w:spacing w:after="0" w:line="9" w:lineRule="exact"/>
        <w:rPr>
          <w:sz w:val="20"/>
          <w:szCs w:val="20"/>
          <w:color w:val="auto"/>
        </w:rPr>
      </w:pPr>
    </w:p>
    <w:p>
      <w:pPr>
        <w:spacing w:after="0"/>
        <w:tabs>
          <w:tab w:leader="none" w:pos="400" w:val="left"/>
          <w:tab w:leader="none" w:pos="1040" w:val="left"/>
          <w:tab w:leader="none" w:pos="1860" w:val="left"/>
        </w:tabs>
        <w:rPr>
          <w:sz w:val="20"/>
          <w:szCs w:val="20"/>
          <w:color w:val="auto"/>
        </w:rPr>
      </w:pPr>
      <w:r>
        <w:rPr>
          <w:rFonts w:ascii="Arial" w:cs="Arial" w:eastAsia="Arial" w:hAnsi="Arial"/>
          <w:sz w:val="18"/>
          <w:szCs w:val="18"/>
          <w:color w:val="auto"/>
        </w:rPr>
        <w:t>the</w:t>
        <w:tab/>
        <w:t>initial</w:t>
        <w:tab/>
        <w:t>business</w:t>
      </w:r>
      <w:r>
        <w:rPr>
          <w:sz w:val="20"/>
          <w:szCs w:val="20"/>
          <w:color w:val="auto"/>
        </w:rPr>
        <w:tab/>
      </w:r>
      <w:r>
        <w:rPr>
          <w:rFonts w:ascii="Arial" w:cs="Arial" w:eastAsia="Arial" w:hAnsi="Arial"/>
          <w:sz w:val="16"/>
          <w:szCs w:val="16"/>
          <w:color w:val="auto"/>
        </w:rPr>
        <w:t>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if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  not  then  listed  on  Nasdaq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whatever reason, we would no longer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required to meet the foregoing 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 market value test.</w:t>
      </w:r>
    </w:p>
    <w:p>
      <w:pPr>
        <w:spacing w:after="0" w:line="22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14605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2500" w:space="200"/>
            <w:col w:w="6319"/>
          </w:cols>
          <w:pgMar w:left="1440" w:top="274" w:right="1440" w:bottom="1440" w:gutter="0" w:footer="0" w:header="0"/>
          <w:type w:val="continuous"/>
        </w:sectPr>
      </w:pPr>
    </w:p>
    <w:bookmarkStart w:id="68" w:name="page69"/>
    <w:bookmarkEnd w:id="6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3"/>
          </w:tcPr>
          <w:p>
            <w:pPr>
              <w:jc w:val="right"/>
              <w:ind w:right="270"/>
              <w:spacing w:after="0"/>
              <w:rPr>
                <w:sz w:val="20"/>
                <w:szCs w:val="20"/>
                <w:color w:val="auto"/>
              </w:rPr>
            </w:pPr>
            <w:r>
              <w:rPr>
                <w:rFonts w:ascii="Arial" w:cs="Arial" w:eastAsia="Arial" w:hAnsi="Arial"/>
                <w:sz w:val="16"/>
                <w:szCs w:val="16"/>
                <w:b w:val="1"/>
                <w:bCs w:val="1"/>
                <w:color w:val="auto"/>
              </w:rPr>
              <w:t>Terms of the Offering</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4"/>
          </w:tcPr>
          <w:p>
            <w:pPr>
              <w:ind w:left="4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auto"/>
                <w:w w:val="92"/>
              </w:rPr>
              <w:t>Trading of securities issued</w:t>
            </w:r>
          </w:p>
        </w:tc>
        <w:tc>
          <w:tcPr>
            <w:tcW w:w="2820" w:type="dxa"/>
            <w:vAlign w:val="bottom"/>
            <w:tcBorders>
              <w:bottom w:val="single" w:sz="8" w:color="auto"/>
            </w:tcBorders>
            <w:gridSpan w:val="5"/>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9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240" w:type="dxa"/>
            <w:vAlign w:val="bottom"/>
            <w:vMerge w:val="continue"/>
          </w:tcPr>
          <w:p>
            <w:pPr>
              <w:spacing w:after="0"/>
              <w:rPr>
                <w:sz w:val="16"/>
                <w:szCs w:val="16"/>
                <w:color w:val="auto"/>
              </w:rPr>
            </w:pPr>
          </w:p>
        </w:tc>
        <w:tc>
          <w:tcPr>
            <w:tcW w:w="2820" w:type="dxa"/>
            <w:vAlign w:val="bottom"/>
            <w:gridSpan w:val="5"/>
          </w:tcPr>
          <w:p>
            <w:pPr>
              <w:spacing w:after="0" w:line="195" w:lineRule="exact"/>
              <w:rPr>
                <w:sz w:val="20"/>
                <w:szCs w:val="20"/>
                <w:color w:val="auto"/>
              </w:rPr>
            </w:pPr>
            <w:r>
              <w:rPr>
                <w:rFonts w:ascii="Arial" w:cs="Arial" w:eastAsia="Arial" w:hAnsi="Arial"/>
                <w:sz w:val="18"/>
                <w:szCs w:val="18"/>
                <w:color w:val="auto"/>
                <w:w w:val="89"/>
              </w:rPr>
              <w:t>The units may commence trading on or</w:t>
            </w: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940" w:type="dxa"/>
            <w:vAlign w:val="bottom"/>
            <w:gridSpan w:val="5"/>
          </w:tcPr>
          <w:p>
            <w:pPr>
              <w:spacing w:after="0" w:line="195" w:lineRule="exact"/>
              <w:rPr>
                <w:sz w:val="20"/>
                <w:szCs w:val="20"/>
                <w:color w:val="auto"/>
              </w:rPr>
            </w:pPr>
            <w:r>
              <w:rPr>
                <w:rFonts w:ascii="Arial" w:cs="Arial" w:eastAsia="Arial" w:hAnsi="Arial"/>
                <w:sz w:val="18"/>
                <w:szCs w:val="18"/>
                <w:color w:val="auto"/>
                <w:w w:val="92"/>
              </w:rPr>
              <w:t>No trading of the units or the underlying</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promptly  after  the  date  of  this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6"/>
              </w:rPr>
              <w:t>shares of common stock and warrants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2"/>
              </w:rPr>
              <w:t>prospectus. The subunits and warrants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3"/>
              </w:rPr>
              <w:t>would be permitted until the completion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comprising the units, but not the shares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5"/>
              </w:rPr>
              <w:t>of a business combination. During this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of  common  stock  and  warrants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6"/>
              </w:rPr>
              <w:t>period, the securities would be held in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included in the subunits, will begin to</w:t>
            </w:r>
          </w:p>
        </w:tc>
        <w:tc>
          <w:tcPr>
            <w:tcW w:w="2220" w:type="dxa"/>
            <w:vAlign w:val="bottom"/>
            <w:gridSpan w:val="5"/>
          </w:tcPr>
          <w:p>
            <w:pPr>
              <w:ind w:left="40"/>
              <w:spacing w:after="0"/>
              <w:rPr>
                <w:sz w:val="20"/>
                <w:szCs w:val="20"/>
                <w:color w:val="auto"/>
              </w:rPr>
            </w:pPr>
            <w:r>
              <w:rPr>
                <w:rFonts w:ascii="Arial" w:cs="Arial" w:eastAsia="Arial" w:hAnsi="Arial"/>
                <w:sz w:val="18"/>
                <w:szCs w:val="18"/>
                <w:color w:val="auto"/>
                <w:w w:val="97"/>
              </w:rPr>
              <w:t>the escrow or trust account.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line="216" w:lineRule="exact"/>
              <w:rPr>
                <w:sz w:val="20"/>
                <w:szCs w:val="20"/>
                <w:color w:val="auto"/>
              </w:rPr>
            </w:pPr>
            <w:r>
              <w:rPr>
                <w:rFonts w:ascii="Arial" w:cs="Arial" w:eastAsia="Arial" w:hAnsi="Arial"/>
                <w:sz w:val="18"/>
                <w:szCs w:val="18"/>
                <w:color w:val="auto"/>
                <w:w w:val="95"/>
              </w:rPr>
              <w:t>trade separately on the 90</w:t>
            </w:r>
            <w:r>
              <w:rPr>
                <w:rFonts w:ascii="Arial" w:cs="Arial" w:eastAsia="Arial" w:hAnsi="Arial"/>
                <w:sz w:val="20"/>
                <w:szCs w:val="20"/>
                <w:color w:val="auto"/>
                <w:w w:val="95"/>
                <w:vertAlign w:val="superscript"/>
              </w:rPr>
              <w:t>th</w:t>
            </w:r>
            <w:r>
              <w:rPr>
                <w:rFonts w:ascii="Arial" w:cs="Arial" w:eastAsia="Arial" w:hAnsi="Arial"/>
                <w:sz w:val="18"/>
                <w:szCs w:val="18"/>
                <w:color w:val="auto"/>
                <w:w w:val="95"/>
              </w:rPr>
              <w:t xml:space="preserve">  day after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the  date  of  this  prospectus  unless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EarlyBirdCapital  informs  us  of  its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decision  to  allow  earlier  separate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4"/>
              </w:rPr>
              <w:t>trading, provided that in no event may</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the subunits and warrants be traded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separately until we have filed with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SEC a Current Report on Form 8-K</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which  includes  an  audited  balance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sheet reflecting our receipt of the gross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3"/>
              </w:rPr>
              <w:t>proceeds of this offering, including any</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2"/>
              </w:rPr>
              <w:t>proceeds we receive from the exercise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of the over-allotment option, if such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option is exercised prior to the initial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auto"/>
              </w:rPr>
              <w:t>filing  of  such  Current  report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Form  8-K.  Once  the  subunits  and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auto"/>
                <w:w w:val="93"/>
              </w:rPr>
              <w:t>warrants commence</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separate trading,</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holders  will  have  the  option  to</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3"/>
              </w:rPr>
              <w:t>continue to hold units or separate their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auto"/>
                <w:w w:val="96"/>
              </w:rPr>
              <w:t>units into the component pieces.</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240" w:type="dxa"/>
            <w:vAlign w:val="bottom"/>
          </w:tcPr>
          <w:p>
            <w:pPr>
              <w:spacing w:after="0"/>
              <w:rPr>
                <w:sz w:val="24"/>
                <w:szCs w:val="24"/>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If   the   over-allotment   option   is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exercised after the initial filing of such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Current Report on Form 8-K, we will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file an amendment to the Form 8-K to</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provide updated financial information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to</w:t>
            </w:r>
          </w:p>
        </w:tc>
        <w:tc>
          <w:tcPr>
            <w:tcW w:w="800" w:type="dxa"/>
            <w:vAlign w:val="bottom"/>
          </w:tcPr>
          <w:p>
            <w:pPr>
              <w:ind w:left="140"/>
              <w:spacing w:after="0"/>
              <w:rPr>
                <w:sz w:val="20"/>
                <w:szCs w:val="20"/>
                <w:color w:val="auto"/>
              </w:rPr>
            </w:pPr>
            <w:r>
              <w:rPr>
                <w:rFonts w:ascii="Arial" w:cs="Arial" w:eastAsia="Arial" w:hAnsi="Arial"/>
                <w:sz w:val="18"/>
                <w:szCs w:val="18"/>
                <w:color w:val="auto"/>
              </w:rPr>
              <w:t>reflect</w:t>
            </w:r>
          </w:p>
        </w:tc>
        <w:tc>
          <w:tcPr>
            <w:tcW w:w="460" w:type="dxa"/>
            <w:vAlign w:val="bottom"/>
          </w:tcPr>
          <w:p>
            <w:pPr>
              <w:ind w:left="100"/>
              <w:spacing w:after="0"/>
              <w:rPr>
                <w:sz w:val="20"/>
                <w:szCs w:val="20"/>
                <w:color w:val="auto"/>
              </w:rPr>
            </w:pPr>
            <w:r>
              <w:rPr>
                <w:rFonts w:ascii="Arial" w:cs="Arial" w:eastAsia="Arial" w:hAnsi="Arial"/>
                <w:sz w:val="18"/>
                <w:szCs w:val="18"/>
                <w:color w:val="auto"/>
              </w:rPr>
              <w:t>the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exercise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and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consummation of the over-allotment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option. We will also include in this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Form 8-K, an amendment thereto, or in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a subsequent Form 8-K, information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indicating  if</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EarlyBirdCapital</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has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allowed  separate  trading  of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line="216" w:lineRule="exact"/>
              <w:rPr>
                <w:sz w:val="20"/>
                <w:szCs w:val="20"/>
                <w:color w:val="auto"/>
              </w:rPr>
            </w:pPr>
            <w:r>
              <w:rPr>
                <w:rFonts w:ascii="Arial" w:cs="Arial" w:eastAsia="Arial" w:hAnsi="Arial"/>
                <w:sz w:val="18"/>
                <w:szCs w:val="18"/>
                <w:color w:val="auto"/>
                <w:w w:val="94"/>
              </w:rPr>
              <w:t>subunits and warrants prior to the 90</w:t>
            </w:r>
            <w:r>
              <w:rPr>
                <w:rFonts w:ascii="Arial" w:cs="Arial" w:eastAsia="Arial" w:hAnsi="Arial"/>
                <w:sz w:val="20"/>
                <w:szCs w:val="20"/>
                <w:color w:val="auto"/>
                <w:w w:val="94"/>
                <w:vertAlign w:val="superscript"/>
              </w:rPr>
              <w:t>th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day after the date of this prospectus.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The share of common stock and one-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6"/>
              </w:rPr>
              <w:t>quarter  warrant  included  within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subunit will not trade separately until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we  complete  our  initial  business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combination.</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240" w:type="dxa"/>
            <w:vAlign w:val="bottom"/>
          </w:tcPr>
          <w:p>
            <w:pPr>
              <w:spacing w:after="0"/>
              <w:rPr>
                <w:sz w:val="20"/>
                <w:szCs w:val="20"/>
                <w:color w:val="auto"/>
              </w:rPr>
            </w:pPr>
            <w:r>
              <w:rPr>
                <w:rFonts w:ascii="Arial" w:cs="Arial" w:eastAsia="Arial" w:hAnsi="Arial"/>
                <w:sz w:val="18"/>
                <w:szCs w:val="18"/>
                <w:b w:val="1"/>
                <w:bCs w:val="1"/>
                <w:color w:val="auto"/>
              </w:rPr>
              <w:t>Exercise of the warrants</w:t>
            </w:r>
          </w:p>
        </w:tc>
        <w:tc>
          <w:tcPr>
            <w:tcW w:w="2880" w:type="dxa"/>
            <w:vAlign w:val="bottom"/>
            <w:gridSpan w:val="6"/>
          </w:tcPr>
          <w:p>
            <w:pPr>
              <w:spacing w:after="0"/>
              <w:rPr>
                <w:sz w:val="20"/>
                <w:szCs w:val="20"/>
                <w:color w:val="auto"/>
              </w:rPr>
            </w:pPr>
            <w:r>
              <w:rPr>
                <w:rFonts w:ascii="Arial" w:cs="Arial" w:eastAsia="Arial" w:hAnsi="Arial"/>
                <w:sz w:val="18"/>
                <w:szCs w:val="18"/>
                <w:color w:val="auto"/>
                <w:w w:val="92"/>
              </w:rPr>
              <w:t>The warrants cannot be exercised until</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0"/>
              </w:rPr>
              <w:t>The warrants could be exercised prior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30  days  after  the  completion  of  a</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w w:val="95"/>
              </w:rPr>
              <w:t>the</w:t>
            </w:r>
          </w:p>
        </w:tc>
        <w:tc>
          <w:tcPr>
            <w:tcW w:w="1180" w:type="dxa"/>
            <w:vAlign w:val="bottom"/>
          </w:tcPr>
          <w:p>
            <w:pPr>
              <w:ind w:left="220"/>
              <w:spacing w:after="0"/>
              <w:rPr>
                <w:sz w:val="20"/>
                <w:szCs w:val="20"/>
                <w:color w:val="auto"/>
              </w:rPr>
            </w:pPr>
            <w:r>
              <w:rPr>
                <w:rFonts w:ascii="Arial" w:cs="Arial" w:eastAsia="Arial" w:hAnsi="Arial"/>
                <w:sz w:val="18"/>
                <w:szCs w:val="18"/>
                <w:color w:val="auto"/>
              </w:rPr>
              <w:t>completion</w:t>
            </w:r>
          </w:p>
        </w:tc>
        <w:tc>
          <w:tcPr>
            <w:tcW w:w="420" w:type="dxa"/>
            <w:vAlign w:val="bottom"/>
          </w:tcPr>
          <w:p>
            <w:pPr>
              <w:ind w:left="120"/>
              <w:spacing w:after="0"/>
              <w:rPr>
                <w:sz w:val="20"/>
                <w:szCs w:val="20"/>
                <w:color w:val="auto"/>
              </w:rPr>
            </w:pPr>
            <w:r>
              <w:rPr>
                <w:rFonts w:ascii="Arial" w:cs="Arial" w:eastAsia="Arial" w:hAnsi="Arial"/>
                <w:sz w:val="18"/>
                <w:szCs w:val="18"/>
                <w:color w:val="auto"/>
              </w:rPr>
              <w:t>of</w:t>
            </w:r>
          </w:p>
        </w:tc>
        <w:tc>
          <w:tcPr>
            <w:tcW w:w="320" w:type="dxa"/>
            <w:vAlign w:val="bottom"/>
          </w:tcPr>
          <w:p>
            <w:pPr>
              <w:ind w:left="120"/>
              <w:spacing w:after="0"/>
              <w:rPr>
                <w:sz w:val="20"/>
                <w:szCs w:val="20"/>
                <w:color w:val="auto"/>
              </w:rPr>
            </w:pPr>
            <w:r>
              <w:rPr>
                <w:rFonts w:ascii="Arial" w:cs="Arial" w:eastAsia="Arial" w:hAnsi="Arial"/>
                <w:sz w:val="18"/>
                <w:szCs w:val="18"/>
                <w:color w:val="auto"/>
              </w:rPr>
              <w:t>a</w:t>
            </w:r>
          </w:p>
        </w:tc>
        <w:tc>
          <w:tcPr>
            <w:tcW w:w="760" w:type="dxa"/>
            <w:vAlign w:val="bottom"/>
          </w:tcPr>
          <w:p>
            <w:pPr>
              <w:ind w:left="140"/>
              <w:spacing w:after="0"/>
              <w:rPr>
                <w:sz w:val="20"/>
                <w:szCs w:val="20"/>
                <w:color w:val="auto"/>
              </w:rPr>
            </w:pPr>
            <w:r>
              <w:rPr>
                <w:rFonts w:ascii="Arial" w:cs="Arial" w:eastAsia="Arial" w:hAnsi="Arial"/>
                <w:sz w:val="18"/>
                <w:szCs w:val="18"/>
                <w:color w:val="auto"/>
                <w:w w:val="84"/>
              </w:rPr>
              <w:t>business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business combination and, accordingly,</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0"/>
              </w:rPr>
              <w:t>combination, but securities received and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will be exercised only after the trust</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rPr>
              <w:t>cash  paid  in  connection  with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account  has  been  terminated  and</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6"/>
              </w:rPr>
              <w:t>exercise  would  be  deposited  in  the</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distributed</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4"/>
          </w:tcPr>
          <w:p>
            <w:pPr>
              <w:ind w:left="40"/>
              <w:spacing w:after="0"/>
              <w:rPr>
                <w:sz w:val="20"/>
                <w:szCs w:val="20"/>
                <w:color w:val="auto"/>
              </w:rPr>
            </w:pPr>
            <w:r>
              <w:rPr>
                <w:rFonts w:ascii="Arial" w:cs="Arial" w:eastAsia="Arial" w:hAnsi="Arial"/>
                <w:sz w:val="18"/>
                <w:szCs w:val="18"/>
                <w:color w:val="auto"/>
                <w:w w:val="96"/>
              </w:rPr>
              <w:t>escrow or trust account.</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40" w:hanging="179"/>
        <w:spacing w:after="0" w:line="282" w:lineRule="auto"/>
        <w:rPr>
          <w:sz w:val="20"/>
          <w:szCs w:val="20"/>
          <w:color w:val="auto"/>
        </w:rPr>
      </w:pPr>
      <w:r>
        <w:rPr>
          <w:rFonts w:ascii="Arial" w:cs="Arial" w:eastAsia="Arial" w:hAnsi="Arial"/>
          <w:sz w:val="18"/>
          <w:szCs w:val="18"/>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2140" w:type="dxa"/>
            <w:vAlign w:val="bottom"/>
            <w:gridSpan w:val="2"/>
          </w:tcPr>
          <w:p>
            <w:pPr>
              <w:ind w:left="280"/>
              <w:spacing w:after="0"/>
              <w:rPr>
                <w:sz w:val="20"/>
                <w:szCs w:val="20"/>
                <w:color w:val="auto"/>
              </w:rPr>
            </w:pPr>
            <w:r>
              <w:rPr>
                <w:rFonts w:ascii="Arial" w:cs="Arial" w:eastAsia="Arial" w:hAnsi="Arial"/>
                <w:sz w:val="16"/>
                <w:szCs w:val="16"/>
                <w:b w:val="1"/>
                <w:bCs w:val="1"/>
                <w:color w:val="auto"/>
              </w:rPr>
              <w:t>Terms of the Offering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3"/>
              </w:rPr>
              <w:t>Terms Under a Rule 419 Offering</w:t>
            </w:r>
          </w:p>
        </w:tc>
        <w:tc>
          <w:tcPr>
            <w:tcW w:w="0" w:type="dxa"/>
            <w:vAlign w:val="bottom"/>
          </w:tcPr>
          <w:p>
            <w:pPr>
              <w:spacing w:after="0"/>
              <w:rPr>
                <w:sz w:val="1"/>
                <w:szCs w:val="1"/>
                <w:color w:val="auto"/>
              </w:rPr>
            </w:pPr>
          </w:p>
        </w:tc>
      </w:tr>
      <w:tr>
        <w:trPr>
          <w:trHeight w:val="46"/>
        </w:trPr>
        <w:tc>
          <w:tcPr>
            <w:tcW w:w="2820" w:type="dxa"/>
            <w:vAlign w:val="bottom"/>
            <w:tcBorders>
              <w:bottom w:val="single" w:sz="8" w:color="auto"/>
            </w:tcBorders>
            <w:gridSpan w:val="4"/>
          </w:tcPr>
          <w:p>
            <w:pPr>
              <w:spacing w:after="0"/>
              <w:rPr>
                <w:sz w:val="4"/>
                <w:szCs w:val="4"/>
                <w:color w:val="auto"/>
              </w:rPr>
            </w:pPr>
          </w:p>
        </w:tc>
        <w:tc>
          <w:tcPr>
            <w:tcW w:w="100" w:type="dxa"/>
            <w:vAlign w:val="bottom"/>
            <w:vMerge w:val="restart"/>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820" w:type="dxa"/>
            <w:vAlign w:val="bottom"/>
            <w:gridSpan w:val="4"/>
          </w:tcPr>
          <w:p>
            <w:pPr>
              <w:spacing w:after="0" w:line="195" w:lineRule="exact"/>
              <w:rPr>
                <w:sz w:val="20"/>
                <w:szCs w:val="20"/>
                <w:color w:val="auto"/>
              </w:rPr>
            </w:pPr>
            <w:r>
              <w:rPr>
                <w:rFonts w:ascii="Arial" w:cs="Arial" w:eastAsia="Arial" w:hAnsi="Arial"/>
                <w:sz w:val="18"/>
                <w:szCs w:val="18"/>
                <w:color w:val="auto"/>
              </w:rPr>
              <w:t>We   will   either   (1)   give   our</w:t>
            </w:r>
          </w:p>
        </w:tc>
        <w:tc>
          <w:tcPr>
            <w:tcW w:w="100" w:type="dxa"/>
            <w:vAlign w:val="bottom"/>
            <w:vMerge w:val="continue"/>
          </w:tcPr>
          <w:p>
            <w:pPr>
              <w:spacing w:after="0"/>
              <w:rPr>
                <w:sz w:val="16"/>
                <w:szCs w:val="16"/>
                <w:color w:val="auto"/>
              </w:rPr>
            </w:pPr>
          </w:p>
        </w:tc>
        <w:tc>
          <w:tcPr>
            <w:tcW w:w="2940" w:type="dxa"/>
            <w:vAlign w:val="bottom"/>
          </w:tcPr>
          <w:p>
            <w:pPr>
              <w:jc w:val="center"/>
              <w:spacing w:after="0" w:line="195" w:lineRule="exact"/>
              <w:rPr>
                <w:sz w:val="20"/>
                <w:szCs w:val="20"/>
                <w:color w:val="auto"/>
              </w:rPr>
            </w:pPr>
            <w:r>
              <w:rPr>
                <w:rFonts w:ascii="Arial" w:cs="Arial" w:eastAsia="Arial" w:hAnsi="Arial"/>
                <w:sz w:val="18"/>
                <w:szCs w:val="18"/>
                <w:color w:val="auto"/>
                <w:w w:val="97"/>
              </w:rPr>
              <w:t>A  prospectus  containing  information</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w w:val="90"/>
              </w:rPr>
              <w:t>stockholders the opportunity to vote on</w:t>
            </w: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7"/>
              </w:rPr>
              <w:t>required by the SEC would be sent to</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the</w:t>
            </w:r>
          </w:p>
        </w:tc>
        <w:tc>
          <w:tcPr>
            <w:tcW w:w="92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220" w:type="dxa"/>
            <w:vAlign w:val="bottom"/>
          </w:tcPr>
          <w:p>
            <w:pPr>
              <w:ind w:left="160"/>
              <w:spacing w:after="0"/>
              <w:rPr>
                <w:sz w:val="20"/>
                <w:szCs w:val="20"/>
                <w:color w:val="auto"/>
              </w:rPr>
            </w:pPr>
            <w:r>
              <w:rPr>
                <w:rFonts w:ascii="Arial" w:cs="Arial" w:eastAsia="Arial" w:hAnsi="Arial"/>
                <w:sz w:val="18"/>
                <w:szCs w:val="18"/>
                <w:color w:val="auto"/>
              </w:rPr>
              <w:t>combination</w:t>
            </w:r>
          </w:p>
        </w:tc>
        <w:tc>
          <w:tcPr>
            <w:tcW w:w="300" w:type="dxa"/>
            <w:vAlign w:val="bottom"/>
          </w:tcPr>
          <w:p>
            <w:pPr>
              <w:ind w:left="140"/>
              <w:spacing w:after="0"/>
              <w:rPr>
                <w:sz w:val="20"/>
                <w:szCs w:val="20"/>
                <w:color w:val="auto"/>
              </w:rPr>
            </w:pPr>
            <w:r>
              <w:rPr>
                <w:rFonts w:ascii="Arial" w:cs="Arial" w:eastAsia="Arial" w:hAnsi="Arial"/>
                <w:sz w:val="18"/>
                <w:szCs w:val="18"/>
                <w:color w:val="auto"/>
                <w:w w:val="87"/>
              </w:rPr>
              <w:t>or</w:t>
            </w: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6"/>
              </w:rPr>
              <w:t>each investor. Each investor would be</w:t>
            </w:r>
          </w:p>
        </w:tc>
        <w:tc>
          <w:tcPr>
            <w:tcW w:w="0" w:type="dxa"/>
            <w:vAlign w:val="bottom"/>
          </w:tcPr>
          <w:p>
            <w:pPr>
              <w:spacing w:after="0"/>
              <w:rPr>
                <w:sz w:val="1"/>
                <w:szCs w:val="1"/>
                <w:color w:val="auto"/>
              </w:rPr>
            </w:pPr>
          </w:p>
        </w:tc>
      </w:tr>
    </w:tbl>
    <w:p>
      <w:pPr>
        <w:jc w:val="both"/>
        <w:ind w:left="5" w:right="459" w:hanging="5"/>
        <w:spacing w:after="0" w:line="263" w:lineRule="auto"/>
        <w:tabs>
          <w:tab w:leader="none" w:pos="331"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our public stockholders given the opportunity to notify the with the opportunity to sell their company, in writing, within a period of subunits to us in a tender offer for cash no less than 20 business days and no equal to their pro rata share of the more than 45 business days from the aggregate amount then on deposit in effective date of the post-effective the trust account, less taxes. If we hold amendment, to decide whether he or she a meeting to approve a proposed elects to remain a stockholder of the business combination, we will send company or require the return of his or each stockholder a proxy statement her investment. If the company has not containing information required by the received the notification by the end of SEC. Alternatively, if we do not hold a the 45</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business day, funds and interest meeting and instead conduct a tender or dividends, if any, held in the trust or offer, we will conduct such tender escrow account would automatically be offer in accordance with the tender returned to the stockholder. Unless a offer rules of the SEC and file tender sufficient number of investors elect to offer documents with the SEC which remain investors, all of the deposited will contain substantially the same funds in the escrow account must be financial and other information about returned to all investors and none of the the initial business combination as we securities will be issued.</w:t>
      </w:r>
    </w:p>
    <w:p>
      <w:pPr>
        <w:spacing w:after="0" w:line="8" w:lineRule="exact"/>
        <w:rPr>
          <w:rFonts w:ascii="Arial" w:cs="Arial" w:eastAsia="Arial" w:hAnsi="Arial"/>
          <w:sz w:val="17"/>
          <w:szCs w:val="17"/>
          <w:color w:val="auto"/>
        </w:rPr>
      </w:pPr>
    </w:p>
    <w:p>
      <w:pPr>
        <w:ind w:left="5" w:right="3499"/>
        <w:spacing w:after="0" w:line="260" w:lineRule="auto"/>
        <w:rPr>
          <w:rFonts w:ascii="Arial" w:cs="Arial" w:eastAsia="Arial" w:hAnsi="Arial"/>
          <w:sz w:val="17"/>
          <w:szCs w:val="17"/>
          <w:color w:val="auto"/>
        </w:rPr>
      </w:pPr>
      <w:r>
        <w:rPr>
          <w:rFonts w:ascii="Arial" w:cs="Arial" w:eastAsia="Arial" w:hAnsi="Arial"/>
          <w:sz w:val="18"/>
          <w:szCs w:val="18"/>
          <w:color w:val="auto"/>
        </w:rPr>
        <w:t>would have included in a proxy statement.</w:t>
      </w:r>
    </w:p>
    <w:p>
      <w:pPr>
        <w:spacing w:after="0" w:line="154" w:lineRule="exact"/>
        <w:rPr>
          <w:sz w:val="20"/>
          <w:szCs w:val="20"/>
          <w:color w:val="auto"/>
        </w:rPr>
      </w:pPr>
    </w:p>
    <w:p>
      <w:pPr>
        <w:sectPr>
          <w:pgSz w:w="11900" w:h="16838" w:orient="portrait"/>
          <w:cols w:equalWidth="0" w:num="2">
            <w:col w:w="2100" w:space="595"/>
            <w:col w:w="6324"/>
          </w:cols>
          <w:pgMar w:left="1440" w:top="274" w:right="1440" w:bottom="1440" w:gutter="0" w:footer="0" w:header="0"/>
        </w:sectPr>
      </w:pPr>
    </w:p>
    <w:tbl>
      <w:tblPr>
        <w:tblLayout w:type="fixed"/>
        <w:tblInd w:w="46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w w:val="99"/>
              </w:rPr>
              <w:t>Business combination</w:t>
            </w: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2"/>
              </w:rPr>
              <w:t>Pursuant to our amended and restated</w:t>
            </w:r>
          </w:p>
        </w:tc>
        <w:tc>
          <w:tcPr>
            <w:tcW w:w="2980" w:type="dxa"/>
            <w:vAlign w:val="bottom"/>
          </w:tcPr>
          <w:p>
            <w:pPr>
              <w:ind w:left="40"/>
              <w:spacing w:after="0"/>
              <w:rPr>
                <w:sz w:val="20"/>
                <w:szCs w:val="20"/>
                <w:color w:val="auto"/>
              </w:rPr>
            </w:pPr>
            <w:r>
              <w:rPr>
                <w:rFonts w:ascii="Arial" w:cs="Arial" w:eastAsia="Arial" w:hAnsi="Arial"/>
                <w:sz w:val="18"/>
                <w:szCs w:val="18"/>
                <w:color w:val="auto"/>
              </w:rPr>
              <w:t>If  an  acquisition  has  not  been</w:t>
            </w:r>
          </w:p>
        </w:tc>
      </w:tr>
      <w:tr>
        <w:trPr>
          <w:trHeight w:val="220"/>
        </w:trPr>
        <w:tc>
          <w:tcPr>
            <w:tcW w:w="1940" w:type="dxa"/>
            <w:vAlign w:val="bottom"/>
          </w:tcPr>
          <w:p>
            <w:pPr>
              <w:ind w:left="180"/>
              <w:spacing w:after="0"/>
              <w:rPr>
                <w:sz w:val="20"/>
                <w:szCs w:val="20"/>
                <w:color w:val="auto"/>
              </w:rPr>
            </w:pPr>
            <w:r>
              <w:rPr>
                <w:rFonts w:ascii="Arial" w:cs="Arial" w:eastAsia="Arial" w:hAnsi="Arial"/>
                <w:sz w:val="18"/>
                <w:szCs w:val="18"/>
                <w:b w:val="1"/>
                <w:bCs w:val="1"/>
                <w:color w:val="auto"/>
              </w:rPr>
              <w:t>deadline</w:t>
            </w: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certificate of incorporation, if we are</w:t>
            </w:r>
          </w:p>
        </w:tc>
        <w:tc>
          <w:tcPr>
            <w:tcW w:w="2980" w:type="dxa"/>
            <w:vAlign w:val="bottom"/>
          </w:tcPr>
          <w:p>
            <w:pPr>
              <w:ind w:left="40"/>
              <w:spacing w:after="0"/>
              <w:rPr>
                <w:sz w:val="20"/>
                <w:szCs w:val="20"/>
                <w:color w:val="auto"/>
              </w:rPr>
            </w:pPr>
            <w:r>
              <w:rPr>
                <w:rFonts w:ascii="Arial" w:cs="Arial" w:eastAsia="Arial" w:hAnsi="Arial"/>
                <w:sz w:val="18"/>
                <w:szCs w:val="18"/>
                <w:color w:val="auto"/>
                <w:w w:val="99"/>
              </w:rPr>
              <w:t>consummated within 18 months after</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3"/>
              </w:rPr>
              <w:t>unable to complete our initial business</w:t>
            </w:r>
          </w:p>
        </w:tc>
        <w:tc>
          <w:tcPr>
            <w:tcW w:w="2980" w:type="dxa"/>
            <w:vAlign w:val="bottom"/>
          </w:tcPr>
          <w:p>
            <w:pPr>
              <w:ind w:left="40"/>
              <w:spacing w:after="0"/>
              <w:rPr>
                <w:sz w:val="20"/>
                <w:szCs w:val="20"/>
                <w:color w:val="auto"/>
              </w:rPr>
            </w:pPr>
            <w:r>
              <w:rPr>
                <w:rFonts w:ascii="Arial" w:cs="Arial" w:eastAsia="Arial" w:hAnsi="Arial"/>
                <w:sz w:val="18"/>
                <w:szCs w:val="18"/>
                <w:color w:val="auto"/>
              </w:rPr>
              <w:t>the  effective  date  of  the  initial</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combination within 18 months from</w:t>
            </w:r>
          </w:p>
        </w:tc>
        <w:tc>
          <w:tcPr>
            <w:tcW w:w="2980" w:type="dxa"/>
            <w:vAlign w:val="bottom"/>
          </w:tcPr>
          <w:p>
            <w:pPr>
              <w:ind w:left="40"/>
              <w:spacing w:after="0"/>
              <w:rPr>
                <w:sz w:val="20"/>
                <w:szCs w:val="20"/>
                <w:color w:val="auto"/>
              </w:rPr>
            </w:pPr>
            <w:r>
              <w:rPr>
                <w:rFonts w:ascii="Arial" w:cs="Arial" w:eastAsia="Arial" w:hAnsi="Arial"/>
                <w:sz w:val="18"/>
                <w:szCs w:val="18"/>
                <w:color w:val="auto"/>
                <w:w w:val="92"/>
              </w:rPr>
              <w:t>registration statement, funds held in the</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the closing of this offering, we will</w:t>
            </w:r>
          </w:p>
        </w:tc>
        <w:tc>
          <w:tcPr>
            <w:tcW w:w="2980" w:type="dxa"/>
            <w:vAlign w:val="bottom"/>
          </w:tcPr>
          <w:p>
            <w:pPr>
              <w:ind w:left="40"/>
              <w:spacing w:after="0"/>
              <w:rPr>
                <w:sz w:val="20"/>
                <w:szCs w:val="20"/>
                <w:color w:val="auto"/>
              </w:rPr>
            </w:pPr>
            <w:r>
              <w:rPr>
                <w:rFonts w:ascii="Arial" w:cs="Arial" w:eastAsia="Arial" w:hAnsi="Arial"/>
                <w:sz w:val="18"/>
                <w:szCs w:val="18"/>
                <w:color w:val="auto"/>
              </w:rPr>
              <w:t>trust  or  escrow  account  would  be</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6"/>
              </w:rPr>
              <w:t>(i) cease all operations except for the</w:t>
            </w:r>
          </w:p>
        </w:tc>
        <w:tc>
          <w:tcPr>
            <w:tcW w:w="2980" w:type="dxa"/>
            <w:vAlign w:val="bottom"/>
          </w:tcPr>
          <w:p>
            <w:pPr>
              <w:ind w:left="40"/>
              <w:spacing w:after="0"/>
              <w:rPr>
                <w:sz w:val="20"/>
                <w:szCs w:val="20"/>
                <w:color w:val="auto"/>
              </w:rPr>
            </w:pPr>
            <w:r>
              <w:rPr>
                <w:rFonts w:ascii="Arial" w:cs="Arial" w:eastAsia="Arial" w:hAnsi="Arial"/>
                <w:sz w:val="18"/>
                <w:szCs w:val="18"/>
                <w:color w:val="auto"/>
              </w:rPr>
              <w:t>returned to investors.</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8"/>
              </w:rPr>
              <w:t>purpose  of  winding  up  and  (ii)  as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9"/>
              </w:rPr>
              <w:t>promptly as reasonably possible but</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not  more  than  ten  business  days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thereafter,  redeem  100%  of  the</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outstanding public subunits, at a per-</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1"/>
              </w:rPr>
              <w:t>subunit price, payable in cash, equal to</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4"/>
              </w:rPr>
              <w:t>the aggregate amount then on deposit</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in  the  trust  account,  including  any</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9"/>
              </w:rPr>
              <w:t>interest not released to us but net of</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franchise and income taxes payable,</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divided  by  the  number  of  then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w w:val="98"/>
              </w:rPr>
              <w:t>outstanding</w:t>
            </w:r>
          </w:p>
        </w:tc>
        <w:tc>
          <w:tcPr>
            <w:tcW w:w="540" w:type="dxa"/>
            <w:vAlign w:val="bottom"/>
          </w:tcPr>
          <w:p>
            <w:pPr>
              <w:ind w:left="40"/>
              <w:spacing w:after="0"/>
              <w:rPr>
                <w:sz w:val="20"/>
                <w:szCs w:val="20"/>
                <w:color w:val="auto"/>
              </w:rPr>
            </w:pPr>
            <w:r>
              <w:rPr>
                <w:rFonts w:ascii="Arial" w:cs="Arial" w:eastAsia="Arial" w:hAnsi="Arial"/>
                <w:sz w:val="18"/>
                <w:szCs w:val="18"/>
                <w:color w:val="auto"/>
              </w:rPr>
              <w:t>public</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subunits,  which</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6"/>
              </w:rPr>
              <w:t>redemption will completely extinguish</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public</w:t>
            </w: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stockholders’</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rights</w:t>
            </w:r>
          </w:p>
        </w:tc>
        <w:tc>
          <w:tcPr>
            <w:tcW w:w="380" w:type="dxa"/>
            <w:vAlign w:val="bottom"/>
          </w:tcPr>
          <w:p>
            <w:pPr>
              <w:jc w:val="right"/>
              <w:spacing w:after="0"/>
              <w:rPr>
                <w:sz w:val="20"/>
                <w:szCs w:val="20"/>
                <w:color w:val="auto"/>
              </w:rPr>
            </w:pPr>
            <w:r>
              <w:rPr>
                <w:rFonts w:ascii="Arial" w:cs="Arial" w:eastAsia="Arial" w:hAnsi="Arial"/>
                <w:sz w:val="18"/>
                <w:szCs w:val="18"/>
                <w:color w:val="auto"/>
              </w:rPr>
              <w:t>as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stockholders  (including  the  right  to</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receive</w:t>
            </w:r>
          </w:p>
        </w:tc>
        <w:tc>
          <w:tcPr>
            <w:tcW w:w="30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further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liquidation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distributions,  if  any),  subject  to</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180" w:type="dxa"/>
            <w:vAlign w:val="bottom"/>
            <w:gridSpan w:val="4"/>
          </w:tcPr>
          <w:p>
            <w:pPr>
              <w:ind w:left="300"/>
              <w:spacing w:after="0"/>
              <w:rPr>
                <w:sz w:val="20"/>
                <w:szCs w:val="20"/>
                <w:color w:val="auto"/>
              </w:rPr>
            </w:pPr>
            <w:r>
              <w:rPr>
                <w:rFonts w:ascii="Arial" w:cs="Arial" w:eastAsia="Arial" w:hAnsi="Arial"/>
                <w:sz w:val="18"/>
                <w:szCs w:val="18"/>
                <w:color w:val="auto"/>
              </w:rPr>
              <w:t>applicable  law.  Public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1"/>
              </w:rPr>
              <w:t>stockholders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will  also  forfeit  the  one-quarter</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4"/>
              </w:rPr>
              <w:t>warrant included in the subunits being</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4"/>
              </w:rPr>
              <w:t>redeemed. As promptly as reasonably</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w w:val="93"/>
              </w:rPr>
              <w:t>possible</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following</w:t>
            </w:r>
          </w:p>
        </w:tc>
        <w:tc>
          <w:tcPr>
            <w:tcW w:w="400" w:type="dxa"/>
            <w:vAlign w:val="bottom"/>
          </w:tcPr>
          <w:p>
            <w:pPr>
              <w:ind w:left="40"/>
              <w:spacing w:after="0"/>
              <w:rPr>
                <w:sz w:val="20"/>
                <w:szCs w:val="20"/>
                <w:color w:val="auto"/>
              </w:rPr>
            </w:pPr>
            <w:r>
              <w:rPr>
                <w:rFonts w:ascii="Arial" w:cs="Arial" w:eastAsia="Arial" w:hAnsi="Arial"/>
                <w:sz w:val="18"/>
                <w:szCs w:val="18"/>
                <w:color w:val="auto"/>
                <w:w w:val="89"/>
              </w:rPr>
              <w:t>such</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6"/>
              </w:rPr>
              <w:t>redemption,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subject  to  the  approval  of  our</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4"/>
              </w:rPr>
              <w:t>remaining stockholders and our board</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of  directors,  we  will  dissolve  and</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6"/>
              </w:rPr>
              <w:t>liquidate,  subject  to  our  obligations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8"/>
              </w:rPr>
              <w:t>under  Delaware law  to  provide  for</w:t>
            </w:r>
          </w:p>
        </w:tc>
        <w:tc>
          <w:tcPr>
            <w:tcW w:w="2980" w:type="dxa"/>
            <w:vAlign w:val="bottom"/>
          </w:tcPr>
          <w:p>
            <w:pPr>
              <w:spacing w:after="0"/>
              <w:rPr>
                <w:sz w:val="18"/>
                <w:szCs w:val="18"/>
                <w:color w:val="auto"/>
              </w:rPr>
            </w:pPr>
          </w:p>
        </w:tc>
      </w:tr>
      <w:tr>
        <w:trPr>
          <w:trHeight w:val="230"/>
        </w:trPr>
        <w:tc>
          <w:tcPr>
            <w:tcW w:w="194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claims</w:t>
            </w:r>
          </w:p>
        </w:tc>
        <w:tc>
          <w:tcPr>
            <w:tcW w:w="300" w:type="dxa"/>
            <w:vAlign w:val="bottom"/>
          </w:tcPr>
          <w:p>
            <w:pPr>
              <w:ind w:left="100"/>
              <w:spacing w:after="0"/>
              <w:rPr>
                <w:sz w:val="20"/>
                <w:szCs w:val="20"/>
                <w:color w:val="auto"/>
              </w:rPr>
            </w:pPr>
            <w:r>
              <w:rPr>
                <w:rFonts w:ascii="Arial" w:cs="Arial" w:eastAsia="Arial" w:hAnsi="Arial"/>
                <w:sz w:val="18"/>
                <w:szCs w:val="18"/>
                <w:color w:val="auto"/>
              </w:rPr>
              <w:t>of</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creditors</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380" w:type="dxa"/>
            <w:vAlign w:val="bottom"/>
          </w:tcPr>
          <w:p>
            <w:pPr>
              <w:jc w:val="right"/>
              <w:spacing w:after="0"/>
              <w:rPr>
                <w:sz w:val="20"/>
                <w:szCs w:val="20"/>
                <w:color w:val="auto"/>
              </w:rPr>
            </w:pPr>
            <w:r>
              <w:rPr>
                <w:rFonts w:ascii="Arial" w:cs="Arial" w:eastAsia="Arial" w:hAnsi="Arial"/>
                <w:sz w:val="18"/>
                <w:szCs w:val="18"/>
                <w:color w:val="auto"/>
              </w:rPr>
              <w:t>the</w:t>
            </w:r>
          </w:p>
        </w:tc>
        <w:tc>
          <w:tcPr>
            <w:tcW w:w="2980" w:type="dxa"/>
            <w:vAlign w:val="bottom"/>
          </w:tcPr>
          <w:p>
            <w:pPr>
              <w:spacing w:after="0"/>
              <w:rPr>
                <w:sz w:val="20"/>
                <w:szCs w:val="20"/>
                <w:color w:val="auto"/>
              </w:rPr>
            </w:pPr>
          </w:p>
        </w:tc>
      </w:tr>
    </w:tbl>
    <w:p>
      <w:pPr>
        <w:ind w:left="2700"/>
        <w:spacing w:after="0"/>
        <w:rPr>
          <w:sz w:val="20"/>
          <w:szCs w:val="20"/>
          <w:color w:val="auto"/>
        </w:rPr>
      </w:pPr>
      <w:r>
        <w:rPr>
          <w:rFonts w:ascii="Arial" w:cs="Arial" w:eastAsia="Arial" w:hAnsi="Arial"/>
          <w:sz w:val="18"/>
          <w:szCs w:val="18"/>
          <w:color w:val="auto"/>
        </w:rPr>
        <w:t>requirements of other applicable law.</w:t>
      </w:r>
    </w:p>
    <w:p>
      <w:pPr>
        <w:sectPr>
          <w:pgSz w:w="11900" w:h="16838" w:orient="portrait"/>
          <w:cols w:equalWidth="0" w:num="1">
            <w:col w:w="9019"/>
          </w:cols>
          <w:pgMar w:left="1440" w:top="274" w:right="1440" w:bottom="1440"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0" w:name="page71"/>
    <w:bookmarkEnd w:id="7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Interest earned on the</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funds in the trust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Release of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660"/>
        <w:spacing w:after="0"/>
        <w:tabs>
          <w:tab w:leader="none" w:pos="3200" w:val="left"/>
        </w:tabs>
        <w:rPr>
          <w:sz w:val="20"/>
          <w:szCs w:val="20"/>
          <w:color w:val="auto"/>
        </w:rPr>
      </w:pPr>
      <w:r>
        <w:rPr>
          <w:rFonts w:ascii="Arial" w:cs="Arial" w:eastAsia="Arial" w:hAnsi="Arial"/>
          <w:sz w:val="16"/>
          <w:szCs w:val="16"/>
          <w:b w:val="1"/>
          <w:bCs w:val="1"/>
          <w:color w:val="auto"/>
        </w:rPr>
        <w:t>Terms of the Offering</w:t>
      </w:r>
      <w:r>
        <w:rPr>
          <w:sz w:val="20"/>
          <w:szCs w:val="20"/>
          <w:color w:val="auto"/>
        </w:rPr>
        <w:tab/>
      </w:r>
      <w:r>
        <w:rPr>
          <w:rFonts w:ascii="Arial" w:cs="Arial" w:eastAsia="Arial" w:hAnsi="Arial"/>
          <w:sz w:val="14"/>
          <w:szCs w:val="14"/>
          <w:b w:val="1"/>
          <w:bCs w:val="1"/>
          <w:color w:val="auto"/>
        </w:rPr>
        <w:t>Terms Under a Rule 419 Offering</w:t>
      </w:r>
    </w:p>
    <w:p>
      <w:pPr>
        <w:spacing w:after="0" w:line="72" w:lineRule="exact"/>
        <w:rPr>
          <w:sz w:val="20"/>
          <w:szCs w:val="20"/>
          <w:color w:val="auto"/>
        </w:rPr>
      </w:pPr>
    </w:p>
    <w:p>
      <w:pPr>
        <w:jc w:val="both"/>
        <w:ind w:right="459"/>
        <w:spacing w:after="0" w:line="271" w:lineRule="auto"/>
        <w:rPr>
          <w:sz w:val="20"/>
          <w:szCs w:val="20"/>
          <w:color w:val="auto"/>
        </w:rPr>
      </w:pPr>
      <w:r>
        <w:rPr>
          <w:rFonts w:ascii="Arial" w:cs="Arial" w:eastAsia="Arial" w:hAnsi="Arial"/>
          <w:sz w:val="17"/>
          <w:szCs w:val="17"/>
          <w:color w:val="auto"/>
        </w:rPr>
        <w:t>There can be released to us, from time All interest earned on the funds in the to time, any interest earned on the trust account will be held in trust for the funds in the trust account that we may benefit of public stockholders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-419100</wp:posOffset>
            </wp:positionV>
            <wp:extent cx="37204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tabs>
          <w:tab w:leader="none" w:pos="2900" w:val="left"/>
        </w:tabs>
        <w:rPr>
          <w:sz w:val="20"/>
          <w:szCs w:val="20"/>
          <w:color w:val="auto"/>
        </w:rPr>
      </w:pPr>
      <w:r>
        <w:rPr>
          <w:rFonts w:ascii="Arial" w:cs="Arial" w:eastAsia="Arial" w:hAnsi="Arial"/>
          <w:sz w:val="18"/>
          <w:szCs w:val="18"/>
          <w:color w:val="auto"/>
        </w:rPr>
        <w:t>need to pay our tax obligations.</w:t>
      </w:r>
      <w:r>
        <w:rPr>
          <w:sz w:val="20"/>
          <w:szCs w:val="20"/>
          <w:color w:val="auto"/>
        </w:rPr>
        <w:tab/>
      </w:r>
      <w:r>
        <w:rPr>
          <w:rFonts w:ascii="Arial" w:cs="Arial" w:eastAsia="Arial" w:hAnsi="Arial"/>
          <w:sz w:val="17"/>
          <w:szCs w:val="17"/>
          <w:color w:val="auto"/>
        </w:rPr>
        <w:t>earlier of the completion of a business</w:t>
      </w:r>
    </w:p>
    <w:p>
      <w:pPr>
        <w:ind w:left="2920"/>
        <w:spacing w:after="0" w:line="195" w:lineRule="auto"/>
        <w:rPr>
          <w:sz w:val="20"/>
          <w:szCs w:val="20"/>
          <w:color w:val="auto"/>
        </w:rPr>
      </w:pPr>
      <w:r>
        <w:rPr>
          <w:rFonts w:ascii="Arial" w:cs="Arial" w:eastAsia="Arial" w:hAnsi="Arial"/>
          <w:sz w:val="17"/>
          <w:szCs w:val="17"/>
          <w:color w:val="auto"/>
        </w:rPr>
        <w:t>combination and our liquidation upon</w:t>
      </w:r>
    </w:p>
    <w:p>
      <w:pPr>
        <w:spacing w:after="0" w:line="180" w:lineRule="auto"/>
        <w:rPr>
          <w:sz w:val="20"/>
          <w:szCs w:val="20"/>
          <w:color w:val="auto"/>
        </w:rPr>
      </w:pPr>
      <w:r>
        <w:rPr>
          <w:rFonts w:ascii="Arial" w:cs="Arial" w:eastAsia="Arial" w:hAnsi="Arial"/>
          <w:sz w:val="25"/>
          <w:szCs w:val="25"/>
          <w:color w:val="auto"/>
          <w:vertAlign w:val="superscript"/>
        </w:rPr>
        <w:t>The remaining interest earned on the</w:t>
      </w:r>
      <w:r>
        <w:rPr>
          <w:rFonts w:ascii="Arial" w:cs="Arial" w:eastAsia="Arial" w:hAnsi="Arial"/>
          <w:sz w:val="14"/>
          <w:szCs w:val="14"/>
          <w:color w:val="auto"/>
        </w:rPr>
        <w:t xml:space="preserve"> failure to effect a business combination</w:t>
      </w:r>
    </w:p>
    <w:p>
      <w:pPr>
        <w:spacing w:after="0" w:line="180" w:lineRule="auto"/>
        <w:rPr>
          <w:sz w:val="20"/>
          <w:szCs w:val="20"/>
          <w:color w:val="auto"/>
        </w:rPr>
      </w:pPr>
      <w:r>
        <w:rPr>
          <w:rFonts w:ascii="Arial" w:cs="Arial" w:eastAsia="Arial" w:hAnsi="Arial"/>
          <w:sz w:val="14"/>
          <w:szCs w:val="14"/>
          <w:color w:val="auto"/>
        </w:rPr>
        <w:t xml:space="preserve">funds in the trust account will not be </w:t>
      </w:r>
      <w:r>
        <w:rPr>
          <w:rFonts w:ascii="Arial" w:cs="Arial" w:eastAsia="Arial" w:hAnsi="Arial"/>
          <w:sz w:val="25"/>
          <w:szCs w:val="25"/>
          <w:color w:val="auto"/>
          <w:vertAlign w:val="subscript"/>
        </w:rPr>
        <w:t>within the allotted time.</w:t>
      </w:r>
    </w:p>
    <w:p>
      <w:pPr>
        <w:spacing w:after="0" w:line="1" w:lineRule="exact"/>
        <w:rPr>
          <w:sz w:val="20"/>
          <w:szCs w:val="20"/>
          <w:color w:val="auto"/>
        </w:rPr>
      </w:pPr>
    </w:p>
    <w:p>
      <w:pPr>
        <w:spacing w:after="0"/>
        <w:tabs>
          <w:tab w:leader="none" w:pos="740" w:val="left"/>
          <w:tab w:leader="none" w:pos="1240" w:val="left"/>
          <w:tab w:leader="none" w:pos="1620" w:val="left"/>
          <w:tab w:leader="none" w:pos="2260" w:val="left"/>
          <w:tab w:leader="none" w:pos="2580" w:val="left"/>
        </w:tabs>
        <w:rPr>
          <w:sz w:val="20"/>
          <w:szCs w:val="20"/>
          <w:color w:val="auto"/>
        </w:rPr>
      </w:pPr>
      <w:r>
        <w:rPr>
          <w:rFonts w:ascii="Arial" w:cs="Arial" w:eastAsia="Arial" w:hAnsi="Arial"/>
          <w:sz w:val="18"/>
          <w:szCs w:val="18"/>
          <w:color w:val="auto"/>
        </w:rPr>
        <w:t>released</w:t>
        <w:tab/>
        <w:t>until</w:t>
        <w:tab/>
        <w:t>the</w:t>
        <w:tab/>
        <w:t>earlier</w:t>
        <w:tab/>
        <w:t>of</w:t>
      </w:r>
      <w:r>
        <w:rPr>
          <w:sz w:val="20"/>
          <w:szCs w:val="20"/>
          <w:color w:val="auto"/>
        </w:rPr>
        <w:tab/>
      </w:r>
      <w:r>
        <w:rPr>
          <w:rFonts w:ascii="Arial" w:cs="Arial" w:eastAsia="Arial" w:hAnsi="Arial"/>
          <w:sz w:val="15"/>
          <w:szCs w:val="15"/>
          <w:color w:val="auto"/>
        </w:rPr>
        <w:t>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completion of a business 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our  liquidation  upon  failure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a business combination within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allotted time.</w:t>
      </w:r>
    </w:p>
    <w:p>
      <w:pPr>
        <w:spacing w:after="0" w:line="184" w:lineRule="exact"/>
        <w:rPr>
          <w:sz w:val="20"/>
          <w:szCs w:val="20"/>
          <w:color w:val="auto"/>
        </w:rPr>
      </w:pPr>
    </w:p>
    <w:p>
      <w:pPr>
        <w:ind w:right="459"/>
        <w:spacing w:after="0" w:line="252" w:lineRule="auto"/>
        <w:rPr>
          <w:sz w:val="20"/>
          <w:szCs w:val="20"/>
          <w:color w:val="auto"/>
        </w:rPr>
      </w:pPr>
      <w:r>
        <w:rPr>
          <w:rFonts w:ascii="Arial" w:cs="Arial" w:eastAsia="Arial" w:hAnsi="Arial"/>
          <w:sz w:val="18"/>
          <w:szCs w:val="18"/>
          <w:color w:val="auto"/>
        </w:rPr>
        <w:t>Except for any interest earned on the The proceeds held in the escrow account funds in the trust account that we may would not be released to the company need to pay our tax obligations, the until the earlier of the completion of a proceeds held in the trust account will business combination or the failure to not be released to us until the earlier of effect a business combination within the the completion of a business allotted time. combination and our liquidation upon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failure to effect a business 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 the allotted time.</w:t>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2140" w:space="560"/>
            <w:col w:w="6319"/>
          </w:cols>
          <w:pgMar w:left="1440" w:top="274" w:right="1440" w:bottom="1440" w:gutter="0" w:footer="0" w:header="0"/>
        </w:sectPr>
      </w:pPr>
    </w:p>
    <w:bookmarkStart w:id="71" w:name="page72"/>
    <w:bookmarkEnd w:id="7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Our directors and executive officers upon the effective date of the registration statement of which this prospectus forms part will be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Age</w:t>
            </w:r>
          </w:p>
        </w:tc>
        <w:tc>
          <w:tcPr>
            <w:tcW w:w="3980" w:type="dxa"/>
            <w:vAlign w:val="bottom"/>
          </w:tcPr>
          <w:p>
            <w:pPr>
              <w:ind w:left="1720"/>
              <w:spacing w:after="0"/>
              <w:rPr>
                <w:sz w:val="20"/>
                <w:szCs w:val="20"/>
                <w:color w:val="auto"/>
              </w:rPr>
            </w:pPr>
            <w:r>
              <w:rPr>
                <w:rFonts w:ascii="Arial" w:cs="Arial" w:eastAsia="Arial" w:hAnsi="Arial"/>
                <w:sz w:val="16"/>
                <w:szCs w:val="16"/>
                <w:b w:val="1"/>
                <w:bCs w:val="1"/>
                <w:color w:val="auto"/>
              </w:rPr>
              <w:t>Position</w:t>
            </w:r>
          </w:p>
        </w:tc>
      </w:tr>
      <w:tr>
        <w:trPr>
          <w:trHeight w:val="46"/>
        </w:trPr>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43"/>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Dr. Eric R. Ball</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Stephen N. Cannon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&amp; President</w:t>
            </w:r>
          </w:p>
        </w:tc>
      </w:tr>
      <w:tr>
        <w:trPr>
          <w:trHeight w:val="40"/>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64"/>
        </w:trPr>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Daniel Sheehan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Long Long</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1"/>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63"/>
        </w:trPr>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Bryant B. Edwards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Dr. Luc Julia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0"/>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43"/>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P. Pai</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40"/>
        </w:trPr>
        <w:tc>
          <w:tcPr>
            <w:tcW w:w="3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98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b w:val="1"/>
          <w:bCs w:val="1"/>
          <w:color w:val="auto"/>
        </w:rPr>
        <w:t xml:space="preserve">Dr. Eric R. Ball </w:t>
      </w:r>
      <w:r>
        <w:rPr>
          <w:rFonts w:ascii="Arial" w:cs="Arial" w:eastAsia="Arial" w:hAnsi="Arial"/>
          <w:sz w:val="16"/>
          <w:szCs w:val="16"/>
          <w:color w:val="auto"/>
        </w:rPr>
        <w:t>is our Chairman as of the date of this prospectus. Since 2016, Dr. Ball has been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since 2013.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w:t>
      </w:r>
      <w:r>
        <w:rPr>
          <w:rFonts w:ascii="Arial" w:cs="Arial" w:eastAsia="Arial" w:hAnsi="Arial"/>
          <w:sz w:val="16"/>
          <w:szCs w:val="16"/>
          <w:i w:val="1"/>
          <w:iCs w:val="1"/>
          <w:color w:val="auto"/>
        </w:rPr>
        <w:t>.</w:t>
      </w:r>
      <w:r>
        <w:rPr>
          <w:rFonts w:ascii="Arial" w:cs="Arial" w:eastAsia="Arial" w:hAnsi="Arial"/>
          <w:sz w:val="16"/>
          <w:szCs w:val="16"/>
          <w:color w:val="auto"/>
        </w:rPr>
        <w:t xml:space="preserve"> We believe that Dr. Ball is well-qualified to serve as a director of the company given his extensive finance, mergers &amp; acquisition, investing and public company experience in the technology industry.</w:t>
      </w:r>
    </w:p>
    <w:p>
      <w:pPr>
        <w:spacing w:after="0" w:line="27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b w:val="1"/>
          <w:bCs w:val="1"/>
          <w:color w:val="auto"/>
        </w:rPr>
        <w:t xml:space="preserve">Stephen N. Cannon </w:t>
      </w:r>
      <w:r>
        <w:rPr>
          <w:rFonts w:ascii="Arial" w:cs="Arial" w:eastAsia="Arial" w:hAnsi="Arial"/>
          <w:sz w:val="16"/>
          <w:szCs w:val="16"/>
          <w:color w:val="auto"/>
        </w:rPr>
        <w:t>has been our Chief Executive Officer &amp; President since September 2020, and our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from September 2020 to March 2021. Since August 2020, Mr. Cannon has been the Chief Operating Officer and President of Global SPAC Partners Co, a proposed blank check company which filed a registration statement with the SEC on October 13, 2020 for a $200 million IPO and intends to focus on potential business combinations in geographic regions from the Middle East North Africa through SouthEast Asia. Since August 2019, Mr. Cannon has been the Chief Operating Officer and President of Ackrell SPAC Partners I Co., a blank check company which completed a $140 million IPO on December 21, 2020, and intends to focus on fast-moving consumer goods business globally, with an emphasis on beverage and wellness sectors. Since 2014, Mr. Cannon has been President of Everest Partners Limited, a privately-owned investment firm focused on Asian private investments. From 2017 to 2019, Mr. Cannon was the Chief Financial Officer of Twelve Seas Investment Company, a blank check company with $207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2010 to 2014, Mr. Cannon was a Partner and Head of China for RedBridge Group Ltd., a boutique merchant banking firm focused on Chinese and Arabian Gulf cross-border investments. From 2009 to 2014, Mr. Cannon was a registered representative of, and senior advisor to, Ackrell Capital.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 From 2005 to 2008, Mr. Cannon served as a Managing Director of Asian investment banking for WR Hambrecht+Co. Prior to WR Hambrecht + Co., Mr. Cannon worked at ABN AMRO, Donaldson, Lufkin &amp; Jenrette, Smith Barney Shearson and Salomon Brothers. Mr. Cannon currently serves on the board of the Cambodian Hotel Association. Mr. Cannon graduated from the University of Notre Dame with a Bachelor of Arts degree in Economics and a Bachelor of Science degree, majoring in Mechanical Engineering.</w:t>
      </w:r>
    </w:p>
    <w:p>
      <w:pPr>
        <w:sectPr>
          <w:pgSz w:w="11900" w:h="16838" w:orient="portrait"/>
          <w:cols w:equalWidth="0" w:num="1">
            <w:col w:w="9019"/>
          </w:cols>
          <w:pgMar w:left="1440" w:top="274"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2" w:name="page73"/>
    <w:bookmarkEnd w:id="7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b w:val="1"/>
          <w:bCs w:val="1"/>
          <w:color w:val="auto"/>
        </w:rPr>
        <w:t xml:space="preserve">Daniel L. Sheehan </w:t>
      </w:r>
      <w:r>
        <w:rPr>
          <w:rFonts w:ascii="Arial" w:cs="Arial" w:eastAsia="Arial" w:hAnsi="Arial"/>
          <w:sz w:val="17"/>
          <w:szCs w:val="17"/>
          <w:color w:val="auto"/>
        </w:rPr>
        <w:t>is our Chief Operating Officer as of the date of this prospectus. Since December 2020, Mr</w:t>
      </w:r>
      <w:r>
        <w:rPr>
          <w:rFonts w:ascii="Arial" w:cs="Arial" w:eastAsia="Arial" w:hAnsi="Arial"/>
          <w:sz w:val="17"/>
          <w:szCs w:val="17"/>
          <w:b w:val="1"/>
          <w:bCs w:val="1"/>
          <w:color w:val="auto"/>
        </w:rPr>
        <w:t xml:space="preserve"> </w:t>
      </w:r>
      <w:r>
        <w:rPr>
          <w:rFonts w:ascii="Arial" w:cs="Arial" w:eastAsia="Arial" w:hAnsi="Arial"/>
          <w:sz w:val="17"/>
          <w:szCs w:val="17"/>
          <w:color w:val="auto"/>
        </w:rPr>
        <w:t>Sheehan has been a Director of Ackrell SPAC Partners I Co. Since 1995, Mr. Sheehan has been an attorney licensed in the State of California. Since 2004, Mr. Sheehan has been the founder and managing partner of Silicon Valley Wealth Law, a law firm specializing in estate planning, tax planning, business planning, and special needs planning. Mr. Sheehan has designed and drafted over 1,000 estate plans for clients throughout Silicon Valley. Mr. Sheehan has expertise in handling federal and state income tax matters and disputes, in the formation and operation of business entities, and has provided strategic planning and technology enhancement guidance to new business ventures and established companies. Mr. Sheehan has senior management experience with companies in a range of industries, including computer-aided manufacturing, real estate development, health care, mining, and law. Mr. Sheehan has frequently consulted with venture capitalists to review and advise them about investment opportunities. From 2011 to 2013, Mr. Sheehan was Chief Executive Officer of North Star Resources, a provider of technology for the extraction and refining of precious and strategic metals. From 1996 to 2004, Mr. Sheehan was a partner in the law firm of Davidson, Sheehan &amp; Jewel. In 2010, Mr. Sheehan filed for personal bankruptcy under Chapter 13, which was completed in May 2014 with no debts being discharged. Mr. Sheehan graduated from St. Mary’s College of California with a Bachelor of Arts degree in Business Management with honors. Mr. Sheehan received his Juris Doctor from the University of San Francisco School of Law.</w:t>
      </w:r>
    </w:p>
    <w:p>
      <w:pPr>
        <w:spacing w:after="0" w:line="6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b w:val="1"/>
          <w:bCs w:val="1"/>
          <w:color w:val="auto"/>
        </w:rPr>
        <w:t xml:space="preserve">Long Long </w:t>
      </w:r>
      <w:r>
        <w:rPr>
          <w:rFonts w:ascii="Arial" w:cs="Arial" w:eastAsia="Arial" w:hAnsi="Arial"/>
          <w:sz w:val="17"/>
          <w:szCs w:val="17"/>
          <w:color w:val="auto"/>
        </w:rPr>
        <w:t>has been our Chief Financial Officer since September 2020. Since August 2020, Mr. Long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Financial Officer of Global SPAC Partners Co. Since August 2019, Mr. Long has been the Chief Financial Officer of Ackrell SPAC Partners I Co. From 2017 to 2019, Mr. Long was Vice President of Twelve Seas Sponsors I LLC, sponsor of Twelve Seas Investment Company. From 2006 to 2016, Mr. Long worked for IBM in a variety of Corporate Finance, Audit, and Managerial roles, both within the US and internationally. From 2015 to 2016, Mr. Long served as Finance Controller for IBM China’s Consulting Business Unit and Sales Channels. From 2013 to 2014, Mr. Long served as the Strategy and Planning Manager for IBM China and, from January 2012 to December 2012, as a Senior Finance Analyst for IBM China. From 2010 to 2011, Mr. Long served as Internal Auditor for IBM’s Asia Pacific region and, from 2006 to 2009, as a financial analyst for IBM’s worldwide operations. Mr. Long graduated from Washington University in St. Louis with a Bachelor of Science and Business Administration degree, majoring in Finance and a Bachelor of Science degree, majoring in Electrical Engineering.</w:t>
      </w:r>
    </w:p>
    <w:p>
      <w:pPr>
        <w:spacing w:after="0" w:line="7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b w:val="1"/>
          <w:bCs w:val="1"/>
          <w:color w:val="auto"/>
        </w:rPr>
        <w:t xml:space="preserve">Bryant B. Edwards </w:t>
      </w:r>
      <w:r>
        <w:rPr>
          <w:rFonts w:ascii="Arial" w:cs="Arial" w:eastAsia="Arial" w:hAnsi="Arial"/>
          <w:sz w:val="16"/>
          <w:szCs w:val="16"/>
          <w:color w:val="auto"/>
        </w:rPr>
        <w:t>is one of our independent directors as of the date of this prospectus. Since August 2020,</w:t>
      </w:r>
      <w:r>
        <w:rPr>
          <w:rFonts w:ascii="Arial" w:cs="Arial" w:eastAsia="Arial" w:hAnsi="Arial"/>
          <w:sz w:val="16"/>
          <w:szCs w:val="16"/>
          <w:b w:val="1"/>
          <w:bCs w:val="1"/>
          <w:color w:val="auto"/>
        </w:rPr>
        <w:t xml:space="preserve"> </w:t>
      </w:r>
      <w:r>
        <w:rPr>
          <w:rFonts w:ascii="Arial" w:cs="Arial" w:eastAsia="Arial" w:hAnsi="Arial"/>
          <w:sz w:val="16"/>
          <w:szCs w:val="16"/>
          <w:color w:val="auto"/>
        </w:rPr>
        <w:t>Mr. Edwards has been the Chief Executive Officer and Director of Global SPAC Partners Co. From 2018 to 2019, Mr. Edwards was the Chief Operating Officer and Director of Twelve Seas, which consummated its initial business combination with BPGIC, Ltd. Mr. Edwards retired from Latham &amp; Watkins, a global law firm, in 2016, after a 35-year legal career. From 1981 to 2016, Mr. Edwards served as both a practicing corporate and securities attorney, as well as in various management roles building the Latham &amp; Watkins’ practices in Europe (from 2000 to 2008), the Middle East (from 2008 to 2012) and then East Asia (from 2012 to 2016). From 2004 to 2008, Mr. Edwards served as Chair of the European High Yield Association (EHYA) and helped establish the Gulf Bond &amp; Sukuk Association, the trade association representing the Arabian Gulf fixed income market (GBSA) and, from 2008 to 2012, served on its Steering Committee and as Chair of its Regulatory Committee. Additionally, from 2012 to 2016, Mr. Edwards served as Vice-Chair of the Credit Markets Committee of the Asia Securities &amp; Financial Markets Committee (ASIFMA). Mr. Edwards has served as a Board of Brooge Energy Limited (f.k.a. BPGIC Ltd), a petroleum and gas company located in the UAE, since 2020. Mr. Edwards graduated from Brigham Young University with a Bachelor of Arts degree and received his Juris Doctor from the University of Chicago Law School. We believe that Mr. Edwards is well-qualified to serve as a director of the company given his in-depth knowledge of corporate, securities and regulatory law.</w:t>
      </w:r>
    </w:p>
    <w:p>
      <w:pPr>
        <w:spacing w:after="0" w:line="5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b w:val="1"/>
          <w:bCs w:val="1"/>
          <w:color w:val="auto"/>
        </w:rPr>
        <w:t xml:space="preserve">Dr. Luc Julia </w:t>
      </w:r>
      <w:r>
        <w:rPr>
          <w:rFonts w:ascii="Arial" w:cs="Arial" w:eastAsia="Arial" w:hAnsi="Arial"/>
          <w:sz w:val="16"/>
          <w:szCs w:val="16"/>
          <w:color w:val="auto"/>
        </w:rPr>
        <w:t>is one of our independent directors as of the date of this prospectus. Since December 2012,</w:t>
      </w:r>
      <w:r>
        <w:rPr>
          <w:rFonts w:ascii="Arial" w:cs="Arial" w:eastAsia="Arial" w:hAnsi="Arial"/>
          <w:sz w:val="16"/>
          <w:szCs w:val="16"/>
          <w:b w:val="1"/>
          <w:bCs w:val="1"/>
          <w:color w:val="auto"/>
        </w:rPr>
        <w:t xml:space="preserve"> </w:t>
      </w:r>
      <w:r>
        <w:rPr>
          <w:rFonts w:ascii="Arial" w:cs="Arial" w:eastAsia="Arial" w:hAnsi="Arial"/>
          <w:sz w:val="16"/>
          <w:szCs w:val="16"/>
          <w:color w:val="auto"/>
        </w:rPr>
        <w:t>Dr. Julia has been the CTO and Senior Vice President of Innovation for Samsung Electronics. From 2011 to 2012, Dr. Julia served as a Director of Siri at Apple and was a co-author of Siri’s core patents. From 2010 to 2011, Dr. Julia served as the Chief Technologist at Hewlett-Packard. From 2000 to 2010, Dr. Julia served as the Co-founder and Vice President of R&amp;D of BravoBrava!, a tech incubator focusing on new interfaces for education, multimodal and multimedia products. From 2004 to 2010, Dr. Julia served as the CTO of ORB Networks, a start-up he co-founded that provided digital media streaming solutions for digital home and remote access applications. From 2001 to 2008, Dr. Julia served as the CTO of SpeaK ESL, a company he co-founded which leveraged speech recognition and web technologies to help non-native speakers to practice and improve their English. From 2000 to 2007, Dr. Julia served as the Vice President of R&amp;D of Soliloquy Learning, a company he co-founded which pioneered the Reading Assistant that combines advanced speech recognition technology with science-based interventions to help children strengthen their reading fluency,</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3" w:name="page74"/>
    <w:bookmarkEnd w:id="7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vocabulary, and comprehension. From 1994 to 2000, Dr. Julia served in several research roles at SRI International, an independent, non-profit research institute, during which time Dr. Julia co-founded Nuance Communications, now a multi-national software corporation focused on speech recognition and artificial intelligence. Dr. Julia received his Ph.D. in Computer Science at the Ecole Nationale Supérieure des Télécommunications de Paris. Dr. Julia graduated from the University Pierre et Marie Curie in Paris with a Bachelor of Science degree and a Master of Science degree in Mathematics and Computer Science. Dr. Julia is the recipient of Légion d’Honneur, the highest order of France, and is a member of France’s National Academy of Technologies. Dr. Julia is also the author of the bestselling book “There is no such thing as Artificial Intelligence” and holds dozens of patents. We believe that Dr. Julia is well-qualified to serve as a director of the company given his vast experience and significant accomplishments in the technology industry.</w:t>
      </w:r>
    </w:p>
    <w:p>
      <w:pPr>
        <w:spacing w:after="0" w:line="5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b w:val="1"/>
          <w:bCs w:val="1"/>
          <w:color w:val="auto"/>
        </w:rPr>
        <w:t xml:space="preserve">Rajan P. Pai </w:t>
      </w:r>
      <w:r>
        <w:rPr>
          <w:rFonts w:ascii="Arial" w:cs="Arial" w:eastAsia="Arial" w:hAnsi="Arial"/>
          <w:sz w:val="17"/>
          <w:szCs w:val="17"/>
          <w:color w:val="auto"/>
        </w:rPr>
        <w:t>is one of our independent directors as of the date of this prospectus. Since 2015, Mr. Pai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the Vice President of System Applications at Credo, leading the development of high-performance transceiver solutions for service providers, datacenters and enterprise segments. From 1997 to 2015, Mr. Pai served in various engineering, sales and marketing roles at Marvell Semiconductor, Inc., including as the General Manager managing the storage business unit that offered system-on-chip (SOC) solutions for disk drive &amp; solid-state drive applications; Mr. Pai worked closely with finance, operational and M&amp;A teams during this time to successfully grow the division into a billion-dollar business. Prior to 1997, Mr. Pai served as an engineer at Texas Instruments, designing and developing PRML detectors for read channels. Mr. Pai graduated from the University of California, Irvine with a Bachelor of Science, majoring in Electrical &amp; Computer Engineering with a specialization in Systems &amp; Signal Processing. We believe that Mr. Pai is well-qualified to serve as a director of the company given his extensive engineering background and significant financial experience in a public company.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Advisor and Technical Advisor</w:t>
      </w:r>
    </w:p>
    <w:p>
      <w:pPr>
        <w:spacing w:after="0" w:line="117"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b w:val="1"/>
          <w:bCs w:val="1"/>
          <w:color w:val="auto"/>
        </w:rPr>
        <w:t xml:space="preserve">Brent Callinicos </w:t>
      </w:r>
      <w:r>
        <w:rPr>
          <w:rFonts w:ascii="Arial" w:cs="Arial" w:eastAsia="Arial" w:hAnsi="Arial"/>
          <w:sz w:val="17"/>
          <w:szCs w:val="17"/>
          <w:color w:val="auto"/>
        </w:rPr>
        <w:t>has been our special advisor since January 2021. Mr. Callinicos is currently an angel investor,</w:t>
      </w:r>
      <w:r>
        <w:rPr>
          <w:rFonts w:ascii="Arial" w:cs="Arial" w:eastAsia="Arial" w:hAnsi="Arial"/>
          <w:sz w:val="17"/>
          <w:szCs w:val="17"/>
          <w:b w:val="1"/>
          <w:bCs w:val="1"/>
          <w:color w:val="auto"/>
        </w:rPr>
        <w:t xml:space="preserve"> </w:t>
      </w:r>
      <w:r>
        <w:rPr>
          <w:rFonts w:ascii="Arial" w:cs="Arial" w:eastAsia="Arial" w:hAnsi="Arial"/>
          <w:sz w:val="17"/>
          <w:szCs w:val="17"/>
          <w:color w:val="auto"/>
        </w:rPr>
        <w:t>active in investing in early-stage technology companies. From 2017 to 2018, Mr. Callinicos served as the Chief Operating Officer and Chief Financial Officer of Virgin Hyperloop One. From 2013 to 2015, Mr. Callinicos served as the Chief Financial Officer of Uber Technologies Inc. From 2007 to 2013, Mr. Callinicos worked at Google Inc., including as Vice President, Treasurer and Chief Accountant. From 1992 to 2007, Mr. Callinicos worked at Microsoft Corporation, including as Treasurer, Vice President of Worldwide Licensing and Pricing, and CFO of the Platforms and Services Division. Mr. Callinicos is on the board of directors of several companies including PVH Corp, a fashion &amp; apparel company and Rubicon Technologies, a private company. Mr. Callinicos has a Bachelor of Business Administration and an MBA from UNC Chapel Hill and is a Certified Public Accountant.</w:t>
      </w:r>
    </w:p>
    <w:p>
      <w:pPr>
        <w:spacing w:after="0" w:line="6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b w:val="1"/>
          <w:bCs w:val="1"/>
          <w:color w:val="auto"/>
        </w:rPr>
        <w:t xml:space="preserve">Maheedhar Gunturu </w:t>
      </w:r>
      <w:r>
        <w:rPr>
          <w:rFonts w:ascii="Arial" w:cs="Arial" w:eastAsia="Arial" w:hAnsi="Arial"/>
          <w:sz w:val="17"/>
          <w:szCs w:val="17"/>
          <w:color w:val="auto"/>
        </w:rPr>
        <w:t>has been our technical advisor since January 2021. Mr. Gunturu is a Silicon Valley</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with extensive experience in Big Data, Artificial Intelligence, Internet-of-Things, Cyber Security, 5G and various software ecosystems. Mr. Gunturu has also played an active role in open-source projects including Hadoop, Hbase, Spark, Kafka, Cassandra, OpenCV and PyTorch. Since 2018, Mr. Gunturu has been the Global Head and Senior Director of Partnership Engineering of ScyllaDB, an open-source distributed NoSQL column-oriented data store. From 2016 to 2018, Mr. Gunturu served as the Director of Cloud Engineering of SmartThings, a developer of automation software for smart homes and consumer Internet-of-Things. From 2016 to 2017, Mr. Gunturu worked as a Cloud Architect of VoltDB, an in-memory transactional database. From 2014 to 2016, Mr. Gunturu worked as a Cloud Architect for MapR Technologies, a business software distribution company that provides access to different Big Data workloads. From 2012 to 2014, Mr. Gunturu worked as an Architect for Zscaler, a cloud-based information security company. From 2008 to 2012, Mr. Gunturu worked as a Senior Software Engineer for Qualcomm as part of the Location technology/GNSS and GPS teams. Mr. Gunturu also serves as the Chief Executive Officer of Ittican, a non-profit organization focused on improving the quality of life for children. Mr. Gunturu has a Masters in Electrical and Computer Engineering from the University of Texas at San Antonio.</w:t>
      </w:r>
    </w:p>
    <w:p>
      <w:pPr>
        <w:spacing w:after="0" w:line="7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currently expect our advisors to (i) assist us in sourcing and negotiating with potential business combination targets, (ii) provide business insights when we assess potential business combination targets and (iii) upon our request, provide business insights as we work to create additional value in the businesses that we acquire. However, we have no formal agreement with our special advisors and they will not be under any fiduciary obligations to us. They will not perform board or committee functions, nor will they have any voting or decision-making capacity on our behalf. Additionally, our special advisors has no other employment or compensation arrangements with us. Moreover, our special advisors will also not be required to devote any specific amount of time to our efforts. Accordingly, if our advisors becomes aware of a business combination opportunity which is suitable for any of the entities to which he has fiduciary or</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4" w:name="page75"/>
    <w:bookmarkEnd w:id="7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contractual obligations, they will honor such fiduciary or contractual obligations to present such business combination opportunity to such entity, and only present it to us if such entity rejects the opportunity. We may modify or expand our roster of advisors as we source potential business combination targets or create value in businesses that we may acquire.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Prior Experience with Blank Check Companies</w:t>
      </w:r>
    </w:p>
    <w:p>
      <w:pPr>
        <w:spacing w:after="0" w:line="14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Stephen N. Cannon has been an executive officer of Ackrell SPAC Partners I Co. since 2019, most recently serving as the Chief Operating Officer and President. Mr. Cannon was, from 2017 to 2019, the Chief Financial Officer of Twelve Seas Investment Company, a blank check company with $207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w:t>
      </w:r>
    </w:p>
    <w:p>
      <w:pPr>
        <w:spacing w:after="0" w:line="10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Long Long has been the Chief Financial Officer of Ackrell SPAC Partners I Co. since 2019. Mr. Long was, from 2017 to 2019, the Vice President of Twelve Seas Sponsors I LLC, sponsor of Twelve Seas Investment Company.</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Bryant B. Edwards was, from 2018 to 2019, the Chief Operating Officer and Director of Twelve Seas Investment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No executive officer has received any cash compensation for services rendered to us. Commencing on the date of this prospectus through the acquisition of a target business, we will pay an affiliate of our Chief Executive Officer an aggregate fee of $10,000 per month for providing us with office space and certain office and secretarial services. However, this arrangement is solely for our benefit and is not intended to provide our Chief Executive Officer compensation in lieu of a salary.</w:t>
      </w:r>
    </w:p>
    <w:p>
      <w:pPr>
        <w:spacing w:after="0" w:line="12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1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However, the amount of such compensation may not be known at the time of the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or a periodic report, as required by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Currently Messrs. Ball, Edwards, Julia and Pai would each be considered an “independent director” under the Nasdaq listing rules,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5" w:name="page76"/>
    <w:bookmarkEnd w:id="7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Our independent directors will have regularly scheduled meetings at which only independent directors are present.</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Any affiliated transactions will be on terms no less favorable to us than could be obtained from independent parties. Our board of directors will review and approve all affiliated transactions with any interested director abstaining from such review and approval.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We have established an audit committee of the board of directors, which consists of Messrs. Ball, Edwards and Pai, each of whom is an independent director under Nasdaq’s listing standards. Mr. Ball serves as chairman of the audit committee. The audit committee’s duties, which are specified in our Audit Committee Charter, include, but are not limited to:</w:t>
      </w:r>
    </w:p>
    <w:p>
      <w:pPr>
        <w:spacing w:after="0" w:line="106" w:lineRule="exact"/>
        <w:rPr>
          <w:sz w:val="20"/>
          <w:szCs w:val="20"/>
          <w:color w:val="auto"/>
        </w:rPr>
      </w:pPr>
    </w:p>
    <w:p>
      <w:pPr>
        <w:jc w:val="both"/>
        <w:ind w:left="1320" w:right="479" w:hanging="434"/>
        <w:spacing w:after="0" w:line="263"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405" w:val="left"/>
        </w:tabs>
        <w:numPr>
          <w:ilvl w:val="0"/>
          <w:numId w:val="35"/>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44" w:lineRule="exact"/>
        <w:rPr>
          <w:rFonts w:ascii="Arial" w:cs="Arial" w:eastAsia="Arial" w:hAnsi="Arial"/>
          <w:sz w:val="18"/>
          <w:szCs w:val="18"/>
          <w:color w:val="auto"/>
        </w:rPr>
      </w:pPr>
    </w:p>
    <w:p>
      <w:pPr>
        <w:jc w:val="both"/>
        <w:ind w:left="1320" w:right="479" w:hanging="434"/>
        <w:spacing w:after="0" w:line="286" w:lineRule="auto"/>
        <w:tabs>
          <w:tab w:leader="none" w:pos="1486"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7" w:lineRule="exact"/>
        <w:rPr>
          <w:rFonts w:ascii="Arial" w:cs="Arial" w:eastAsia="Arial" w:hAnsi="Arial"/>
          <w:sz w:val="17"/>
          <w:szCs w:val="17"/>
          <w:color w:val="auto"/>
        </w:rPr>
      </w:pPr>
    </w:p>
    <w:p>
      <w:pPr>
        <w:jc w:val="both"/>
        <w:ind w:left="1320" w:right="479" w:hanging="434"/>
        <w:spacing w:after="0" w:line="263" w:lineRule="auto"/>
        <w:tabs>
          <w:tab w:leader="none" w:pos="15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Nasdaq’s listing standards. Nasdaq’s standards define “financially literate” as being able to read and understand fundamental financial statements, including a company’s balance sheet, income statement and cash flow statement.</w:t>
      </w:r>
    </w:p>
    <w:p>
      <w:pPr>
        <w:spacing w:after="0" w:line="11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Ball and Mr. Edwards each qualifies as an “audit committee financial expert,” as defined under rules and regulations of the SEC.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Committee</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established a nominating committee of the board of directors, which consists of Messrs. Ball, Edwards and Pai. Messrs. Ball, Edwards and Pai are each an independent director under Nasdaq’s listing standards. 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guidelines for selecting nominees, which are specified in the Nominating Committee Charter, generally provide that persons to be nominated:</w:t>
      </w:r>
    </w:p>
    <w:p>
      <w:pPr>
        <w:spacing w:after="0" w:line="103" w:lineRule="exact"/>
        <w:rPr>
          <w:sz w:val="20"/>
          <w:szCs w:val="20"/>
          <w:color w:val="auto"/>
        </w:rPr>
      </w:pPr>
    </w:p>
    <w:p>
      <w:pPr>
        <w:ind w:left="1320" w:right="479" w:hanging="434"/>
        <w:spacing w:after="0" w:line="277" w:lineRule="auto"/>
        <w:tabs>
          <w:tab w:leader="none" w:pos="1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6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stockholders.</w:t>
      </w:r>
    </w:p>
    <w:p>
      <w:pPr>
        <w:spacing w:after="0" w:line="103"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48"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We have established a compensation committee of the board of directors, which consists of Messrs. Ball and Pai, each of whom is an independent director under Nasdaq’s listing standards. The compensation committee’s duties, which are specified in our Compensation Committee Charter, include, but are not limited to:</w:t>
      </w:r>
    </w:p>
    <w:p>
      <w:pPr>
        <w:spacing w:after="0" w:line="81" w:lineRule="exact"/>
        <w:rPr>
          <w:sz w:val="20"/>
          <w:szCs w:val="20"/>
          <w:color w:val="auto"/>
        </w:rPr>
      </w:pPr>
    </w:p>
    <w:p>
      <w:pPr>
        <w:jc w:val="both"/>
        <w:ind w:left="1320" w:right="459" w:hanging="434"/>
        <w:spacing w:after="0" w:line="259" w:lineRule="auto"/>
        <w:tabs>
          <w:tab w:leader="none" w:pos="13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48" w:lineRule="exact"/>
        <w:rPr>
          <w:sz w:val="20"/>
          <w:szCs w:val="20"/>
          <w:color w:val="auto"/>
        </w:rPr>
      </w:pPr>
    </w:p>
    <w:p>
      <w:pPr>
        <w:ind w:left="460" w:right="479"/>
        <w:spacing w:after="0" w:line="308" w:lineRule="auto"/>
        <w:rPr>
          <w:sz w:val="20"/>
          <w:szCs w:val="20"/>
          <w:color w:val="auto"/>
        </w:rPr>
      </w:pPr>
      <w:r>
        <w:rPr>
          <w:rFonts w:ascii="Arial" w:cs="Arial" w:eastAsia="Arial" w:hAnsi="Arial"/>
          <w:sz w:val="17"/>
          <w:szCs w:val="17"/>
          <w:color w:val="auto"/>
        </w:rPr>
        <w:t>We have adopted a code of ethics that applies to all of our executive officers, directors and employees. The code of ethics codifies the business and ethical principles that govern all aspects of our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03" w:lineRule="exact"/>
        <w:rPr>
          <w:sz w:val="20"/>
          <w:szCs w:val="20"/>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amended and restated certificate of incorporation provides that:</w:t>
      </w:r>
    </w:p>
    <w:p>
      <w:pPr>
        <w:spacing w:after="0" w:line="158" w:lineRule="exact"/>
        <w:rPr>
          <w:sz w:val="20"/>
          <w:szCs w:val="20"/>
          <w:color w:val="auto"/>
        </w:rPr>
      </w:pPr>
    </w:p>
    <w:p>
      <w:pPr>
        <w:jc w:val="both"/>
        <w:ind w:left="1320" w:right="459" w:hanging="434"/>
        <w:spacing w:after="0" w:line="259" w:lineRule="auto"/>
        <w:tabs>
          <w:tab w:leader="none" w:pos="14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renounce any interest or expectancy in, or being offered an opportunity to participate in, any business opportunities that are presented to us or our officers, directors or stockholders or affiliates thereof, including but not limited to, our sponsor and its affiliates, except as may be prescribed by any written agreement with us; and</w:t>
      </w:r>
    </w:p>
    <w:p>
      <w:pPr>
        <w:spacing w:after="0" w:line="105" w:lineRule="exact"/>
        <w:rPr>
          <w:rFonts w:ascii="Arial" w:cs="Arial" w:eastAsia="Arial" w:hAnsi="Arial"/>
          <w:sz w:val="18"/>
          <w:szCs w:val="18"/>
          <w:color w:val="auto"/>
        </w:rPr>
      </w:pPr>
    </w:p>
    <w:p>
      <w:pPr>
        <w:jc w:val="both"/>
        <w:ind w:left="1320" w:right="479" w:hanging="434"/>
        <w:spacing w:after="0" w:line="263" w:lineRule="auto"/>
        <w:tabs>
          <w:tab w:leader="none" w:pos="1513"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officers and directors will not be liable to our company or our stockholders for monetary damages for breach of any fiduciary duty by reason of any of our activities or any of our sponsor or its affiliates to the fullest extent permitted by Delaware law.</w:t>
      </w:r>
    </w:p>
    <w:p>
      <w:pPr>
        <w:spacing w:after="0" w:line="11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officers and directors are, and may in the future become, affiliated with other companies. In order to minimize potential conflicts of interest which may arise from such other corporate affiliations, each of our officers and directors has contractually agreed, pursuant to a written agreement with us, until the earliest of our execution of a definitive agreement for a business combination, our liquidation or such time as he ceases to be an officer or director, to present to our company for our consideration, prior to presentation to any other entity, any suitable business opportunity which may reasonably be required to be presented to us, subject to any pre-existing fiduciary or contractual obligations he might have. The following table summarizes the relevant pre-existing fiduciary or contractual obligations of our officers and directors besides our sponsor:</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Name of Individual </w:t>
            </w:r>
            <w:r>
              <w:rPr>
                <w:rFonts w:ascii="Arial" w:cs="Arial" w:eastAsia="Arial" w:hAnsi="Arial"/>
                <w:sz w:val="18"/>
                <w:szCs w:val="18"/>
                <w:b w:val="1"/>
                <w:bCs w:val="1"/>
                <w:color w:val="auto"/>
                <w:vertAlign w:val="superscript"/>
              </w:rPr>
              <w:t>(1)</w:t>
            </w:r>
          </w:p>
        </w:tc>
        <w:tc>
          <w:tcPr>
            <w:tcW w:w="5100" w:type="dxa"/>
            <w:vAlign w:val="bottom"/>
          </w:tcPr>
          <w:p>
            <w:pPr>
              <w:ind w:left="1260"/>
              <w:spacing w:after="0"/>
              <w:rPr>
                <w:sz w:val="20"/>
                <w:szCs w:val="20"/>
                <w:color w:val="auto"/>
              </w:rPr>
            </w:pPr>
            <w:r>
              <w:rPr>
                <w:rFonts w:ascii="Arial" w:cs="Arial" w:eastAsia="Arial" w:hAnsi="Arial"/>
                <w:sz w:val="16"/>
                <w:szCs w:val="16"/>
                <w:b w:val="1"/>
                <w:bCs w:val="1"/>
                <w:color w:val="auto"/>
              </w:rPr>
              <w:t>Role in and Name of Affiliated Entity</w:t>
            </w:r>
          </w:p>
        </w:tc>
      </w:tr>
      <w:tr>
        <w:trPr>
          <w:trHeight w:val="275"/>
        </w:trPr>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 Eric R. Ball</w:t>
            </w:r>
          </w:p>
        </w:tc>
        <w:tc>
          <w:tcPr>
            <w:tcW w:w="100" w:type="dxa"/>
            <w:vAlign w:val="bottom"/>
          </w:tcPr>
          <w:p>
            <w:pPr>
              <w:spacing w:after="0"/>
              <w:rPr>
                <w:sz w:val="23"/>
                <w:szCs w:val="23"/>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General Partner of Impact Venture Capital</w:t>
            </w:r>
            <w:r>
              <w:rPr>
                <w:rFonts w:ascii="Arial" w:cs="Arial" w:eastAsia="Arial" w:hAnsi="Arial"/>
                <w:sz w:val="20"/>
                <w:szCs w:val="20"/>
                <w:b w:val="1"/>
                <w:bCs w:val="1"/>
                <w:color w:val="auto"/>
                <w:vertAlign w:val="superscript"/>
              </w:rPr>
              <w:t>(2)</w:t>
            </w:r>
          </w:p>
        </w:tc>
      </w:tr>
      <w:tr>
        <w:trPr>
          <w:trHeight w:val="236"/>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Director and Audit Chair of Glu Mobile Inc</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Stephen N. Cannon</w:t>
            </w:r>
          </w:p>
        </w:tc>
        <w:tc>
          <w:tcPr>
            <w:tcW w:w="5100" w:type="dxa"/>
            <w:vAlign w:val="bottom"/>
          </w:tcPr>
          <w:p>
            <w:pPr>
              <w:spacing w:after="0"/>
              <w:rPr>
                <w:sz w:val="20"/>
                <w:szCs w:val="20"/>
                <w:color w:val="auto"/>
              </w:rPr>
            </w:pPr>
            <w:r>
              <w:rPr>
                <w:rFonts w:ascii="Arial" w:cs="Arial" w:eastAsia="Arial" w:hAnsi="Arial"/>
                <w:sz w:val="18"/>
                <w:szCs w:val="18"/>
                <w:color w:val="auto"/>
                <w:w w:val="92"/>
              </w:rPr>
              <w:t>Chief Operating Officer and President of Ackrell SPAC Partners I Co.</w:t>
            </w:r>
          </w:p>
        </w:tc>
      </w:tr>
      <w:tr>
        <w:trPr>
          <w:trHeight w:val="284"/>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of Everest Partners Limited</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Daniel L. Sheehan</w:t>
            </w:r>
          </w:p>
        </w:tc>
        <w:tc>
          <w:tcPr>
            <w:tcW w:w="5100" w:type="dxa"/>
            <w:vAlign w:val="bottom"/>
          </w:tcPr>
          <w:p>
            <w:pPr>
              <w:spacing w:after="0"/>
              <w:rPr>
                <w:sz w:val="20"/>
                <w:szCs w:val="20"/>
                <w:color w:val="auto"/>
              </w:rPr>
            </w:pPr>
            <w:r>
              <w:rPr>
                <w:rFonts w:ascii="Arial" w:cs="Arial" w:eastAsia="Arial" w:hAnsi="Arial"/>
                <w:sz w:val="18"/>
                <w:szCs w:val="18"/>
                <w:color w:val="auto"/>
              </w:rPr>
              <w:t>Managing Partner of Silicon Valley Wealth Law</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Long Long</w:t>
            </w:r>
          </w:p>
        </w:tc>
        <w:tc>
          <w:tcPr>
            <w:tcW w:w="5100" w:type="dxa"/>
            <w:vAlign w:val="bottom"/>
          </w:tcPr>
          <w:p>
            <w:pPr>
              <w:spacing w:after="0"/>
              <w:rPr>
                <w:sz w:val="20"/>
                <w:szCs w:val="20"/>
                <w:color w:val="auto"/>
              </w:rPr>
            </w:pPr>
            <w:r>
              <w:rPr>
                <w:rFonts w:ascii="Arial" w:cs="Arial" w:eastAsia="Arial" w:hAnsi="Arial"/>
                <w:sz w:val="18"/>
                <w:szCs w:val="18"/>
                <w:color w:val="auto"/>
                <w:w w:val="93"/>
              </w:rPr>
              <w:t>Chief Financial Officer and President of Ackrell SPAC Partners I Co.</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Luc Julia</w:t>
            </w:r>
          </w:p>
        </w:tc>
        <w:tc>
          <w:tcPr>
            <w:tcW w:w="5100" w:type="dxa"/>
            <w:vAlign w:val="bottom"/>
          </w:tcPr>
          <w:p>
            <w:pPr>
              <w:spacing w:after="0"/>
              <w:rPr>
                <w:sz w:val="20"/>
                <w:szCs w:val="20"/>
                <w:color w:val="auto"/>
              </w:rPr>
            </w:pPr>
            <w:r>
              <w:rPr>
                <w:rFonts w:ascii="Arial" w:cs="Arial" w:eastAsia="Arial" w:hAnsi="Arial"/>
                <w:sz w:val="18"/>
                <w:szCs w:val="18"/>
                <w:color w:val="auto"/>
                <w:w w:val="90"/>
              </w:rPr>
              <w:t>CTO and Senior Vice President of Innovation for Samsung Electronics</w:t>
            </w:r>
          </w:p>
        </w:tc>
      </w:tr>
      <w:tr>
        <w:trPr>
          <w:trHeight w:val="291"/>
        </w:trPr>
        <w:tc>
          <w:tcPr>
            <w:tcW w:w="290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4"/>
                <w:szCs w:val="24"/>
                <w:color w:val="auto"/>
              </w:rPr>
            </w:pPr>
          </w:p>
        </w:tc>
        <w:tc>
          <w:tcPr>
            <w:tcW w:w="5100" w:type="dxa"/>
            <w:vAlign w:val="bottom"/>
          </w:tcPr>
          <w:p>
            <w:pPr>
              <w:spacing w:after="0"/>
              <w:rPr>
                <w:sz w:val="24"/>
                <w:szCs w:val="24"/>
                <w:color w:val="auto"/>
              </w:rPr>
            </w:pPr>
          </w:p>
        </w:tc>
      </w:tr>
    </w:tbl>
    <w:p>
      <w:pPr>
        <w:spacing w:after="0" w:line="91" w:lineRule="exact"/>
        <w:rPr>
          <w:sz w:val="20"/>
          <w:szCs w:val="20"/>
          <w:color w:val="auto"/>
        </w:rPr>
      </w:pPr>
    </w:p>
    <w:p>
      <w:pPr>
        <w:jc w:val="both"/>
        <w:ind w:left="880" w:right="459" w:hanging="426"/>
        <w:spacing w:after="0" w:line="265" w:lineRule="auto"/>
        <w:tabs>
          <w:tab w:leader="none" w:pos="10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of the entities listed in this table may have competitive interests with our company with respect to the performance by each individual listed in this table of his or her obligations. Each individual listed, has a prior fiduciary duty with respect to each of the listed entities, including possibly the presentation by each such individual of business opportunities.</w:t>
      </w:r>
    </w:p>
    <w:p>
      <w:pPr>
        <w:spacing w:after="0" w:line="1" w:lineRule="exact"/>
        <w:rPr>
          <w:rFonts w:ascii="Arial" w:cs="Arial" w:eastAsia="Arial" w:hAnsi="Arial"/>
          <w:sz w:val="16"/>
          <w:szCs w:val="16"/>
          <w:color w:val="auto"/>
        </w:rPr>
      </w:pPr>
    </w:p>
    <w:p>
      <w:pPr>
        <w:jc w:val="both"/>
        <w:ind w:left="880" w:right="459" w:hanging="426"/>
        <w:spacing w:after="0" w:line="295" w:lineRule="auto"/>
        <w:tabs>
          <w:tab w:leader="none" w:pos="945" w:val="left"/>
        </w:tabs>
        <w:numPr>
          <w:ilvl w:val="0"/>
          <w:numId w:val="40"/>
        </w:numPr>
        <w:rPr>
          <w:rFonts w:ascii="Arial" w:cs="Arial" w:eastAsia="Arial" w:hAnsi="Arial"/>
          <w:sz w:val="15"/>
          <w:szCs w:val="15"/>
          <w:color w:val="auto"/>
        </w:rPr>
      </w:pPr>
      <w:r>
        <w:rPr>
          <w:rFonts w:ascii="Arial" w:cs="Arial" w:eastAsia="Arial" w:hAnsi="Arial"/>
          <w:sz w:val="15"/>
          <w:szCs w:val="15"/>
          <w:color w:val="auto"/>
        </w:rPr>
        <w:t>Dr. Ball is a co-founder and General Partner of Impact Venture Capital, a venture capital investment fund, and is a member of the boards of directors of various private companies. We do not anticipate that such companies will be of an appropriate size for our initial business combination, nor do we believe that his role as a director of these companies will conflict with his ability to represent us in our search for an initial business combination target.</w:t>
      </w:r>
    </w:p>
    <w:p>
      <w:pPr>
        <w:spacing w:after="0" w:line="10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addition, our amended and restated certificate of incorporation provides that our company renounce its interest in a potential business combination offered to any director or officer, unless such opportunity is expressly offered to our director or officer solely in his or her capacity as a director or officer of our company and such opportunity is one we are legally and contractually permitted to undertake and would otherwise be reasonable for us to pursue.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Our officers and directors may during that time become affiliated with entities that are engaged in a similar business, including another blank check company that may have acquisition objectives that are similar to ours. In particular, Messrs. Cannon, Long and Edwards currently serve as Chief Operating Officer and President, Chief Financial Officer, and Chief Executive Officer and Director, respectively, of Global SPAC Partners Co, a proposed blank check company which filed a registration statement with the SEC on October 13, 2020 for a $200 million IPO, and intends to focus on potential business combinations in geographic regions from the Middle East North Africa through SouthEast Asia.</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should also be aware of the following additional potential conflicts of interest:</w:t>
      </w:r>
    </w:p>
    <w:p>
      <w:pPr>
        <w:spacing w:after="0" w:line="158" w:lineRule="exact"/>
        <w:rPr>
          <w:sz w:val="20"/>
          <w:szCs w:val="20"/>
          <w:color w:val="auto"/>
        </w:rPr>
      </w:pPr>
    </w:p>
    <w:p>
      <w:pPr>
        <w:jc w:val="both"/>
        <w:ind w:left="1320" w:right="479" w:hanging="434"/>
        <w:spacing w:after="0" w:line="263" w:lineRule="auto"/>
        <w:tabs>
          <w:tab w:leader="none" w:pos="15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02" w:lineRule="exact"/>
        <w:rPr>
          <w:rFonts w:ascii="Arial" w:cs="Arial" w:eastAsia="Arial" w:hAnsi="Arial"/>
          <w:sz w:val="18"/>
          <w:szCs w:val="18"/>
          <w:color w:val="auto"/>
        </w:rPr>
      </w:pPr>
    </w:p>
    <w:p>
      <w:pPr>
        <w:jc w:val="both"/>
        <w:ind w:left="1320" w:right="479" w:hanging="434"/>
        <w:spacing w:after="0" w:line="301" w:lineRule="auto"/>
        <w:tabs>
          <w:tab w:leader="none" w:pos="1324"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sponsor will not receive reimbursement or repayment for any out-of-pocket expenses incurred by them, or loans made to us, to the extent that such expenses exceed the amount of available proceeds not deposited in the trust account or interest earned on the trust account funds that are available to us.</w:t>
      </w:r>
    </w:p>
    <w:p>
      <w:pPr>
        <w:spacing w:after="0" w:line="89" w:lineRule="exact"/>
        <w:rPr>
          <w:rFonts w:ascii="Arial" w:cs="Arial" w:eastAsia="Arial" w:hAnsi="Arial"/>
          <w:sz w:val="16"/>
          <w:szCs w:val="16"/>
          <w:color w:val="auto"/>
        </w:rPr>
      </w:pPr>
    </w:p>
    <w:p>
      <w:pPr>
        <w:jc w:val="both"/>
        <w:ind w:left="1320" w:right="459" w:hanging="434"/>
        <w:spacing w:after="0" w:line="270" w:lineRule="auto"/>
        <w:tabs>
          <w:tab w:leader="none" w:pos="1311"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founder shares beneficially owned by our initial stockholders will be released from escrow only if a business combination is successfully completed, and the private units purchased by it, and any warrants which our officers or directors may purchase in the aftermarket will expire worthless if a business combination is not consummated. Additionally, our officers and directors and affiliates will not receive liquidation distributions from the trust account with respect to any of the founder shares or private subunits or shares. Furthermore, our sponsor has agreed that the private units will not be sold or transferred by it until after we have completed a business combination. For the foregoing reasons, our board may have a conflict of interest in determining whether a particular target business is appropriate to effect a business combination with.</w:t>
      </w:r>
    </w:p>
    <w:p>
      <w:pPr>
        <w:spacing w:after="0" w:line="113"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officers, directors, sponsor or initial stockholders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9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and in the private units (assuming none of the individuals listed purchase units in this offering), by:</w:t>
      </w:r>
    </w:p>
    <w:p>
      <w:pPr>
        <w:spacing w:after="0" w:line="119" w:lineRule="exact"/>
        <w:rPr>
          <w:sz w:val="20"/>
          <w:szCs w:val="20"/>
          <w:color w:val="auto"/>
        </w:rPr>
      </w:pPr>
    </w:p>
    <w:p>
      <w:pPr>
        <w:ind w:left="1320" w:right="479" w:hanging="434"/>
        <w:spacing w:after="0" w:line="277" w:lineRule="auto"/>
        <w:tabs>
          <w:tab w:leader="none" w:pos="13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15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 offered by this prospectus or the private warrants as these warrants are not exercisable within 60 days of the date of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4"/>
          </w:tcPr>
          <w:p>
            <w:pPr>
              <w:ind w:left="600"/>
              <w:spacing w:after="0"/>
              <w:rPr>
                <w:sz w:val="20"/>
                <w:szCs w:val="20"/>
                <w:color w:val="auto"/>
              </w:rPr>
            </w:pPr>
            <w:r>
              <w:rPr>
                <w:rFonts w:ascii="Arial" w:cs="Arial" w:eastAsia="Arial" w:hAnsi="Arial"/>
                <w:sz w:val="16"/>
                <w:szCs w:val="16"/>
                <w:b w:val="1"/>
                <w:bCs w:val="1"/>
                <w:color w:val="auto"/>
              </w:rPr>
              <w:t>Prior to Offering</w:t>
            </w:r>
          </w:p>
        </w:tc>
        <w:tc>
          <w:tcPr>
            <w:tcW w:w="252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After Offering</w:t>
            </w:r>
            <w:r>
              <w:rPr>
                <w:rFonts w:ascii="Arial" w:cs="Arial" w:eastAsia="Arial" w:hAnsi="Arial"/>
                <w:sz w:val="18"/>
                <w:szCs w:val="18"/>
                <w:b w:val="1"/>
                <w:bCs w:val="1"/>
                <w:color w:val="auto"/>
                <w:vertAlign w:val="superscript"/>
              </w:rPr>
              <w:t>(2)</w:t>
            </w:r>
          </w:p>
        </w:tc>
      </w:tr>
      <w:tr>
        <w:trPr>
          <w:trHeight w:val="189"/>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Approximate</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Amount and</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Percentage of</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 and</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Nature of</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Nature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Beneficial</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 of</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Beneficial</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53"/>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w w:val="98"/>
              </w:rPr>
              <w:t>Name and Address of Beneficial Owner</w:t>
            </w:r>
            <w:r>
              <w:rPr>
                <w:rFonts w:ascii="Arial" w:cs="Arial" w:eastAsia="Arial" w:hAnsi="Arial"/>
                <w:sz w:val="18"/>
                <w:szCs w:val="18"/>
                <w:b w:val="1"/>
                <w:bCs w:val="1"/>
                <w:color w:val="auto"/>
                <w:w w:val="98"/>
                <w:vertAlign w:val="superscript"/>
              </w:rPr>
              <w:t>(1)</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Ownership</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Common Stock</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Ownership</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w:t>
            </w:r>
          </w:p>
        </w:tc>
      </w:tr>
      <w:tr>
        <w:trPr>
          <w:trHeight w:val="268"/>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Eric R. Ball</w:t>
            </w:r>
            <w:r>
              <w:rPr>
                <w:rFonts w:ascii="Arial" w:cs="Arial" w:eastAsia="Arial" w:hAnsi="Arial"/>
                <w:sz w:val="20"/>
                <w:szCs w:val="20"/>
                <w:color w:val="auto"/>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Stephen N. Cannon</w:t>
            </w:r>
            <w:r>
              <w:rPr>
                <w:rFonts w:ascii="Arial" w:cs="Arial" w:eastAsia="Arial" w:hAnsi="Arial"/>
                <w:sz w:val="20"/>
                <w:szCs w:val="20"/>
                <w:color w:val="auto"/>
                <w:vertAlign w:val="superscript"/>
              </w:rPr>
              <w:t>(4)</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3,375,000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3,255,000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L. Sheehan</w:t>
            </w:r>
            <w:r>
              <w:rPr>
                <w:rFonts w:ascii="Arial" w:cs="Arial" w:eastAsia="Arial" w:hAnsi="Arial"/>
                <w:sz w:val="20"/>
                <w:szCs w:val="20"/>
                <w:color w:val="auto"/>
                <w:vertAlign w:val="superscript"/>
              </w:rPr>
              <w:t>(3)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Long Long</w:t>
            </w:r>
            <w:r>
              <w:rPr>
                <w:rFonts w:ascii="Arial" w:cs="Arial" w:eastAsia="Arial" w:hAnsi="Arial"/>
                <w:sz w:val="20"/>
                <w:szCs w:val="20"/>
                <w:color w:val="auto"/>
                <w:vertAlign w:val="superscript"/>
              </w:rPr>
              <w:t>(3)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Bryant B. Edwards</w:t>
            </w:r>
            <w:r>
              <w:rPr>
                <w:rFonts w:ascii="Arial" w:cs="Arial" w:eastAsia="Arial" w:hAnsi="Arial"/>
                <w:sz w:val="20"/>
                <w:szCs w:val="20"/>
                <w:color w:val="auto"/>
                <w:vertAlign w:val="superscript"/>
              </w:rPr>
              <w:t>(3)</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4"/>
        </w:trPr>
        <w:tc>
          <w:tcPr>
            <w:tcW w:w="3100" w:type="dxa"/>
            <w:vAlign w:val="bottom"/>
            <w:gridSpan w:val="2"/>
          </w:tcPr>
          <w:p>
            <w:pPr>
              <w:spacing w:after="0"/>
              <w:rPr>
                <w:sz w:val="20"/>
                <w:szCs w:val="20"/>
                <w:color w:val="auto"/>
              </w:rPr>
            </w:pPr>
            <w:r>
              <w:rPr>
                <w:rFonts w:ascii="Arial" w:cs="Arial" w:eastAsia="Arial" w:hAnsi="Arial"/>
                <w:sz w:val="18"/>
                <w:szCs w:val="18"/>
                <w:color w:val="auto"/>
              </w:rPr>
              <w:t>Luc Julia</w:t>
            </w:r>
            <w:r>
              <w:rPr>
                <w:rFonts w:ascii="Arial" w:cs="Arial" w:eastAsia="Arial" w:hAnsi="Arial"/>
                <w:sz w:val="20"/>
                <w:szCs w:val="20"/>
                <w:color w:val="auto"/>
                <w:vertAlign w:val="superscript"/>
              </w:rPr>
              <w:t>(3)</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4"/>
                <w:szCs w:val="24"/>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4"/>
                <w:szCs w:val="24"/>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P. Pai</w:t>
            </w:r>
            <w:r>
              <w:rPr>
                <w:rFonts w:ascii="Arial" w:cs="Arial" w:eastAsia="Arial" w:hAnsi="Arial"/>
                <w:sz w:val="20"/>
                <w:szCs w:val="20"/>
                <w:color w:val="auto"/>
                <w:vertAlign w:val="superscript"/>
              </w:rPr>
              <w:t>(3)</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4"/>
        </w:trPr>
        <w:tc>
          <w:tcPr>
            <w:tcW w:w="3100" w:type="dxa"/>
            <w:vAlign w:val="bottom"/>
            <w:gridSpan w:val="2"/>
          </w:tcPr>
          <w:p>
            <w:pPr>
              <w:spacing w:after="0"/>
              <w:rPr>
                <w:sz w:val="20"/>
                <w:szCs w:val="20"/>
                <w:color w:val="auto"/>
              </w:rPr>
            </w:pPr>
            <w:r>
              <w:rPr>
                <w:rFonts w:ascii="Arial" w:cs="Arial" w:eastAsia="Arial" w:hAnsi="Arial"/>
                <w:sz w:val="18"/>
                <w:szCs w:val="18"/>
                <w:color w:val="auto"/>
                <w:w w:val="93"/>
              </w:rPr>
              <w:t>Archimedes Tech SPAC Sponsors LLC</w:t>
            </w:r>
            <w:r>
              <w:rPr>
                <w:rFonts w:ascii="Arial" w:cs="Arial" w:eastAsia="Arial" w:hAnsi="Arial"/>
                <w:sz w:val="20"/>
                <w:szCs w:val="20"/>
                <w:color w:val="auto"/>
                <w:w w:val="93"/>
                <w:vertAlign w:val="superscript"/>
              </w:rPr>
              <w:t>(4)</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3,375,000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3,255,000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6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EarlyBirdCapital, Inc.</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420,000</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480,000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8"/>
              </w:rPr>
              <w:t>All directors and executive officers as a</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8"/>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group (seven individuals)</w:t>
            </w:r>
          </w:p>
        </w:tc>
        <w:tc>
          <w:tcPr>
            <w:tcW w:w="1140" w:type="dxa"/>
            <w:vAlign w:val="bottom"/>
          </w:tcPr>
          <w:p>
            <w:pPr>
              <w:jc w:val="right"/>
              <w:spacing w:after="0"/>
              <w:rPr>
                <w:sz w:val="20"/>
                <w:szCs w:val="20"/>
                <w:color w:val="auto"/>
              </w:rPr>
            </w:pPr>
            <w:r>
              <w:rPr>
                <w:rFonts w:ascii="Arial" w:cs="Arial" w:eastAsia="Arial" w:hAnsi="Arial"/>
                <w:sz w:val="18"/>
                <w:szCs w:val="18"/>
                <w:color w:val="auto"/>
              </w:rPr>
              <w:t>3,450,000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3,330,000</w:t>
            </w:r>
            <w:r>
              <w:rPr>
                <w:rFonts w:ascii="Arial" w:cs="Arial" w:eastAsia="Arial" w:hAnsi="Arial"/>
                <w:sz w:val="20"/>
                <w:szCs w:val="20"/>
                <w:color w:val="auto"/>
                <w:vertAlign w:val="superscript"/>
              </w:rPr>
              <w:t>(4)</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jc w:val="both"/>
        <w:ind w:left="880" w:right="459" w:hanging="426"/>
        <w:spacing w:after="0" w:line="264" w:lineRule="auto"/>
        <w:tabs>
          <w:tab w:leader="none" w:pos="1069"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2093 Philadelphia Pike #1968, Claymont, DE 19703. The business address of EarlyBirdCapital, Inc. is 366 Madison Avenue, New York, New York 10017.</w:t>
      </w:r>
    </w:p>
    <w:p>
      <w:pPr>
        <w:ind w:left="880" w:right="479" w:hanging="426"/>
        <w:spacing w:after="0" w:line="264" w:lineRule="auto"/>
        <w:tabs>
          <w:tab w:leader="none" w:pos="91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Assumes no exercise of the over-allotment option and, therefore, the forfeiture of an aggregate of 450,000 shares of common stock.</w:t>
      </w:r>
    </w:p>
    <w:p>
      <w:pPr>
        <w:jc w:val="both"/>
        <w:ind w:left="880" w:right="479" w:hanging="426"/>
        <w:spacing w:after="0" w:line="264" w:lineRule="auto"/>
        <w:tabs>
          <w:tab w:leader="none" w:pos="9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Does not include any securities held by Archimedes Tech SPAC Sponsors LLC, of which each person is a direct or indirect member. Each such person disclaims beneficial ownership of the reported shares other than to the extent of his ultimate pecuniary interest therein.</w:t>
      </w:r>
    </w:p>
    <w:p>
      <w:pPr>
        <w:jc w:val="both"/>
        <w:ind w:left="880" w:right="479" w:hanging="426"/>
        <w:spacing w:after="0" w:line="276" w:lineRule="auto"/>
        <w:tabs>
          <w:tab w:leader="none" w:pos="908"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securities held by Archimedes Tech SPAC Sponsors LLC, our sponsor, of which Stephen N. Cannon is sole managing member. Mr. Cannon disclaims beneficial ownership of the reported shares other than to the extent of his ultimate pecuniary interest therein.</w:t>
      </w:r>
    </w:p>
    <w:p>
      <w:pPr>
        <w:spacing w:after="0" w:line="11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Immediately after this offering, our initial stockholders will beneficially own approximately 21.1% of the then issued and outstanding shares of common stock (assuming they do not purchase any units in this offering and assuming the over-allotment option is not exercised). None of our sponsor, officers, directors and initial stockholders has indicated to us that it or they intend to purchase our securities in the offering. Because of the ownership block held by our sponsor, officers, directors and initial stockholders,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0" w:name="page81"/>
    <w:bookmarkEnd w:id="8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the underwriters do not exercise all or a portion of the over-allotment option, an aggregate of 450,000 founder shares will be forfeited. Only a number of shares necessary to maintain the 20% ownership interest in our shares of common stock after giving effect to the offering and the exercise, if any, of the underwriters’ over-allotment option (not including the private units and representative shares and assuming they do not purchase any units in this offering) will be necessary.</w:t>
      </w:r>
    </w:p>
    <w:p>
      <w:pPr>
        <w:spacing w:after="0" w:line="12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All of the founder shares outstanding prior to the date of this prospectus will be placed in escrow with Continental Stock Transfer &amp; Trust Company, as escrow agent, until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consummates a liquidation, merger, stock exchange or other similar transaction which results in all of the shareholders having the right to exchange their shares of common stock for cash, securities or other property. Up to 450,000 of the founder shares may also be released from escrow earlier than this date for cancellation if the over-allotment option is not exercised in full as described above.</w:t>
      </w:r>
    </w:p>
    <w:p>
      <w:pPr>
        <w:spacing w:after="0" w:line="111"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for transfers, assignments or sales (i) among our initial stockholders or to our initial stockholders’ members, officers, directors, consultants or their affiliates, (ii) to a holder’s stockholders or members upon its liquidation,</w:t>
      </w:r>
    </w:p>
    <w:p>
      <w:pPr>
        <w:spacing w:after="0" w:line="2" w:lineRule="exact"/>
        <w:rPr>
          <w:sz w:val="20"/>
          <w:szCs w:val="20"/>
          <w:color w:val="auto"/>
        </w:rPr>
      </w:pPr>
    </w:p>
    <w:p>
      <w:pPr>
        <w:jc w:val="both"/>
        <w:ind w:left="460" w:right="459" w:hanging="6"/>
        <w:spacing w:after="0" w:line="285" w:lineRule="auto"/>
        <w:tabs>
          <w:tab w:leader="none" w:pos="7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by bona fide gift to a member of the holder’s immediate family or to a trust, the beneficiary of which is the holder or a member of the holder’s immediate family, for estate planning purposes, (iv) by virtue of the laws of descent and distribution upon death, (v) pursuant to a qualified domestic relations order, (vi) to us for no value for cancellation in connection with the consummation of our initial business combination, or (vii) in connection with the consummation of a business combination at prices no greater than the price at which the shares were originally purchased, in each case (except for clause (vi) or with our prior consent) where the transferee agrees to the terms of the escrow agreement and to be bound by these transfer restrictions,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there will be no liquidation distribution with respect to the founder shares.</w:t>
      </w:r>
    </w:p>
    <w:p>
      <w:pPr>
        <w:spacing w:after="0" w:line="93"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6"/>
          <w:szCs w:val="16"/>
          <w:color w:val="auto"/>
        </w:rPr>
        <w:t>Our sponsor and EarlyBirdCapital have committed that they and/or their designees will purchase from us an aggregate of 390,000 private units at $10.00 per unit, for a total purchase price of $3,900,000 in a private placement that will occur simultaneously with the consummation of this offering. Each private unit will consist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36,000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private subunits, private shares and private warrants) are identical to the units (and underlying securities)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w:t>
      </w:r>
    </w:p>
    <w:p>
      <w:pPr>
        <w:spacing w:after="0" w:line="11" w:lineRule="exact"/>
        <w:rPr>
          <w:sz w:val="20"/>
          <w:szCs w:val="20"/>
          <w:color w:val="auto"/>
        </w:rPr>
      </w:pPr>
    </w:p>
    <w:p>
      <w:pPr>
        <w:jc w:val="both"/>
        <w:ind w:left="460" w:right="459" w:hanging="6"/>
        <w:spacing w:after="0" w:line="271" w:lineRule="auto"/>
        <w:tabs>
          <w:tab w:leader="none" w:pos="772"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not to convert any private subunits in connection with a stockholder vote to approve a proposed initial business combination or sell any private subunits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0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executive officers and our sponsor (and its managing member) are our “promoters,” as that term is defined under the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On January 4, 2021, we issued 2,875,000 shares of common stock to Archimedes Tech SPAC Sponsors LLC for $25,000, at a purchase price of approximately $0.009 per share, in connection with our formation, that include up to 375,000 shares subject to forfeiture to the extent that the underwriters’ over-allotment is not exercised in full or in part. On January 13, 2021, Archimedes Tech SPAC Sponsors LLC sold 25,000 founder shares to each of Mr. Edwards, Mr. Julia and Mr. Pai, for an aggregate of 75,000 founder shares, at the same price of approximately $0.009 per share.</w:t>
      </w:r>
    </w:p>
    <w:p>
      <w:pPr>
        <w:spacing w:after="0" w:line="1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 January 13, 2021, we issued to EarlyBirdCapital and its designees an aggregate of 350,000 representative shares at $0.0001 per share.</w:t>
      </w:r>
    </w:p>
    <w:p>
      <w:pPr>
        <w:spacing w:after="0" w:line="10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March 10, 2021, we effected a stock dividend of 0.2 shares of common stock for every share of common stock outstanding, resulting in an aggregate of 3,450,000 founder shares outstanding (including up to 450,000 shares subject to forfeiture to the extent that the underwriters’ over-allotment is not exercised in full or in part) and an aggregate of 420,000 representative shares outstanding.</w:t>
      </w:r>
    </w:p>
    <w:p>
      <w:pPr>
        <w:spacing w:after="0" w:line="106"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If the underwriters do not exercise all or a portion of their over-allotment option, our initial stockholders will forfeit up to an aggregate of 450,000 shares of common stock in proportion to the portion of the over-allotment option that was not exercised so that the initial stockholders will own 20% (not including the private placement shares and the representative shares and assuming the initial stockholders do not purchase any units in this offering) of our issued and outstanding shares after this offering.</w:t>
      </w:r>
    </w:p>
    <w:p>
      <w:pPr>
        <w:spacing w:after="0" w:line="10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sponsor and EarlyBirdCapital have committed that they and/or their designees will purchase from us an aggregate of 390,000 private units at $10.00 per unit, for a total purchase price of $3,900,000 in a private placement that will occur simultaneously with the consummation of this offering. Each private unit will consist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36,000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purchase price for the sponsor’s private units will be delivered to an escrow account at least 24 hours prior to the closing of this offering and will be deposited into the trust account simultaneously with the consummation of the offering. The private units (and underlying private subunits, private shares and private warrants) are identical to the units (and underlying subunits, shares and warrants)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 (B) not to convert any private subunits in connection with a stockholder vote to approve a proposed initial business combination or sell any private subunits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32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holders of our founder shares issued and outstanding on the date of this prospectus, as well as the holders of the private units (and underlying securities) and any units (and underlying securities) our sponsor, initial stockholders,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units and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Notwithstanding the foregoing, in compliance with FINRA Rule 5110(f)(2)(G), the EarlyBirdCapital registration rights are limited to demand and “piggy back” rights for periods of five and seven years, respectively, from the effective date of this prospectus and EarlyBirdCapital may only exercise its demand rights on one occasion.</w:t>
      </w:r>
    </w:p>
    <w:p>
      <w:pPr>
        <w:spacing w:after="0" w:line="10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On January 4, 2021, we executed a promissory note with the sponsor in which the sponsor has agreed to loan us an aggregate of up to $300,000 to pay certain pre-offering expenses. The loan is non-interest bearing, unsecured and due on the earlier of March 31, 2021, the consummation of this offering or the abandonment of this offering. On February 1, 2021, the sponsor funded to us $100,000 pursuant to the promissory note. On February 10, 2021, the sponsor funded to us an additional $25,000 pursuant to the promissory note, for an aggregate amount of $125,000. We intend to repay the loan from the proceeds of this offering not being placed in trust upon consummation of this offering.</w:t>
      </w:r>
    </w:p>
    <w:p>
      <w:pPr>
        <w:spacing w:after="0" w:line="11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SPAC Partners LLC, an affiliate of our Chief Executive Officer, Stephen N. Cannon, has agreed that, commencing on the effective date of this prospectus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such entity $10,000 per month for these services</w:t>
      </w:r>
      <w:r>
        <w:rPr>
          <w:rFonts w:ascii="Arial" w:cs="Arial" w:eastAsia="Arial" w:hAnsi="Arial"/>
          <w:sz w:val="18"/>
          <w:szCs w:val="18"/>
          <w:b w:val="1"/>
          <w:bCs w:val="1"/>
          <w:color w:val="auto"/>
        </w:rPr>
        <w:t>.</w:t>
      </w:r>
      <w:r>
        <w:rPr>
          <w:rFonts w:ascii="Arial" w:cs="Arial" w:eastAsia="Arial" w:hAnsi="Arial"/>
          <w:sz w:val="18"/>
          <w:szCs w:val="18"/>
          <w:color w:val="auto"/>
        </w:rPr>
        <w:t xml:space="preserve"> We believe, based on rents and fees for similar services in other comparable areas, that the fee charged by such entity is at least as favorable as we could have obtained from an unaffiliated person.</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may also pay consulting, success or finder fees to our sponsor, officers, directors, initial stockholders or their affiliates in connection with the consummation of our initial business combination. We may pay such fees in the event such parties bring specific target company, industry or market expertise, as well as insights or relationships that we believe are necessary in order to locate, assess, negotiate and consummate an initial business combination. The amount of any fee we pay to such parties will be based upon the prevailing market for similar services for such transactions at such time, and will be subject to the review of our audit committee pursuant to the audit committee’s policies and procedures relating to transactions that may present conflicts of interest.</w:t>
      </w:r>
    </w:p>
    <w:p>
      <w:pPr>
        <w:spacing w:after="0" w:line="12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will also pay EarlyBirdCapital the 2.0% underwriting discount and 3.5% business combination marketing fee as described in the section titled “</w:t>
      </w:r>
      <w:r>
        <w:rPr>
          <w:rFonts w:ascii="Arial" w:cs="Arial" w:eastAsia="Arial" w:hAnsi="Arial"/>
          <w:sz w:val="18"/>
          <w:szCs w:val="18"/>
          <w:i w:val="1"/>
          <w:iCs w:val="1"/>
          <w:color w:val="auto"/>
        </w:rPr>
        <w:t>Underwriting</w:t>
      </w:r>
      <w:r>
        <w:rPr>
          <w:rFonts w:ascii="Arial" w:cs="Arial" w:eastAsia="Arial" w:hAnsi="Arial"/>
          <w:sz w:val="18"/>
          <w:szCs w:val="18"/>
          <w:color w:val="auto"/>
        </w:rPr>
        <w:t>.”</w:t>
      </w:r>
    </w:p>
    <w:p>
      <w:pPr>
        <w:spacing w:after="0" w:line="10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officers and directors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100"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ectPr>
          <w:pgSz w:w="11900" w:h="16838" w:orient="portrait"/>
          <w:cols w:equalWidth="0" w:num="1">
            <w:col w:w="9019"/>
          </w:cols>
          <w:pgMar w:left="1440" w:top="274"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4" w:name="page85"/>
    <w:bookmarkEnd w:id="8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1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00"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79"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As of the date of this prospectus, we will be authorized to issue 100,000,000 shares of common stock, par value $0.0001, and 1,000,000 shares of preferred stock, par value $0.0001. Prior to this offering, 3,870,000 shares of common stock were outstanding. No shares of preferred stock are currently outstanding. The following description summarizes the material terms of our securities. Because it is only a summary, it may not contain all the information that is important to you. For a complete description you should refer to our amended and restated certificate of incorporation, bylaws and the form of warrant agreement, which are filed as exhibits to the registration statement of which this prospectus is a part, and to the applicable provisions of Delaware law.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 and Subunits</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Unlike other blank check company offerings, we have structured our offering to be an offering of units that consist of one subunit (consisting of one share of common stock and one-quarter of a warrant) and one-quarter of a warrant. We have structured our offering in this fashion for two primary reasons:</w:t>
      </w:r>
    </w:p>
    <w:p>
      <w:pPr>
        <w:spacing w:after="0" w:line="116" w:lineRule="exact"/>
        <w:rPr>
          <w:sz w:val="20"/>
          <w:szCs w:val="20"/>
          <w:color w:val="auto"/>
        </w:rPr>
      </w:pPr>
    </w:p>
    <w:p>
      <w:pPr>
        <w:jc w:val="both"/>
        <w:ind w:left="1320" w:right="459" w:hanging="434"/>
        <w:spacing w:after="0" w:line="255" w:lineRule="auto"/>
        <w:tabs>
          <w:tab w:leader="none" w:pos="15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11" w:lineRule="exact"/>
        <w:rPr>
          <w:rFonts w:ascii="Arial" w:cs="Arial" w:eastAsia="Arial" w:hAnsi="Arial"/>
          <w:sz w:val="18"/>
          <w:szCs w:val="18"/>
          <w:color w:val="auto"/>
        </w:rPr>
      </w:pPr>
    </w:p>
    <w:p>
      <w:pPr>
        <w:jc w:val="both"/>
        <w:ind w:left="1320" w:right="459" w:hanging="434"/>
        <w:spacing w:after="0" w:line="275" w:lineRule="auto"/>
        <w:tabs>
          <w:tab w:leader="none" w:pos="141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Minimize Dilution. This structure will reduce the total number of warrants outstanding, as compared to a structure in which one unit consists of one share and one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10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0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Each unit consists of one subunit and one-quarter of a warrant. Each subunit consists of one share of our common stock and one-quarter of a warrant. Each whole warrant entitles the holder to purchase one share of common stock. Pursuant to the warrant agreement, a warrantholder may exercise its warrants only for a whole number of shares of common stock. This means that only a whole warrant may be exercised at any given time by a warrantholder. No fractional warrants will be issued upon separation of the units or subunits and only whole warrants will trade. Accordingly, unless you purchase a multiple of four units or four subunits, the number of tradeable warrants issuable to you upon separation of the units or subunits will be rounded down to the nearest whole number of warrants.</w:t>
      </w:r>
    </w:p>
    <w:p>
      <w:pPr>
        <w:spacing w:after="0" w:line="97"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The subunits and warrants comprising the units, but not the shares of common stock and warrants included in the subunits, will begin to trade separately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after the date of this prospectus unless EarlyBirdCapital informs us of its decision to allow earlier separate trading, provided that in no event may the subunits and warrants be traded separately until we have filed with the SEC a Current Report on Form 8-K which includes an audited balance sheet reflecting our receipt of the gross proceeds of this offering. Once the subunits and warrants commence separate trading, holders will have the option to continue to hold units or separate their units into the component pieces.</w:t>
      </w:r>
    </w:p>
    <w:p>
      <w:pPr>
        <w:spacing w:after="0" w:line="127"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We will file a Current Report on Form 8-K which includes an audited balance sheet promptly upon the consummation of this offering. The audited balance sheet will reflect proceeds we receive from the exercise of the over-allotment option, if the over-allotment option is exercised on the date of this prospectus. If the over-allotment option is exercised after the date of this prospectus, we will file an amendment to the Form 8-K to provide updated financial information to reflect the exercise of the over-allotment option. We will also include in this Form 8-K, an amendment thereto, or in a subsequent Form 8-K information indicating if EarlyBirdCapital has allowed separate trading of the subunits and warrants prior to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after the date of this prospectus.</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6" w:name="page87"/>
    <w:bookmarkEnd w:id="8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any fractions of a warrant they hold. Accordingly, in order to avoid such a situation, investors that do not intend to transfer the component pieces of the units prior to the consummation of a business combination should continue to hold their securities as a combined unit in multiples of four so as to ensure that no portion of the warrant is lost.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stockholders of record are entitled to one vote for each share held on all matters to be voted on by stockholders. In connection with any vote held to approve our initial business combination, our sponsor, as well as all of our officers and directors, have agreed to vote their respective shares of common stock owned by them immediately prior to this offering and any shares purchased in this offering or following this offering in the open market, including any shares included in subunits acquired in this offering or in the aftermarket, in favor of the proposed business combination.</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solely if a vote is held to approve a business combination, a majority of the outstanding shares of common stock voted are voted in favor of the business combination.</w:t>
      </w:r>
    </w:p>
    <w:p>
      <w:pPr>
        <w:spacing w:after="0" w:line="10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Pursuant to our amended and restated certificate of incorporation, if we do not consummate an initial business combination within 18 months from the closing of this offering, our corporate existence will cease except for the purposes of winding up our affairs and liquidating. If we are forced to liquidate prior to an initial business combination, our public stockholders are entitled to share ratably in the trust account, based on the amount then held in the trust account. Our sponsor, officers and directors have agreed to waive their rights to participate in any liquidation distribution from the trust account occurring upon our failure to consummate an initial business combination with respect to the founder’s common stock and private subunits. Our sponsor, officers and directors will therefore not participate in any liquidation distribution from the trust account with respect to such shares or subunits. They will, however, participate in any liquidation distribution from the trust account with respect to any subunits acquired in, or following, this offering.</w:t>
      </w:r>
    </w:p>
    <w:p>
      <w:pPr>
        <w:spacing w:after="0" w:line="11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subunits to us in a tender offer or have their subunits converted to cash equal to their pro rata share of the trust account in connection with the consummation of our initial business combination. Public stockholders who redeem their subunits into their share of the trust account still have the right to exercise any warrants they still hold outside of such subunit but will forfeit, without the receipt of any additional consideration, the portion of the warrant included in the subunit. Accordingly, an investor may have a disincentive to exercise redemption rights due to the loss of such portion of the warrants.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There are no shares of preferred stock outstanding. Our amended and restated certificate of incorporation as of the date of this prospectus authorize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a business combination. We may issue some or all of</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7" w:name="page88"/>
    <w:bookmarkEnd w:id="8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 preferred stock to effect a business combination.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No warrants are currently outstanding. Each whole warrant entitles the registered holder to purchase one share of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32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private warrants, as well as any warrants underlying additional units we issue to our sponsor, officers, directors or their affiliates in payment of working capital loans made to us, will be identical to the warrants underlying the units being offered by this prospectus except that such warrants will be exercisable for cash or on a cashless basis, at the holder’s option, and will not be redeemable by us, in each case so long as they are still held by our sponsor or its permitted transferees.</w:t>
      </w:r>
    </w:p>
    <w:p>
      <w:pPr>
        <w:spacing w:after="0" w:line="107"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We may call the warrants for redemption (excluding the private warrants and any warrants underlying additional units issued to our sponsor, initial stockholders, officers, directors or their affiliates in payment of working capital loans made to us), in whole and not in part, at a price of $0.01 per warrant,</w:t>
      </w:r>
    </w:p>
    <w:p>
      <w:pPr>
        <w:spacing w:after="0" w:line="98" w:lineRule="exact"/>
        <w:rPr>
          <w:sz w:val="20"/>
          <w:szCs w:val="20"/>
          <w:color w:val="auto"/>
        </w:rPr>
      </w:pPr>
    </w:p>
    <w:p>
      <w:pPr>
        <w:ind w:left="1300" w:hanging="41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44" w:lineRule="exact"/>
        <w:rPr>
          <w:rFonts w:ascii="Arial" w:cs="Arial" w:eastAsia="Arial" w:hAnsi="Arial"/>
          <w:sz w:val="18"/>
          <w:szCs w:val="18"/>
          <w:color w:val="auto"/>
        </w:rPr>
      </w:pPr>
    </w:p>
    <w:p>
      <w:pPr>
        <w:jc w:val="both"/>
        <w:ind w:left="1320" w:right="479" w:hanging="434"/>
        <w:spacing w:after="0" w:line="257" w:lineRule="auto"/>
        <w:tabs>
          <w:tab w:leader="none" w:pos="13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20"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84"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1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25"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7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addition, if (x) 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04"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4"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6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9" w:name="page90"/>
    <w:bookmarkEnd w:id="8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transfer agent for our securities and warrant agent for our warrants is Continental Stock Transfer &amp; Trust Company, 1 State Street, New York, New York 10004.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units, subunits and warrants have been approved for listing on Nasdaq under the symbols “ATSPU,” “ATSPT” and “ATSPW,” respectively. We anticipate that our units will be listed on Nasdaq on or promptly after the effective date of the registration statement. Following the date the subunits and warrants are eligible to trade separately, we anticipate that the subunits and warrants will be listed separately and as a unit on Nasdaq. The common stock will not trade separately unless and until we consummate an initial business combination. Upon consummation of our initial business combination, we anticipate the common stock will be traded on Nasdaq under the symbol “ATSP.”</w:t>
      </w:r>
    </w:p>
    <w:p>
      <w:pPr>
        <w:spacing w:after="0" w:line="191"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Staggered board of directors</w:t>
      </w:r>
    </w:p>
    <w:p>
      <w:pPr>
        <w:spacing w:after="0" w:line="158"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classified into three classes of directors of approximately equal size. As a result, in most circumstances, a person can gain control of our board only by successfully engaging in a proxy contest at two or more annual meetings.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president or by our chairman or by our secretary at the request in writing of stockholders owning a majority of our issued and outstanding capital stock entitled to vote.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44" w:lineRule="exact"/>
        <w:rPr>
          <w:sz w:val="20"/>
          <w:szCs w:val="20"/>
          <w:color w:val="auto"/>
        </w:rPr>
      </w:pPr>
    </w:p>
    <w:p>
      <w:pPr>
        <w:jc w:val="both"/>
        <w:ind w:left="460" w:right="459"/>
        <w:spacing w:after="0" w:line="280"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nor earlier than the close of business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following the day on which public announcement of the date of our annual meeting of stockholders is first made or sent by us.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58"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amended and restated certificate of incorporation will require,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4" w:lineRule="exact"/>
        <w:rPr>
          <w:sz w:val="20"/>
          <w:szCs w:val="20"/>
          <w:color w:val="auto"/>
        </w:rPr>
      </w:pPr>
    </w:p>
    <w:p>
      <w:pPr>
        <w:jc w:val="both"/>
        <w:ind w:left="460" w:right="459" w:hanging="6"/>
        <w:spacing w:after="0" w:line="252" w:lineRule="auto"/>
        <w:tabs>
          <w:tab w:leader="none" w:pos="7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which is vested in the exclusive jurisdiction of a court or forum other than the Court of Chancery or (C) 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25"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4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amended and restated certificate of incorporation provides that our directors and officers will be indemnified by us to the fullest extent authorized by Delaware law as it now exists or may in the future be amended. In addition, our amended and restated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1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1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Immediately after this offering, we will have 15,810,000 shares of common stock outstanding, or 18,096,000 shares if the over-allotment option is exercised in full. Of these shares, the 12,000,000 shares sold in this offering as part of the public subunits, or 13,800,000 shares as part of the public subunits if the over-allotment option is exercised in full, will be freely tradable as part of the public subunits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have been placed in escrow and will not be transferable until they are released except in limited circumstances described elsewhere in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11" w:lineRule="exact"/>
        <w:rPr>
          <w:sz w:val="20"/>
          <w:szCs w:val="20"/>
          <w:color w:val="auto"/>
        </w:rPr>
      </w:pPr>
    </w:p>
    <w:p>
      <w:pPr>
        <w:ind w:left="1320" w:right="459" w:hanging="434"/>
        <w:spacing w:after="0" w:line="342" w:lineRule="auto"/>
        <w:tabs>
          <w:tab w:leader="none" w:pos="1419" w:val="left"/>
        </w:tabs>
        <w:numPr>
          <w:ilvl w:val="0"/>
          <w:numId w:val="50"/>
        </w:numPr>
        <w:rPr>
          <w:rFonts w:ascii="Arial" w:cs="Arial" w:eastAsia="Arial" w:hAnsi="Arial"/>
          <w:sz w:val="16"/>
          <w:szCs w:val="16"/>
          <w:color w:val="auto"/>
        </w:rPr>
      </w:pPr>
      <w:r>
        <w:rPr>
          <w:rFonts w:ascii="Arial" w:cs="Arial" w:eastAsia="Arial" w:hAnsi="Arial"/>
          <w:sz w:val="16"/>
          <w:szCs w:val="16"/>
          <w:color w:val="auto"/>
        </w:rPr>
        <w:t>1% of the number of shares of common stock then outstanding, which will equal 158,100 shares immediately after this offering (or 180,960 if the over-allotment option is exercised in full); and</w:t>
      </w:r>
    </w:p>
    <w:p>
      <w:pPr>
        <w:spacing w:after="0" w:line="42" w:lineRule="exact"/>
        <w:rPr>
          <w:rFonts w:ascii="Arial" w:cs="Arial" w:eastAsia="Arial" w:hAnsi="Arial"/>
          <w:sz w:val="16"/>
          <w:szCs w:val="16"/>
          <w:color w:val="auto"/>
        </w:rPr>
      </w:pPr>
    </w:p>
    <w:p>
      <w:pPr>
        <w:ind w:left="1320" w:right="479" w:hanging="434"/>
        <w:spacing w:after="0" w:line="277" w:lineRule="auto"/>
        <w:tabs>
          <w:tab w:leader="none" w:pos="137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0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97" w:lineRule="exact"/>
        <w:rPr>
          <w:sz w:val="20"/>
          <w:szCs w:val="20"/>
          <w:color w:val="auto"/>
        </w:rPr>
      </w:pPr>
    </w:p>
    <w:p>
      <w:pPr>
        <w:ind w:left="1300" w:hanging="414"/>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As a result, it is likely that pursuant to Rule 144, our sponsor will be able to sell its founder shares freely without registration one year after we have completed our initial business combination assuming it is not an affiliate of ours at that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holders of the founder shares and representative shares issued and outstanding on the date of this prospectus, as well as the holders of the private units and any units our sponsor, officers, directors or their affiliates may be issued in payment of working capital loans made to us (and all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our sponsor, officers, directors or their affiliates in payment of working capital loans made to us (or underlying securities) can elect to exercise these registration rights at any time after we consummate a business combination. Notwithstanding anything to the contrary, EarlyBirdCapital may only make a demand on one occasion and only during the five-year period beginning on the effective date of the registration statement of which this prospectus forms a part. In addition, the holders have certain “piggy-back” registration rights with respect to registration statements filed subsequent to our consummation of a business combination; provided, however, that EarlyBirdCapital may participate in a “piggy-back” registration only during the seven-year period beginning on the effective date of the registration statement of which this prospectus forms a part. We will bear the expenses incurred in connection with the filing of any such registration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following are the material U.S. federal income tax considerations with respect to your ownership and disposition of our units or components thereof, which we refer to collectively as our securities, assuming you purchase the securities in this offering and will hold them as capital assets within the meaning of the Internal Revenue Code of 1986, as amended (the “Code”).</w:t>
      </w:r>
    </w:p>
    <w:p>
      <w:pPr>
        <w:spacing w:after="0" w:line="11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Because the components of a unit are separable at the option of the holder within a short period of time after the date of this prospectus, the holder of a unit generally will be treated, for U.S. federal income tax purposes, as the owner of the underlying subunit and one-quarter of a warrant components of the unit. As a result, the discussion below of the U.S. federal income tax consequences with respect to actual holders of subunits and warrants should also apply to holders of units (as the deemed owners of the subunits and warrants underlying the units). This concept should not apply in the case of a subunit.</w:t>
      </w:r>
    </w:p>
    <w:p>
      <w:pPr>
        <w:spacing w:after="0" w:line="11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This discussion does not address all of the U.S. federal income and estate tax considerations that may be relevant to you in light of your particular circumstances, and it does not describe all of the tax consequences that may be relevant to persons subject to special rules, such as:</w:t>
      </w:r>
    </w:p>
    <w:p>
      <w:pPr>
        <w:spacing w:after="0" w:line="103" w:lineRule="exact"/>
        <w:rPr>
          <w:sz w:val="20"/>
          <w:szCs w:val="20"/>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dealers and traders in securities or foreign currencies;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persons holding our securities as part of a hedge, straddle, conversion transaction or other integrated transaction;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U.S. persons whose functional currency for U.S. federal income tax purposes is not the U.S. dollar;</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partnerships or other entities classified as partnerships for U.S. federal income tax purposes;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persons that actually or constructively own 5 percent or more of our voting stock;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discussion does not address any aspect of U.S. federal non-income tax laws, such as gift or estate tax laws, state, local or non-U.S. tax laws or, except as discussed herein, any tax reporting obligations applicable to a holder of our securities.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securities, the U.S. federal income tax treatment of a partner in the partnership will generally depend on the status of the partner and the activities of the partnership. In addition, this discussion assumes that a holder will own a number of units or subunits that are divisible by two and, thus, will not forfeit a fractional warrant in connection with the separation of a unit or subunit, as the case may be.</w:t>
      </w:r>
    </w:p>
    <w:p>
      <w:pPr>
        <w:spacing w:after="0" w:line="11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not sought, and will not seek, a ruling from the U.S. Internal Revenue Service (“IRS”) as to any U.S. federal income tax consequence described herein. The IRS may disagree with the description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0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URGE PROSPECTIVE INVESTORS TO CONSULT THEIR TAX ADVISORS REGARDING THE U.S. FEDERAL, STATE, LOCAL AND NON-U.S. INCOME, ESTATE AND OTHER TAX CONSIDERATIONS WITH RESPECT TO ACQUIRING, HOLDING AND DISPOSING OF OUR SECURITIES.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Purchase Price of a Unit and Characterization of a Unit and its Components</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While not free from doubt, each unit should be treated for U.S. federal income tax purposes as an investment unit consisting of one subunit and one-quarter of a warrant. For U.S. federal income tax purposes, each holder of a unit must allocate the purchase price of a unit between the subunit and the one-quarter of a warrant that comprise the unit based on the relative fair market value of each at the time of issuance. The price allocated to the subunit or to the one-quarter of a warrant will be the holder’s tax basis in such subunit or one-quarter of a warrant, as the case may be. While uncertain, the IRS, by analogy to the rules relating to the allocation of the purchase price to components of a unit consisting of debt and equity, may take the position that any allocation of the purchase price that we may make will be binding on a holder of a unit, unless the holder explicitly discloses in a statement attached to the holder’s timely filed U.S. federal income tax return for the taxable year that includes the acquisition date of the unit that the holder’s allocation of the purchase price between the subunit and the one-quarter of a warrant that comprise the unit is different than our allocation. Any such allocation is not, however, binding on the IRS.</w:t>
      </w:r>
    </w:p>
    <w:p>
      <w:pPr>
        <w:spacing w:after="0" w:line="11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subunit is comprised of one share of common stock and one-quarter of a warrant, which cannot be separately traded (until the subunit automatically separates and disappears). A subunit has all of the economic rights of each of its components, including the right to vote and receive distributions with respect to the underlying common stock, and in the case of a sale, to the value of both the common stock and one-quarter of a warrant components. However, because the components are “stapled” together and will not separate in a short period, a subunit should be treated as a single instrument for U.S. federal income tax purposes. As a result, for U.S. federal income tax purposes, distributions on the common stock component of a subunit are considered received with respect to the subunit.</w:t>
      </w:r>
    </w:p>
    <w:p>
      <w:pPr>
        <w:spacing w:after="0" w:line="12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Although we intend to take a contrary position, if our subunits are not viewed as participating in our corporate growth (i.e., our future earnings or increases in our net asset value) to any significant extent (other than by reason of any “conversion” feature) due to our limited potential for corporate growth prior to a business combination, there is a risk that a holder’s entitlement to receive payments upon the redemption of a subunit in excess of the holder’s initial tax basis in its subunit will result in constructive income to the holder. This could affect the timing and character of income recognition and result in U.S. federal income tax liability to the holder without the holder’s receipt of cash from us.</w:t>
      </w:r>
    </w:p>
    <w:p>
      <w:pPr>
        <w:spacing w:after="0" w:line="11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Each holder is advised to consult its own tax advisor with respect to the risks associated with an investment in a unit (including alternative characterizations of a unit or the components thereof) and regarding the risks associated with an allocation of the purchase price between the subunit and the one-quarter of a warrant that comprise a unit that is inconsistent with any allocation of the purchase price that we may make. The balance of this discussion assumes that our characterization of the units (and the components thereof) and any allocation of the purchase price as described above are respected for U.S. federal income tax purposes.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Personal Holding Company Status</w:t>
      </w:r>
    </w:p>
    <w:p>
      <w:pPr>
        <w:spacing w:after="0" w:line="16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could be subject to United States federal income tax at rates in excess of those generally applicable to corporations on a portion of our income if we are determined to be a personal holding company, or PHC, for United States federal income tax purposes. A U.S. corporation will generally be classified as a PHC for United States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United States federal income tax purposes, for such taxable year consists of PHC income (which includes, among other things, dividends, interest, certain royalties, annuities and, under certain circumstances, rents).</w:t>
      </w:r>
    </w:p>
    <w:p>
      <w:pPr>
        <w:spacing w:after="0" w:line="12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will be owned or deemed owned (pursuant to the constructive ownership rules) by such persons during the last half of a taxable year. Thus, no assurance can be given that we will not become a PHC following this offering or in the future. If we are or were to become a PHC in a given taxable year, we would be subject to an additional PHC tax, currently 20%, on our undistributed taxable income, subject to certain adjustments.</w:t>
      </w:r>
    </w:p>
    <w:p>
      <w:pPr>
        <w:sectPr>
          <w:pgSz w:w="11900" w:h="16838" w:orient="portrait"/>
          <w:cols w:equalWidth="0" w:num="1">
            <w:col w:w="9019"/>
          </w:cols>
          <w:pgMar w:left="1440" w:top="274"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6" w:name="page97"/>
    <w:bookmarkEnd w:id="9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section is addressed to U.S. holders of our securities. For purposes of this discussion, you are a “U.S.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 if you are a beneficial owner of a security that is:</w:t>
      </w:r>
    </w:p>
    <w:p>
      <w:pPr>
        <w:spacing w:after="0" w:line="143" w:lineRule="exact"/>
        <w:rPr>
          <w:sz w:val="20"/>
          <w:szCs w:val="20"/>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 for U.S. federal income tax purposes;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or any state thereof or the District of Columbia; or</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41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discussed under “</w:t>
      </w:r>
      <w:r>
        <w:rPr>
          <w:rFonts w:ascii="Arial" w:cs="Arial" w:eastAsia="Arial" w:hAnsi="Arial"/>
          <w:sz w:val="17"/>
          <w:szCs w:val="17"/>
          <w:i w:val="1"/>
          <w:iCs w:val="1"/>
          <w:color w:val="auto"/>
        </w:rPr>
        <w:t>Dividend Policy</w:t>
      </w:r>
      <w:r>
        <w:rPr>
          <w:rFonts w:ascii="Arial" w:cs="Arial" w:eastAsia="Arial" w:hAnsi="Arial"/>
          <w:sz w:val="17"/>
          <w:szCs w:val="17"/>
          <w:color w:val="auto"/>
        </w:rPr>
        <w:t>” above, we do not anticipate that any dividends will be paid in the foreseeable future. If we do make distributions on our subunits or common stock, such distributions generally will be treated as dividends for U.S. federal income tax purposes to the extent of our current or accumulated earnings and profits. Distributions in excess of our current or accumulated earnings and profits generally will first reduce your basis in the subunits or common stock (but not below zero) and then will be treated as gain realized on the sale or other disposition of the subunits or common stock (as described in the first paragraph under “</w:t>
      </w:r>
      <w:r>
        <w:rPr>
          <w:rFonts w:ascii="Arial" w:cs="Arial" w:eastAsia="Arial" w:hAnsi="Arial"/>
          <w:sz w:val="17"/>
          <w:szCs w:val="17"/>
          <w:i w:val="1"/>
          <w:iCs w:val="1"/>
          <w:color w:val="auto"/>
        </w:rPr>
        <w:t>— Taxation on the Disposition of Securities</w:t>
      </w:r>
      <w:r>
        <w:rPr>
          <w:rFonts w:ascii="Arial" w:cs="Arial" w:eastAsia="Arial" w:hAnsi="Arial"/>
          <w:sz w:val="17"/>
          <w:szCs w:val="17"/>
          <w:color w:val="auto"/>
        </w:rPr>
        <w:t>” below).</w:t>
      </w:r>
    </w:p>
    <w:p>
      <w:pPr>
        <w:spacing w:after="0" w:line="110"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conversion feature of the subunits described under “</w:t>
      </w:r>
      <w:r>
        <w:rPr>
          <w:rFonts w:ascii="Arial" w:cs="Arial" w:eastAsia="Arial" w:hAnsi="Arial"/>
          <w:sz w:val="17"/>
          <w:szCs w:val="17"/>
          <w:i w:val="1"/>
          <w:iCs w:val="1"/>
          <w:color w:val="auto"/>
        </w:rPr>
        <w:t>Proposed Business — Effecting a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 Conversion Rights</w:t>
      </w:r>
      <w:r>
        <w:rPr>
          <w:rFonts w:ascii="Arial" w:cs="Arial" w:eastAsia="Arial" w:hAnsi="Arial"/>
          <w:sz w:val="17"/>
          <w:szCs w:val="17"/>
          <w:color w:val="auto"/>
        </w:rPr>
        <w:t>” may be viewed as a position with respect to substantially similar or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which diminishes your risk of loss and thereby affects your ability to satisfy the holding period requirements for the dividends received deduction or the preferential tax rate on qualified dividend income with respect to the time period prior to the approval of an initial business combination.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Possible Constructive Distributions with Respect to Warrants</w:t>
      </w:r>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terms of each warrant provide for an adjustment to the number of shares for which the warrant may be exercised or to the exercise price of the warrant in certain events, as discussed in the section of this prospectus captioned “Description of Securities — Warrants.” An adjustment that has the effect of preventing dilution generally is not taxable. However, the U.S. holders of the warrants would be treated as receiving a constructive distribution from us if, for example, the adjustment increases the warrant holders’ proportionate interest in our assets or earnings and profits (e.g., through a decrease in the exercise price of the warrants) as a result of a distribution of cash to the holders of our subunits or common stock, which is taxable to the U.S. holders of such subunits or common stock as described under “— Dividends and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on the Disposition of Securities</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Upon a sale or other taxable disposition of our securities (which, in general, would include a distribution in connection with our liquidation or a conversion of our subunits, as described in “— Taxation on the Redemption of Subunits” below), a U.S. holder generally will recognize capital gain or loss in an amount equal to the difference between the amount realized and the U.S. holder’s adjusted tax basis in such securities. See “— Exercise or Lapse of a Warrant,” below for a discussion regarding a U.S. holder’s basis in the common stock acquired pursuant to the exercise of a warrant.</w:t>
      </w:r>
    </w:p>
    <w:p>
      <w:pPr>
        <w:spacing w:after="0" w:line="125"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regular U.S. federal income tax rate on capital gains recognized by U.S. holders generally is the same as the regular U.S. federal income tax rate on ordinary income, except that long-term capital gains recognized by non-corporate U.S. holders generally are subject to U.S. federal income tax at reduced rates. Capital gain or loss will constitute long-term capital gain or loss if the U.S. holder’s holding period for the securities exceeds one year. The deductibility of capital losses is subject to various limitations.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on the Redemption of Subunits</w:t>
      </w:r>
    </w:p>
    <w:p>
      <w:pPr>
        <w:spacing w:after="0" w:line="144" w:lineRule="exact"/>
        <w:rPr>
          <w:sz w:val="20"/>
          <w:szCs w:val="20"/>
          <w:color w:val="auto"/>
        </w:rPr>
      </w:pPr>
    </w:p>
    <w:p>
      <w:pPr>
        <w:jc w:val="both"/>
        <w:ind w:left="460" w:right="479"/>
        <w:spacing w:after="0" w:line="284" w:lineRule="auto"/>
        <w:rPr>
          <w:sz w:val="20"/>
          <w:szCs w:val="20"/>
          <w:color w:val="auto"/>
        </w:rPr>
      </w:pPr>
      <w:r>
        <w:rPr>
          <w:rFonts w:ascii="Arial" w:cs="Arial" w:eastAsia="Arial" w:hAnsi="Arial"/>
          <w:sz w:val="16"/>
          <w:szCs w:val="16"/>
          <w:color w:val="auto"/>
        </w:rPr>
        <w:t>In the event that a U.S. holder (i) elects to convert its subunits and receive cash pursuant to the exercise of its conversion right in connection with a stockholder vote regarding a proposed business combination, (ii) elects to tender its subunits to us in connection with a tender offer, or (iii) elects to sell its subunits to us if we purchase subunits in open market transactions or in negotiated arrangements (collectively referred to as a “redemption”), the amount received on any such redemption of subunits generally will be treated for U.S. federal income tax purposes as a payment in consideration for the sale of our subunits, rather than as a distribution. Such amounts, however, will be treated as a distribution and taxed as described in “— Dividends and Distributions,” above, if</w:t>
      </w:r>
    </w:p>
    <w:p>
      <w:pPr>
        <w:spacing w:after="0" w:line="2" w:lineRule="exact"/>
        <w:rPr>
          <w:sz w:val="20"/>
          <w:szCs w:val="20"/>
          <w:color w:val="auto"/>
        </w:rPr>
      </w:pPr>
    </w:p>
    <w:p>
      <w:pPr>
        <w:jc w:val="both"/>
        <w:ind w:left="460" w:right="459" w:hanging="6"/>
        <w:spacing w:after="0" w:line="267" w:lineRule="auto"/>
        <w:tabs>
          <w:tab w:leader="none" w:pos="729"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redemption is “essentially equivalent to a dividend” (meaning that the U.S. holder’s percentage ownership in us (including subunits or shares the U.S. holder is deemed to own under certain constructive ownership rules) after the redemption is not meaningfully reduced from what its percentage ownership in us (including constructive ownership) was prior to the redemption) and (ii) the redemption is not “substantially disproportionate” as to that U.S. holder (“substantially disproportionate” meaning, among other requirements, that the percentage of our outstanding voting shares owned (including constructive ownership) by such holder immediately following the redemption is less than 80% of that percentage owned (including constructive ownership) by such holder immediately before the redemption). If the U.S. holder had a relatively minimal interest in our subunits or shares and its percentage ownership in us (including constructive ownership and taking into account the effect of redemptions by other holders) is reduced as a result of the redemption, such holder generally should be regarded as having a meaningful reduction in interest. For example,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to it of any redemption of its subunits.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or Lapse of a Warrant</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 U.S. holder will not recognize gain or loss upon the acquisition of common stock on the exercise of a warrant for cash. Common stock acquired pursuant to the exercise of a warrant for cash will have a tax basis equal to the U.S. holder’s tax basis in the warrant, increased by the amount paid to exercise the warrant. The holding period of such common stock should begin on the day after the date of exercise of the warrant. If a warrant is allowed to lapse unexercised, a U.S. holder generally will recognize a capital loss equal to such holder’s adjusted tax basis in the warrant.</w:t>
      </w:r>
    </w:p>
    <w:p>
      <w:pPr>
        <w:spacing w:after="0" w:line="12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warrants exercised therefor. If the cashless exercise were treated as not being a gain realization event, it is unclear when a U.S. holder’s holding period in the common stock would be treated as commencing. If the cashless exercise were treated as a recapitalization, the holding period of the common stock would include the holding period of the warrants exercised therefor.</w:t>
      </w:r>
    </w:p>
    <w:p>
      <w:pPr>
        <w:spacing w:after="0" w:line="8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It is also possible that a cashless exercise could be treated in whole or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tax basis in such warrants. Such gain or loss would be long-term or short-term, depending on the U.S. holder’s holding period in the warrants deemed surrendered. In this case, a U.S. holder’s tax basis in the common stock received would equal the sum of the U.S. holder’s initial investment in the exercised warrants (i.e., the portion of the U.S. holder’s purchase price for the units that is allocated to the warrants, as described above under “— Allocation of Purchase Price of a Unit and Characterization of a Unit and its Components”) and the exercise price of such warrants. It is unclear whether a U.S. holder’s holding period for the common stock would commence on the date following the date of exercise or on the date of exercise of the warrant; in either case, the holding period would not include the period during which the U.S. holder held the warrant. There may also be alternative characterizations of any such taxable exchange that would result in similar tax consequences, except that a U.S. holder’s gain or loss would be short-term.</w:t>
      </w:r>
    </w:p>
    <w:p>
      <w:pPr>
        <w:spacing w:after="0" w:line="10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8" w:name="page99"/>
    <w:bookmarkEnd w:id="9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Unearned Income Medicare Tax</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 3.8% Medicare contribution tax will generally apply to all or some portion of the net investment income of a U.S. holder that is an individual with adjusted gross income that exceeds a threshold amount ($250,000 if married filing jointly or if considered a “surviving spouse” for federal income tax purposes, $125,000 if married filing separately, and $200,000 in other cases). This 3.8% tax will also apply to all or some portion of the undistributed net investment income of certain U.S. holders that are estates and trusts. For these purposes, dividends and gains from the taxable dispositions of the common stock and warrants will generally be taken into account in computing such a U.S. holder’s net investment income.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Information returns may be filed with the IRS with respect to dividends or other distributions we may pay to you and proceeds from the sale of your shares of common stock or warrants. You will be subject to backup withholding on these payments if you fail to provide your taxpayer identification number to the paying agent and comply with certain certification procedures or otherwise establish an exemption from backup withholding. Backup withholding is not an additional tax. Any amounts withheld with respect to your shares of common stock or warrants under the backup withholding rules will be refunded to you or credited against your United States federal income tax liability, if any, by the IRS provided that certain required information is furnished to the IRS in a timely manner.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This section is addressed to non-U.S. holders of the securities. For purposes of this discussion, a “non-U.S. holder” is a beneficial owner of a security (other than an entity treated as a partnership for U.S. federal income tax purposes) that is not a U.S. holder.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As discussed under “Dividend Policy” above, we do not anticipate that any dividends will be paid in the foreseeable future. If, however, we were to pay taxable dividends to you with respect to your subunits or shares of common stock (including any deemed distributions treated as a dividend on the warrants, as described in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Constructive Dividends on Warrants</w:t>
      </w:r>
      <w:r>
        <w:rPr>
          <w:rFonts w:ascii="Arial" w:cs="Arial" w:eastAsia="Arial" w:hAnsi="Arial"/>
          <w:sz w:val="16"/>
          <w:szCs w:val="16"/>
          <w:color w:val="auto"/>
        </w:rPr>
        <w:t>” below), those dividends would generally be subject to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tax at a rate of 30% of the gross amount, unless you are eligible for a reduced rate of withholding tax under an applicable income tax treaty and you provide proper certification of your eligibility for such reduced rate (usually on an IRS Form W-8BEN or Form W-8BEN-E). A distribution generally will constitute a dividend for U.S. federal income tax purposes to the extent of our current or accumulated earnings and profits as determined under the Code. Any distribution not constituting a dividend generally will be treated first as reducing your basis in your shares of common stock and, to the extent it exceeds your basis, as gain from the disposition of your shares of common stock treated as described under “</w:t>
      </w:r>
      <w:r>
        <w:rPr>
          <w:rFonts w:ascii="Arial" w:cs="Arial" w:eastAsia="Arial" w:hAnsi="Arial"/>
          <w:sz w:val="16"/>
          <w:szCs w:val="16"/>
          <w:i w:val="1"/>
          <w:iCs w:val="1"/>
          <w:color w:val="auto"/>
        </w:rPr>
        <w:t>Sale or Other Disposition of Our</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below. The full amount of any distributions to you may, however, be subject to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tax unless the applicable withholding agent elects to withhold a lesser amount based on a reasonable estimate of the amount of the distribution that would be treated as a dividend. In addition, if we determine that we are likely to be classified as a “United States real property holding corporation”(see “Sale or Other Disposition of Our Securities” below), we will withhold at least 15% of any distribution that exceeds our current and accumulated earnings and profits as provided by the Code.</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Dividends we pay to you that are effectively connected with your conduct of a trade or business within the United States (and, if certain income tax treaties apply, are attributable to a United States permanent establishment maintained by you) generally will not be subject to United States withholding tax if you comply with applicable certification and disclosure requirements (usually by providing an IRS Form W-8ECI). Instead, such dividends generally will be subject to United States federal income tax, net of certain deductions, at the same graduated individual or corporate rates applicable to United States persons. If you are a corporation, effectively connected income may also be subject to a “branch profits tax” at a rate of 30% (or such lower rate as may be specified by an applicable income tax treaty).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You generally will not be subject to U.S. federal income tax on the exercise of the warrants into shares of common stock. However, if a cashless exercise of warrants results in a taxable exchange, as described in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U.S. Holders — Exercise or Lapse of a Warrant</w:t>
      </w:r>
      <w:r>
        <w:rPr>
          <w:rFonts w:ascii="Arial" w:cs="Arial" w:eastAsia="Arial" w:hAnsi="Arial"/>
          <w:sz w:val="18"/>
          <w:szCs w:val="18"/>
          <w:color w:val="auto"/>
        </w:rPr>
        <w:t>,” the rules described below under “</w:t>
      </w:r>
      <w:r>
        <w:rPr>
          <w:rFonts w:ascii="Arial" w:cs="Arial" w:eastAsia="Arial" w:hAnsi="Arial"/>
          <w:sz w:val="18"/>
          <w:szCs w:val="18"/>
          <w:i w:val="1"/>
          <w:iCs w:val="1"/>
          <w:color w:val="auto"/>
        </w:rPr>
        <w:t>Sale or Other Disposition of Our Securities</w:t>
      </w:r>
      <w:r>
        <w:rPr>
          <w:rFonts w:ascii="Arial" w:cs="Arial" w:eastAsia="Arial" w:hAnsi="Arial"/>
          <w:sz w:val="18"/>
          <w:szCs w:val="18"/>
          <w:color w:val="auto"/>
        </w:rPr>
        <w:t>” would apply.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Disposition of Our Securities</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You generally will not be subject to United States federal income tax on any gain realized upon the sale, exchange or other disposition of our securities (which would include a dissolution and liquidation in the event we do not consummate an initial business combination within the required timeframe) or warrants (including an expiration or redemption of our warrants), unless:</w:t>
      </w:r>
    </w:p>
    <w:p>
      <w:pPr>
        <w:spacing w:after="0" w:line="119" w:lineRule="exact"/>
        <w:rPr>
          <w:sz w:val="20"/>
          <w:szCs w:val="20"/>
          <w:color w:val="auto"/>
        </w:rPr>
      </w:pPr>
    </w:p>
    <w:p>
      <w:pPr>
        <w:jc w:val="both"/>
        <w:ind w:left="1320" w:right="459" w:hanging="434"/>
        <w:spacing w:after="0" w:line="263" w:lineRule="auto"/>
        <w:tabs>
          <w:tab w:leader="none" w:pos="13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within the United States (and, under certain income tax treaties, is attributable to a United States permanent establishment you maintain);</w:t>
      </w:r>
    </w:p>
    <w:p>
      <w:pPr>
        <w:spacing w:after="0" w:line="102" w:lineRule="exact"/>
        <w:rPr>
          <w:rFonts w:ascii="Arial" w:cs="Arial" w:eastAsia="Arial" w:hAnsi="Arial"/>
          <w:sz w:val="18"/>
          <w:szCs w:val="18"/>
          <w:color w:val="auto"/>
        </w:rPr>
      </w:pPr>
    </w:p>
    <w:p>
      <w:pPr>
        <w:jc w:val="both"/>
        <w:ind w:left="1320" w:right="459" w:hanging="434"/>
        <w:spacing w:after="0" w:line="311" w:lineRule="auto"/>
        <w:tabs>
          <w:tab w:leader="none" w:pos="1351" w:val="left"/>
        </w:tabs>
        <w:numPr>
          <w:ilvl w:val="0"/>
          <w:numId w:val="55"/>
        </w:numPr>
        <w:rPr>
          <w:rFonts w:ascii="Arial" w:cs="Arial" w:eastAsia="Arial" w:hAnsi="Arial"/>
          <w:sz w:val="16"/>
          <w:szCs w:val="16"/>
          <w:color w:val="auto"/>
        </w:rPr>
      </w:pPr>
      <w:r>
        <w:rPr>
          <w:rFonts w:ascii="Arial" w:cs="Arial" w:eastAsia="Arial" w:hAnsi="Arial"/>
          <w:sz w:val="16"/>
          <w:szCs w:val="16"/>
          <w:color w:val="auto"/>
        </w:rPr>
        <w:t>you are an individual, you hold your shares of common stock or warrants as capital assets, you are present in the United States for 183 days or more in the taxable year of disposition and you meet other conditions, and you are not eligible for relief under an applicable income tax treaty; or</w:t>
      </w:r>
    </w:p>
    <w:p>
      <w:pPr>
        <w:spacing w:after="0" w:line="81" w:lineRule="exact"/>
        <w:rPr>
          <w:rFonts w:ascii="Arial" w:cs="Arial" w:eastAsia="Arial" w:hAnsi="Arial"/>
          <w:sz w:val="16"/>
          <w:szCs w:val="16"/>
          <w:color w:val="auto"/>
        </w:rPr>
      </w:pPr>
    </w:p>
    <w:p>
      <w:pPr>
        <w:jc w:val="both"/>
        <w:ind w:left="1320" w:right="459" w:hanging="434"/>
        <w:spacing w:after="0" w:line="283" w:lineRule="auto"/>
        <w:tabs>
          <w:tab w:leader="none" w:pos="1392"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United States federal income tax purposes and, in the case where the shares of our common stock are regularly traded on an established securities market, you hold or have held, directly or indirectly, at any time within the shorter of the five-year period preceding disposition or your holding period for your shares of common stock or warrants, more than 5% of our common stock. Special rules may apply to the determination of the 5% threshold in the case of a holder of a warrant. You are urged to consult your own tax advisors regarding the effect of holding the warrants on the calculation of such 5% threshold. We will be classified as a United States real property holding corporation if the fair market value of our “United States real property interests” equals or exceeds 50% of the sum of</w:t>
      </w:r>
    </w:p>
    <w:p>
      <w:pPr>
        <w:spacing w:after="0" w:line="5" w:lineRule="exact"/>
        <w:rPr>
          <w:rFonts w:ascii="Arial" w:cs="Arial" w:eastAsia="Arial" w:hAnsi="Arial"/>
          <w:sz w:val="16"/>
          <w:szCs w:val="16"/>
          <w:color w:val="auto"/>
        </w:rPr>
      </w:pPr>
    </w:p>
    <w:p>
      <w:pPr>
        <w:jc w:val="both"/>
        <w:ind w:left="1320" w:right="459"/>
        <w:spacing w:after="0" w:line="252" w:lineRule="auto"/>
        <w:rPr>
          <w:rFonts w:ascii="Arial" w:cs="Arial" w:eastAsia="Arial" w:hAnsi="Arial"/>
          <w:sz w:val="16"/>
          <w:szCs w:val="16"/>
          <w:color w:val="auto"/>
        </w:rPr>
      </w:pPr>
      <w:r>
        <w:rPr>
          <w:rFonts w:ascii="Arial" w:cs="Arial" w:eastAsia="Arial" w:hAnsi="Arial"/>
          <w:sz w:val="18"/>
          <w:szCs w:val="18"/>
          <w:color w:val="auto"/>
        </w:rPr>
        <w:t>(1) the fair market value of our United States real property interests, (2) the fair market value of our non-United States real property interests and (3) the fair market value of any other of our assets which are used or held for use in our trade or business. Although we currently are not a United States real property holding corporation, we cannot determine whether we will be a United States real property holding corporation in the future until we consummate an initial business combination.</w:t>
      </w:r>
    </w:p>
    <w:p>
      <w:pPr>
        <w:spacing w:after="0" w:line="12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Gain that is effectively connected with your conduct of a trade or business within the United States generally will be subject to United States federal income tax, net of certain deductions, at the same rates applicable to United States persons. If you are a corporation, the branch profits tax also may apply to such effectively connected gain. If the gain from the sale or disposition of our securities is effectively connected with your conduct of a trade or business in the United States but under an applicable income tax treaty is not attributable to a permanent establishment you maintain in the United States, your gain may be exempt from United States tax under the treaty. If you are described in the second bullet point above, you generally will be subject to United States federal income tax at a rate of 30% on the gain realized, although the gain may be offset by some United States source capital losses realized during the same taxable year. If you are described in the third bullet point above, gain recognized by you on the sale, exchange or other disposition of shares of our securities will be subject to U.S. federal income tax on a net income basis at normal graduated U.S. federal income tax rates. In addition, a buyer of your securities may be required to withhold United States income tax at a rate of 15% of the amount realized upon such disposition.</w:t>
      </w:r>
    </w:p>
    <w:p>
      <w:pPr>
        <w:spacing w:after="0" w:line="10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If you convert your subunits into a right to receive cash as described in “</w:t>
      </w:r>
      <w:r>
        <w:rPr>
          <w:rFonts w:ascii="Arial" w:cs="Arial" w:eastAsia="Arial" w:hAnsi="Arial"/>
          <w:sz w:val="17"/>
          <w:szCs w:val="17"/>
          <w:i w:val="1"/>
          <w:iCs w:val="1"/>
          <w:color w:val="auto"/>
        </w:rPr>
        <w:t>Proposed Business — Effecting a</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 — Conversion Rights</w:t>
      </w:r>
      <w:r>
        <w:rPr>
          <w:rFonts w:ascii="Arial" w:cs="Arial" w:eastAsia="Arial" w:hAnsi="Arial"/>
          <w:sz w:val="17"/>
          <w:szCs w:val="17"/>
          <w:color w:val="auto"/>
        </w:rPr>
        <w:t>,” the conversion generally will be treated as a sale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rather than as a dividend or distribution. The conversion will, however, be treated as a dividend or distribution and taxed as described in “Dividends and Distributions” if your percentage ownership in us (including shares that you are deemed to own under certain attribution rules, such as the shares into which the warrants are exercisable) after the conversion is not meaningfully reduced from what your percentage ownership was prior to the conversion. See the discussion in “— U.S. Holders — Taxation on Redemption of Subunits.” You should consult your own tax advisor as to whether conversion of your subunits will be treated as a sale or as a dividend under the Code.</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Dividends on Warrants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 discussed under “Dividend Policy” above, we do not anticipate that any dividends will be paid in the foreseeable future. If at any time during the period you hold warrants, however, we were to pay a taxable dividend on our subunits or common stock and, in accordance with the anti-dilution provisions of the warrants, the conversion rate of the warrants were increased, that increase would be deemed to be the payment of a taxable dividend to you to the extent of our earnings and profits, notwithstanding the fact that you will not receive a cash payment. If the conversion rate is adjusted in certain other circumstances (or in certain circumstances, there is a failure to make adjustments), such adjustments may also result in the deemed payment of a taxable dividend to you. Any resulting withholding tax attributable to deemed dividends would be collected from other amounts payable or distributable to you. You should consult your tax advisor regarding the proper treatment of any adjustments to the warrants.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must report annually to the IRS the amount of dividends or other distributions we may pay to you and the amount of tax we withhold on any such distributions regardless of whether withholding is required. The IRS may make copies of the information returns reporting those dividends and amounts withheld available to the tax authorities in the country in which you reside pursuant to the provisions of an applicable income tax treaty or exchange of information treaty.</w:t>
      </w:r>
    </w:p>
    <w:p>
      <w:pPr>
        <w:spacing w:after="0" w:line="12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United States imposes backup withholding on dividends and certain other types of payments to United States persons. You will not be subject to backup withholding on dividends you receive if you provide proper certification (usually on an IRS Form W-8BEN or Form W-8BEN-E) of your status as a non-United States person or you are a corporation or one of several types of entities and organizations that qualify for exemption (an “exempt recipient”).</w:t>
      </w:r>
    </w:p>
    <w:p>
      <w:pPr>
        <w:spacing w:after="0" w:line="107"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Information reporting and backup withholding generally are not required with respect to the amount of any proceeds from the sale of your securities outside the United States through a foreign office of a foreign broker that does not have certain specified connections to the United States. However, if you sell your securities through a United States broker or the United States office of a foreign broker, the broker will be required to report to the IRS the amount of proceeds paid to you unless you provide appropriate certification (usually on an IRS Form W-8BEN or Form W-8BEN-E) to the broker of your status as a non-United States person or you are an exempt recipient. Information reporting also would apply if you sell your securities through a foreign broker deriving more than a specified percentage of its income from United States sources or having certain other connections to the United States.</w:t>
      </w:r>
    </w:p>
    <w:p>
      <w:pPr>
        <w:spacing w:after="0" w:line="11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refunded to you or credited against your United States federal income tax liability, if any, by the IRS provided that certain required information is furnished to the IRS in a timely manner.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Unearned Income Medicare Tax</w:t>
      </w:r>
    </w:p>
    <w:p>
      <w:pPr>
        <w:spacing w:after="0" w:line="158"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If you are a foreign estate or trust, you may be subject to the Medicare contribution tax described under “</w:t>
      </w:r>
      <w:r>
        <w:rPr>
          <w:rFonts w:ascii="Arial" w:cs="Arial" w:eastAsia="Arial" w:hAnsi="Arial"/>
          <w:sz w:val="16"/>
          <w:szCs w:val="16"/>
          <w:i w:val="1"/>
          <w:iCs w:val="1"/>
          <w:color w:val="auto"/>
        </w:rPr>
        <w:t>U.S.</w:t>
      </w:r>
      <w:r>
        <w:rPr>
          <w:rFonts w:ascii="Arial" w:cs="Arial" w:eastAsia="Arial" w:hAnsi="Arial"/>
          <w:sz w:val="16"/>
          <w:szCs w:val="16"/>
          <w:color w:val="auto"/>
        </w:rPr>
        <w:t xml:space="preserve"> </w:t>
      </w:r>
      <w:r>
        <w:rPr>
          <w:rFonts w:ascii="Arial" w:cs="Arial" w:eastAsia="Arial" w:hAnsi="Arial"/>
          <w:sz w:val="16"/>
          <w:szCs w:val="16"/>
          <w:i w:val="1"/>
          <w:iCs w:val="1"/>
          <w:color w:val="auto"/>
        </w:rPr>
        <w:t>holders — Unearned Income Medicare Tax</w:t>
      </w:r>
      <w:r>
        <w:rPr>
          <w:rFonts w:ascii="Arial" w:cs="Arial" w:eastAsia="Arial" w:hAnsi="Arial"/>
          <w:sz w:val="16"/>
          <w:szCs w:val="16"/>
          <w:color w:val="auto"/>
        </w:rPr>
        <w:t>” above. Non-U.S. holders should consult their tax advisors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possible implications of the Medicare contribution tax on their investments in the units.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FATCA</w:t>
      </w:r>
    </w:p>
    <w:p>
      <w:pPr>
        <w:spacing w:after="0" w:line="14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our securities which are held by or through certain foreign financial institutions (including investment funds), unless any such institution</w:t>
      </w:r>
    </w:p>
    <w:p>
      <w:pPr>
        <w:spacing w:after="0" w:line="1" w:lineRule="exact"/>
        <w:rPr>
          <w:sz w:val="20"/>
          <w:szCs w:val="20"/>
          <w:color w:val="auto"/>
        </w:rPr>
      </w:pPr>
    </w:p>
    <w:p>
      <w:pPr>
        <w:jc w:val="both"/>
        <w:ind w:left="460" w:right="459" w:hanging="6"/>
        <w:spacing w:after="0" w:line="253" w:lineRule="auto"/>
        <w:tabs>
          <w:tab w:leader="none" w:pos="731"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All prospective investors should consult their tax advisors regarding the possible implications of FATCA on their investment in our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are offering the units described in this prospectus through the underwriters named below. EarlyBirdCapital is acting as representative of the underwriters. We have entered into an underwriting agreement with the representative. Subject to the terms and conditions of the underwriting agreement, the underwriters have agreed to purchase, and we have agreed to sell to the underwriters, the number of units listed next to each of its name in the following table:</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94"/>
              <w:spacing w:after="0"/>
              <w:rPr>
                <w:sz w:val="20"/>
                <w:szCs w:val="20"/>
                <w:color w:val="auto"/>
              </w:rPr>
            </w:pPr>
            <w:r>
              <w:rPr>
                <w:rFonts w:ascii="Arial" w:cs="Arial" w:eastAsia="Arial" w:hAnsi="Arial"/>
                <w:sz w:val="16"/>
                <w:szCs w:val="16"/>
                <w:b w:val="1"/>
                <w:bCs w:val="1"/>
                <w:color w:val="auto"/>
              </w:rPr>
              <w:t>Number of</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Underwriter</w:t>
            </w:r>
          </w:p>
        </w:tc>
        <w:tc>
          <w:tcPr>
            <w:tcW w:w="1260" w:type="dxa"/>
            <w:vAlign w:val="bottom"/>
          </w:tcPr>
          <w:p>
            <w:pPr>
              <w:jc w:val="right"/>
              <w:ind w:right="354"/>
              <w:spacing w:after="0"/>
              <w:rPr>
                <w:sz w:val="20"/>
                <w:szCs w:val="20"/>
                <w:color w:val="auto"/>
              </w:rPr>
            </w:pPr>
            <w:r>
              <w:rPr>
                <w:rFonts w:ascii="Arial" w:cs="Arial" w:eastAsia="Arial" w:hAnsi="Arial"/>
                <w:sz w:val="16"/>
                <w:szCs w:val="16"/>
                <w:b w:val="1"/>
                <w:bCs w:val="1"/>
                <w:color w:val="auto"/>
              </w:rPr>
              <w:t>Units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EarlyBirdCapital, Inc.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10,800,000</w:t>
            </w:r>
          </w:p>
        </w:tc>
      </w:tr>
      <w:tr>
        <w:trPr>
          <w:trHeight w:val="257"/>
        </w:trPr>
        <w:tc>
          <w:tcPr>
            <w:tcW w:w="6840" w:type="dxa"/>
            <w:vAlign w:val="bottom"/>
            <w:gridSpan w:val="2"/>
          </w:tcPr>
          <w:p>
            <w:pPr>
              <w:spacing w:after="0"/>
              <w:rPr>
                <w:sz w:val="20"/>
                <w:szCs w:val="20"/>
                <w:color w:val="auto"/>
              </w:rPr>
            </w:pPr>
            <w:r>
              <w:rPr>
                <w:rFonts w:ascii="Arial" w:cs="Arial" w:eastAsia="Arial" w:hAnsi="Arial"/>
                <w:sz w:val="18"/>
                <w:szCs w:val="18"/>
                <w:color w:val="auto"/>
              </w:rPr>
              <w:t>I-Bankers Securities, Inc.</w:t>
            </w:r>
          </w:p>
        </w:tc>
        <w:tc>
          <w:tcPr>
            <w:tcW w:w="1260" w:type="dxa"/>
            <w:vAlign w:val="bottom"/>
          </w:tcPr>
          <w:p>
            <w:pPr>
              <w:jc w:val="right"/>
              <w:spacing w:after="0"/>
              <w:rPr>
                <w:sz w:val="20"/>
                <w:szCs w:val="20"/>
                <w:color w:val="auto"/>
              </w:rPr>
            </w:pPr>
            <w:r>
              <w:rPr>
                <w:rFonts w:ascii="Arial" w:cs="Arial" w:eastAsia="Arial" w:hAnsi="Arial"/>
                <w:sz w:val="18"/>
                <w:szCs w:val="18"/>
                <w:color w:val="auto"/>
              </w:rPr>
              <w:t>1,200,000</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underwriting agreement provides that the underwriters must buy all of the units if they buy any of them. However, the underwriters are not required to purchase the units covered by the option to purchase additional units as described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units are offered subject to a number of conditions, including:</w:t>
      </w:r>
    </w:p>
    <w:p>
      <w:pPr>
        <w:spacing w:after="0" w:line="144" w:lineRule="exact"/>
        <w:rPr>
          <w:sz w:val="20"/>
          <w:szCs w:val="20"/>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receipt and acceptance of our units by the underwriters;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underwriters’ right to reject orders in whole or in part.</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 connection with this offering, the underwriters or securities dealers may distribute prospectuses electronically.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Units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granted the underwriters an over-allotment option to buy up to an aggregate of 1,800,000 additional units. The underwriters have 45 days from the date of this prospectus to exercise this option. If the underwriters exercise this option, they will purchase additional units approximately in proportion to the amounts specified in the table above.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Discount</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Units sold by the underwriters to the public will initially be offered at the initial offering price set forth on the cover of this prospectus. Any units sold by the underwriters to securities dealers may be sold at a discount of up to $0.09 per unit from the initial public offering price and the dealers may reallow a concession not in excess of $0.01 per unit to other dealers. Sales of units made outside of the United States may be made by affiliates of the underwriters. After completion of this offering, if the underwriters still hold any units sold by us to them in this offering, the representative may change the offering price and the other selling terms. Upon execution of the underwriting agreement, the underwriters will be obligated to purchase the units at the prices and upon the terms stated therein.</w:t>
      </w:r>
    </w:p>
    <w:p>
      <w:pPr>
        <w:spacing w:after="0" w:line="12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following table shows the per unit and total underwriting discount we will pay to the underwriters assuming both no exercise and full exercise of the underwriters’ over-allotment option to purchase up to 1,800,000 additional units.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9"/>
              </w:rPr>
              <w:t>No Exercise</w:t>
            </w:r>
          </w:p>
        </w:tc>
        <w:tc>
          <w:tcPr>
            <w:tcW w:w="14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6"/>
                <w:szCs w:val="16"/>
                <w:b w:val="1"/>
                <w:bCs w:val="1"/>
                <w:color w:val="auto"/>
                <w:w w:val="93"/>
              </w:rPr>
              <w:t>Full Exercise</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Unit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2,760,000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have agreed to reimburse the underwriters for the FINRA-related fees and expenses of the underwriters’ legal counsel, not to exceed $15,000, the expenses of transaction “bibles” and lucite cube “mementos,” not to exceed $3,000, and the expenses of investigations and background checks, not to exceed $3,500 per individual (or $24,500 in the aggregate), for aggregate reimbursable expenses of $42,500. We estimate that the total expenses of the offering payable by us, not including the underwriting discount, will be approximately $750,000.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engaged EarlyBirdCapital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in connection with our initial business combination, assist us in obtaining stockholder approval for the business combination and assist us with our press</w:t>
      </w:r>
    </w:p>
    <w:p>
      <w:pPr>
        <w:sectPr>
          <w:pgSz w:w="11900" w:h="16838" w:orient="portrait"/>
          <w:cols w:equalWidth="0" w:num="1">
            <w:col w:w="9019"/>
          </w:cols>
          <w:pgMar w:left="1440" w:top="274" w:right="1440" w:bottom="106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060" w:gutter="0" w:footer="0" w:header="0"/>
          <w:type w:val="continuous"/>
        </w:sectPr>
      </w:pPr>
    </w:p>
    <w:bookmarkStart w:id="103" w:name="page104"/>
    <w:bookmarkEnd w:id="10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releases and public filings in connection with the business combination. We will pay EarlyBirdCapital a cash fee for such services upon the consummation of our initial business combination in an amount equal to 3.5% of the gross proceeds of this offering; provided that up to 30% of the fee may be allocated at our sole discretion to other FINRA members (including, with EarlyBirdCapital’s prior consent which shall not be unreasonably withheld, companies affiliated with us or our officers or directors) that assist us in identifying or consummating an initial business combination. Additionally, we will pay EarlyBirdCapital a cash fee equal to 1.0% of the total consideration payable in the proposed business combination if EarlyBirdCapital introduces us to the target business with which we complete a business combination; provided that the foregoing fee will not be paid prior to the date that is 60 days from the effective date of the registration statement of which this prospectus forms a part, unless FINRA determines that such payment would not be deemed underwriters’ compensation in connection with this offering pursuant to FINRA Rule 5110.</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 Shares</w:t>
      </w:r>
    </w:p>
    <w:p>
      <w:pPr>
        <w:spacing w:after="0" w:line="162"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On January 13, 2021, we issued to EarlyBirdCapital and its designees 350,000 representative shares at $0.0001 per share. On March 10, 2021, we effected a stock dividend of 0.2 shares of common stock for every share of common stock outstanding, resulting in an aggregate of 420,000 representative shares outstanding. The holders of the representative shares have agreed not to transfer, assign or sell any such shares without our prior consent until the completion of our initial business combination. In addition, the holders of the representative shares have agreed (i) to waive their conversion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18 months from the closing of this offering.</w:t>
      </w:r>
    </w:p>
    <w:p>
      <w:pPr>
        <w:spacing w:after="0" w:line="9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date of the effectiveness of the registration statement of which this prospectus forms a part pursuant to Rule 5110(e)(1) of the FINRA Manual.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0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granted the holders of these shares the registration rights as described under the section “</w:t>
      </w:r>
      <w:r>
        <w:rPr>
          <w:rFonts w:ascii="Arial" w:cs="Arial" w:eastAsia="Arial" w:hAnsi="Arial"/>
          <w:sz w:val="18"/>
          <w:szCs w:val="18"/>
          <w:i w:val="1"/>
          <w:iCs w:val="1"/>
          <w:color w:val="auto"/>
        </w:rPr>
        <w:t>Shares</w:t>
      </w:r>
      <w:r>
        <w:rPr>
          <w:rFonts w:ascii="Arial" w:cs="Arial" w:eastAsia="Arial" w:hAnsi="Arial"/>
          <w:sz w:val="18"/>
          <w:szCs w:val="18"/>
          <w:color w:val="auto"/>
        </w:rPr>
        <w:t xml:space="preserve"> </w:t>
      </w:r>
      <w:r>
        <w:rPr>
          <w:rFonts w:ascii="Arial" w:cs="Arial" w:eastAsia="Arial" w:hAnsi="Arial"/>
          <w:sz w:val="18"/>
          <w:szCs w:val="18"/>
          <w:i w:val="1"/>
          <w:iCs w:val="1"/>
          <w:color w:val="auto"/>
        </w:rPr>
        <w:t>Eligible for Future Sale — Registration Rights</w:t>
      </w:r>
      <w:r>
        <w:rPr>
          <w:rFonts w:ascii="Arial" w:cs="Arial" w:eastAsia="Arial" w:hAnsi="Arial"/>
          <w:sz w:val="18"/>
          <w:szCs w:val="18"/>
          <w:color w:val="auto"/>
        </w:rPr>
        <w:t>.” In compliance with FINRA Rule 5110(f)(2)(G),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EarlyBirdCapital registration rights are limited to demand and “piggy back” rights for periods of five and seven years, respectively, from the effective date of this prospectus and EarlyBirdCapital may only exercise its demand rights on one occasion.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Private Units</w:t>
      </w:r>
    </w:p>
    <w:p>
      <w:pPr>
        <w:spacing w:after="0" w:line="16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EarlyBirdCapital has committed that it and/or its designees will purchase from us 60,000 private units for a total purchase price of $600,000. This purchase will take place on a private placement basis simultaneously with the consummation of this offering. EarlyBirdCapital has also agreed that if the over-allotment option is exercised by the underwriters in full or in part, they will purchase from us an additional number of private units (up to a maximum of 9,000 private units) necessary to maintain in the trust account $10.00 per unit sold to the public in this offering. The private units (and underlying securities) are identical to the units (and underlying securities) sold in this offering except as described elsewhere in this prospectus. The private units and underlying subunits and warrants have been deemed compensation by FINRA and are therefore subject to a 180-day lock-up pursuant to FINRA Rule 5110(e)(1). Additionally, the private units purchased by EarlyBirdCapital may not be sold, transferred, assigned, pledged or hypothecated or be the subject of any hedging, short sale, derivative, put or call transaction that would result in the economic disposition of the securities by any person for a 180-day period following the effective date of this prospectus except to any selected dealer participating in the offering and the bona fide officers or partners of the underwriter and any such participating selected dealer. EarlyBirdCapital has agreed that the private units it purchases will not be sold or transferred by it (except to certain permitted transferees) until after we have completed an initial business combination. In addition, for as long as the warrants underlying the private units are held by EarlyBirdCapital and/or its designees or affiliates, they may not be exercised after five years from the effective date of the registration statement of which this prospectus forms a part. We have granted the holders of private units, including EarlyBirdCapital, the registration rights as described under the section</w:t>
      </w:r>
    </w:p>
    <w:p>
      <w:pPr>
        <w:sectPr>
          <w:pgSz w:w="11900" w:h="16838" w:orient="portrait"/>
          <w:cols w:equalWidth="0" w:num="1">
            <w:col w:w="9019"/>
          </w:cols>
          <w:pgMar w:left="1440" w:top="274"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4" w:name="page105"/>
    <w:bookmarkEnd w:id="10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 Eligible for Future Sale — Registration Rights</w:t>
      </w:r>
      <w:r>
        <w:rPr>
          <w:rFonts w:ascii="Arial" w:cs="Arial" w:eastAsia="Arial" w:hAnsi="Arial"/>
          <w:sz w:val="18"/>
          <w:szCs w:val="18"/>
          <w:color w:val="auto"/>
        </w:rPr>
        <w:t>.” In compliance with FINRA Rule 5110(f)(2)(G), the EarlyBirdCapital registration rights are limited to demand and “piggy back” rights for periods of five and seven years, respectively, from the effective date of this prospectus and EarlyBirdCapital may only exercise its demand rights on one occasion.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 of First Refusal</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have granted EarlyBirdCapital a right of first refusal for a period commencing from the consummation of this offering until the consummation of our initial business combination (or the liquidation of the trust account in the event that we fail to consummate our initial business combination within the prescribed time period) to act as book running manager, placement agent and/or arranger for all financings where we seek to raise equity, equity-linked, debt or mezzanine financings relating to or in connection with a business combination.</w:t>
      </w:r>
    </w:p>
    <w:p>
      <w:pPr>
        <w:spacing w:after="0" w:line="9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In addition, under certain circumstances EarlyBirdCapital will be granted, for a period of one year from the closing of this offering, the right to act as lead underwriter for the next U.S. registered public offering of securities, undertaken by any of our officers, for the purpose of raising capital and placing 90% or more of the proceeds in a trust or escrow account to be used to acquire one or more operating businesses in the technology industry that have not been identified at the time of the public offering.</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have agreed to indemnify the underwriter against certain liabilities, including certain liabilities under the Securities Act. In addition, we have agreed to indemnify I-Bankers Securities, Inc., which is acting as a “qualified independent underwriter” for this offering, against certain liabilities incurred in connection with acting as qualified independent underwriter, including liabilities under the Securities Act. See “</w:t>
      </w:r>
      <w:r>
        <w:rPr>
          <w:rFonts w:ascii="Arial" w:cs="Arial" w:eastAsia="Arial" w:hAnsi="Arial"/>
          <w:sz w:val="17"/>
          <w:szCs w:val="17"/>
          <w:i w:val="1"/>
          <w:iCs w:val="1"/>
          <w:color w:val="auto"/>
        </w:rPr>
        <w:t>Conflicts of</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w:t>
      </w:r>
      <w:r>
        <w:rPr>
          <w:rFonts w:ascii="Arial" w:cs="Arial" w:eastAsia="Arial" w:hAnsi="Arial"/>
          <w:sz w:val="17"/>
          <w:szCs w:val="17"/>
          <w:color w:val="auto"/>
        </w:rPr>
        <w:t>”, below. If we are unable to provide this indemnification, we have agreed to contribute to payments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may be required to make in respect of those liabilities.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NASDAQ Listing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units, subunits and warrants have been approved for listing on Nasdaq under the symbols “ATSPU,” “ATSPT” and “ATSPW,” respectively. We anticipate that our units will be listed on Nasdaq on or promptly after the effective date of the registration statement. Following the date the subunits and warrants are eligible to trade separately, we anticipate that the subunits and warrants will be listed separately and as a unit on Nasdaq. The common stock will not trade separately unless and until we consummate an initial business combination. Upon consummation of our initial business combination, we anticipate the common stock will be traded on Nasdaq under the symbol “ATSP.”</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In connection with this offering, the underwriters may engage in activities that stabilize, maintain or otherwise affect the price of units during and after this offering, including:</w:t>
      </w:r>
    </w:p>
    <w:p>
      <w:pPr>
        <w:spacing w:after="0" w:line="89" w:lineRule="exact"/>
        <w:rPr>
          <w:sz w:val="20"/>
          <w:szCs w:val="20"/>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imposition of penalty bids;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syndicate covering transactions.</w:t>
      </w:r>
    </w:p>
    <w:p>
      <w:pPr>
        <w:spacing w:after="0" w:line="158"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Stabilizing transactions consist of bids or purchases made for the purpose of preventing or retarding a decline in the market price of our units while this offering is in progress. Stabilization transactions permit bids to purchase the underlying security so long as the stabilizing bids do not exceed a specified maximum. These transactions may also include making short sales of our units, which involve the sale by the underwriters of a greater number of units than they are required to purchase in this offering and purchasing units on the open market to cover short positions created by short sales. Short sales may be “covered short sales,” which are short positions in an amount not greater than the underwriters’ option to purchase additional units referred to above, or may be “naked short sales,” which are short positions in excess of that amount.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underwriters may close out any covered short position by either exercising their option, in whole or in part, or by purchasing units in the open market. In making this determination, the underwriters will consider, among other things, the price of units available for purchase in the open market as compared to the price at which they may purchase units through the over-allotment option.</w:t>
      </w:r>
    </w:p>
    <w:p>
      <w:pPr>
        <w:spacing w:after="0" w:line="11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Naked short sales are short sales made in excess of the over-allotment option. The underwriters must close out any naked short position by purchasing units in the open market. A naked short position is more likely to be created if the underwriters are concerned that there may be downward pressure on the price of the units in the open market that could adversely affect investors who purchased in this offering.</w:t>
      </w:r>
    </w:p>
    <w:p>
      <w:pPr>
        <w:spacing w:after="0" w:line="10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representative of the underwriters a portion of the underwriting discount received by it because the representative has repurchased units sold by or for the account of that underwriter in stabilizing or short covering transactions.</w:t>
      </w:r>
    </w:p>
    <w:p>
      <w:pPr>
        <w:spacing w:after="0" w:line="10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These stabilizing transactions, short sales, purchases to cover positions created by short sales, the imposition of penalty bids and syndicate covering transactions may have the effect of raising or maintaining the market price of our units or preventing or retarding a decline in the market price of our units. As a result of these activities, the price of our units may be higher than the price that otherwise might exist in the open market. The underwriters may carry out these transactions on the Nasdaq, in the over-the-counter market or otherwise. Neither we nor the underwriters make any representation or prediction as to the effect that the transactions described above may have on the price of the units. Neither we, nor the underwriters, make any representation that the underwriter will engage in these stabilization transactions or that any transaction, once commenced, will not be discontinued without notice.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Prior to this offering, there was no public market for our units. The initial public offering price will be determined by negotiation between us and the representative of the underwriters. The principal factors to be considered in determining the initial public offering price include:</w:t>
      </w:r>
    </w:p>
    <w:p>
      <w:pPr>
        <w:spacing w:after="0" w:line="116" w:lineRule="exact"/>
        <w:rPr>
          <w:sz w:val="20"/>
          <w:szCs w:val="20"/>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history and prospects and the history and prospects for the industry in which we compete;</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past and present financial performance;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prospects for future earnings and the present state of our development;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general condition of the securities market at the time of this offering;</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59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units of generally comparable companies;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units, subunits, warrants or common stock or that the units will trade in the public market at or above the initial public offering price.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Affiliations</w:t>
      </w:r>
    </w:p>
    <w:p>
      <w:pPr>
        <w:spacing w:after="0" w:line="16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EarlyBirdCapital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EarlyBirdCapital and its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also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6" w:name="page107"/>
    <w:bookmarkEnd w:id="10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Future Arrangements</w:t>
      </w:r>
    </w:p>
    <w:p>
      <w:pPr>
        <w:spacing w:after="0" w:line="14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Except as described above, we are not under any contractual obligation to engage any of the underwriters to provide any services for us after this offering, and have no present intent to do so. However,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underwriter and no fees for such services will be paid to any underwriter prior to the date that is 90 days from the date of this prospectus, unless FINRA determines that such payment would not be deemed underwriter’s compensation in connection with this offering.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EarlyBirdCapital has a “conflict of interest” within the meaning of FINRA Rule 5121(f)(5)(B) in this offering because one of its affiliates beneficially owns more than 10% of our shares. Accordingly, this offering is being made in compliance with the applicable requirements of FINRA Rule 5121. FINRA Rule 5121 requires that a “qualified independent underwriter,” as defined in FINRA Rule 5121, participate in the preparation of this prospectus and the registration statement of which it forms a part and exercise the usual standards of “due diligence” with respect thereto. I-Bankers has agreed to act as a “qualified independent underwriter” for this offering. I-Bankers will receive no other compensation in this offering other than customary underwriting commissions. We have agreed to indemnify I-Bankers against certain liabilities incurred in connection with acting as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Resale Restrictions</w:t>
      </w:r>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Representations of Purchasers</w:t>
      </w:r>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103" w:lineRule="exact"/>
        <w:rPr>
          <w:sz w:val="20"/>
          <w:szCs w:val="20"/>
          <w:color w:val="auto"/>
        </w:rPr>
      </w:pPr>
    </w:p>
    <w:p>
      <w:pPr>
        <w:ind w:left="1320" w:right="459" w:hanging="434"/>
        <w:spacing w:after="0" w:line="277" w:lineRule="auto"/>
        <w:tabs>
          <w:tab w:leader="none" w:pos="152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Rights of Action — Ontario Purchasers Only</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Enforcement of Legal Rights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Collection of Personal Information</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9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0"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1"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 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100" w:lineRule="exact"/>
        <w:rPr>
          <w:sz w:val="20"/>
          <w:szCs w:val="20"/>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57" w:lineRule="exact"/>
        <w:rPr>
          <w:rFonts w:ascii="Arial" w:cs="Arial" w:eastAsia="Arial" w:hAnsi="Arial"/>
          <w:sz w:val="18"/>
          <w:szCs w:val="18"/>
          <w:color w:val="auto"/>
        </w:rPr>
      </w:pPr>
    </w:p>
    <w:p>
      <w:pPr>
        <w:jc w:val="both"/>
        <w:ind w:left="1320" w:right="479" w:hanging="434"/>
        <w:spacing w:after="0" w:line="273" w:lineRule="auto"/>
        <w:tabs>
          <w:tab w:leader="none" w:pos="137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 for any such offer; or</w:t>
      </w:r>
    </w:p>
    <w:p>
      <w:pPr>
        <w:spacing w:after="0" w:line="110" w:lineRule="exact"/>
        <w:rPr>
          <w:rFonts w:ascii="Arial" w:cs="Arial" w:eastAsia="Arial" w:hAnsi="Arial"/>
          <w:sz w:val="17"/>
          <w:szCs w:val="17"/>
          <w:color w:val="auto"/>
        </w:rPr>
      </w:pPr>
    </w:p>
    <w:p>
      <w:pPr>
        <w:ind w:left="1320" w:right="459" w:hanging="434"/>
        <w:spacing w:after="0" w:line="277" w:lineRule="auto"/>
        <w:tabs>
          <w:tab w:leader="none" w:pos="1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9" w:name="page110"/>
    <w:bookmarkEnd w:id="10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Each purchaser of units described in this prospectus located within a relevant member state will be deemed to have represented, acknowledged and agreed that it is a “qualified investor” within the meaning of Article 2(1) (e) of the Prospectus Directive.</w:t>
      </w:r>
    </w:p>
    <w:p>
      <w:pPr>
        <w:spacing w:after="0" w:line="11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For the purpose of this provision, the expression an “offer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PD 2010 Amending Directive to the extent implemented by the relevant member state) and includes any relevant implementing measure in each relevant member state, and the expression 2010 PD Amending Directive means Directive 2010/73/EU.</w:t>
      </w:r>
    </w:p>
    <w:p>
      <w:pPr>
        <w:spacing w:after="0" w:line="111"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0"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94" w:lineRule="exact"/>
        <w:rPr>
          <w:sz w:val="20"/>
          <w:szCs w:val="20"/>
          <w:color w:val="auto"/>
        </w:rPr>
      </w:pPr>
    </w:p>
    <w:p>
      <w:pPr>
        <w:ind w:left="1300" w:hanging="414"/>
        <w:spacing w:after="0"/>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used in connection with any offer for subscription or sale of the units to the public in France.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58" w:lineRule="exact"/>
        <w:rPr>
          <w:sz w:val="20"/>
          <w:szCs w:val="20"/>
          <w:color w:val="auto"/>
        </w:rPr>
      </w:pPr>
    </w:p>
    <w:p>
      <w:pPr>
        <w:jc w:val="both"/>
        <w:ind w:left="1320" w:right="479" w:hanging="434"/>
        <w:spacing w:after="0" w:line="259"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89" w:lineRule="exact"/>
        <w:rPr>
          <w:rFonts w:ascii="Arial" w:cs="Arial" w:eastAsia="Arial" w:hAnsi="Arial"/>
          <w:sz w:val="18"/>
          <w:szCs w:val="18"/>
          <w:color w:val="auto"/>
        </w:rPr>
      </w:pPr>
    </w:p>
    <w:p>
      <w:pPr>
        <w:jc w:val="both"/>
        <w:ind w:left="1320" w:right="479" w:hanging="434"/>
        <w:spacing w:after="0" w:line="286" w:lineRule="auto"/>
        <w:tabs>
          <w:tab w:leader="none" w:pos="1527"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9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units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58" w:lineRule="exact"/>
        <w:rPr>
          <w:sz w:val="20"/>
          <w:szCs w:val="20"/>
          <w:color w:val="auto"/>
        </w:rPr>
      </w:pPr>
    </w:p>
    <w:p>
      <w:pPr>
        <w:jc w:val="both"/>
        <w:ind w:left="460" w:right="479"/>
        <w:spacing w:after="0" w:line="270"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 the units are subscribed or purchased under Section 275 of the SFA by a relevant person that is:</w:t>
      </w:r>
    </w:p>
    <w:p>
      <w:pPr>
        <w:spacing w:after="0" w:line="156" w:lineRule="exact"/>
        <w:rPr>
          <w:sz w:val="20"/>
          <w:szCs w:val="20"/>
          <w:color w:val="auto"/>
        </w:rPr>
      </w:pPr>
    </w:p>
    <w:p>
      <w:pPr>
        <w:jc w:val="both"/>
        <w:ind w:left="1320" w:right="459" w:hanging="434"/>
        <w:spacing w:after="0" w:line="263" w:lineRule="auto"/>
        <w:tabs>
          <w:tab w:leader="none" w:pos="13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14A of the SFA)) the sole business of which is to hold investments and the entire share capital of which is owned by one or more individuals, each of whom is an accredited investor,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96" w:lineRule="auto"/>
        <w:tabs>
          <w:tab w:leader="none" w:pos="139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3" w:lineRule="exact"/>
        <w:rPr>
          <w:rFonts w:ascii="Arial" w:cs="Arial" w:eastAsia="Arial" w:hAnsi="Arial"/>
          <w:sz w:val="16"/>
          <w:szCs w:val="16"/>
          <w:color w:val="auto"/>
        </w:rPr>
      </w:pPr>
    </w:p>
    <w:p>
      <w:pPr>
        <w:jc w:val="both"/>
        <w:ind w:left="1320" w:right="459" w:hanging="434"/>
        <w:spacing w:after="0" w:line="272" w:lineRule="auto"/>
        <w:tabs>
          <w:tab w:leader="none" w:pos="136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09" w:lineRule="exact"/>
        <w:rPr>
          <w:rFonts w:ascii="Arial" w:cs="Arial" w:eastAsia="Arial" w:hAnsi="Arial"/>
          <w:sz w:val="17"/>
          <w:szCs w:val="17"/>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Loeb &amp; Loeb LLP, New York, New York is acting as our counsel in connection with the registration of our securities under the Securities Act, and as such, will pass upon the validity of the securities offered in this offering. Loeb &amp; Loeb LLP represents EarlyBirdCapital, Inc. in matters unrelated to this offering. Graubard Miller, New York, New York, is acting as counsel to the underwriters.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financial statements of Archimedes Tech SPAC Partners Co. for the period from September 15, 2020 (inception) through December 31, 2020 included in this Prospectus have been audited by Marcum LLP, independent registered public accounting firm, as set forth in their report, thereon (which contains an explanatory paragraph relating to substantial doubt about the ability of Archimedes Tech SPAC Partners Co. to continue as a going concern as described in Note 1 to the financial statements), appearing elsewhere in this prospectus, and are included in reliance on such report given upon such firm as experts in auditing and accounting.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97"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with the SEC at its public reference facility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100 F Street, N.E., Washington, D.C. 20549.</w:t>
      </w:r>
    </w:p>
    <w:p>
      <w:pPr>
        <w:spacing w:after="0" w:line="12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6"/>
        </w:trPr>
        <w:tc>
          <w:tcPr>
            <w:tcW w:w="18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39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Report of Independent Registered Public Accounting Firm</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43"/>
        </w:trPr>
        <w:tc>
          <w:tcPr>
            <w:tcW w:w="728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820" w:type="dxa"/>
            <w:vAlign w:val="bottom"/>
          </w:tcPr>
          <w:p>
            <w:pPr>
              <w:spacing w:after="0"/>
              <w:rPr>
                <w:sz w:val="21"/>
                <w:szCs w:val="21"/>
                <w:color w:val="auto"/>
              </w:rPr>
            </w:pPr>
          </w:p>
        </w:tc>
      </w:tr>
      <w:tr>
        <w:trPr>
          <w:trHeight w:val="41"/>
        </w:trPr>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9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Balance Sheet as of December 31, 2020</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F-3</w:t>
            </w:r>
          </w:p>
        </w:tc>
      </w:tr>
      <w:tr>
        <w:trPr>
          <w:trHeight w:val="175"/>
        </w:trPr>
        <w:tc>
          <w:tcPr>
            <w:tcW w:w="6140" w:type="dxa"/>
            <w:vAlign w:val="bottom"/>
            <w:tcBorders>
              <w:bottom w:val="single" w:sz="8" w:color="0000EE"/>
            </w:tcBorders>
            <w:gridSpan w:val="4"/>
          </w:tcPr>
          <w:p>
            <w:pPr>
              <w:spacing w:after="0" w:line="176"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Statement of Operations for the period from September 15, 2020 (inception) through</w:t>
              </w:r>
            </w:hyperlink>
          </w:p>
        </w:tc>
        <w:tc>
          <w:tcPr>
            <w:tcW w:w="114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6"/>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December 31, 2020</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7"/>
            <w:shd w:val="clear" w:color="auto" w:fill="CCEEFF"/>
          </w:tcPr>
          <w:p>
            <w:pPr>
              <w:spacing w:after="0" w:line="176" w:lineRule="exact"/>
              <w:rPr>
                <w:rFonts w:ascii="Arial" w:cs="Arial" w:eastAsia="Arial" w:hAnsi="Arial"/>
                <w:sz w:val="18"/>
                <w:szCs w:val="18"/>
                <w:color w:val="0000EE"/>
                <w:w w:val="93"/>
              </w:rPr>
            </w:pPr>
            <w:hyperlink w:anchor="page118">
              <w:r>
                <w:rPr>
                  <w:rFonts w:ascii="Arial" w:cs="Arial" w:eastAsia="Arial" w:hAnsi="Arial"/>
                  <w:sz w:val="18"/>
                  <w:szCs w:val="18"/>
                  <w:color w:val="0000EE"/>
                  <w:w w:val="93"/>
                </w:rPr>
                <w:t>Statement of Changes in Stockholder’s Equity for the period from September 15, 2020 (inception)</w:t>
              </w:r>
            </w:hyperlink>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8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through December 31, 2020</w:t>
              </w:r>
            </w:hyperlink>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39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6200" w:type="dxa"/>
            <w:vAlign w:val="bottom"/>
            <w:tcBorders>
              <w:bottom w:val="single" w:sz="8" w:color="0000EE"/>
            </w:tcBorders>
            <w:gridSpan w:val="5"/>
          </w:tcPr>
          <w:p>
            <w:pPr>
              <w:spacing w:after="0" w:line="176" w:lineRule="exact"/>
              <w:rPr>
                <w:rFonts w:ascii="Arial" w:cs="Arial" w:eastAsia="Arial" w:hAnsi="Arial"/>
                <w:sz w:val="18"/>
                <w:szCs w:val="18"/>
                <w:color w:val="0000EE"/>
                <w:w w:val="91"/>
              </w:rPr>
            </w:pPr>
            <w:hyperlink w:anchor="page119">
              <w:r>
                <w:rPr>
                  <w:rFonts w:ascii="Arial" w:cs="Arial" w:eastAsia="Arial" w:hAnsi="Arial"/>
                  <w:sz w:val="18"/>
                  <w:szCs w:val="18"/>
                  <w:color w:val="0000EE"/>
                  <w:w w:val="91"/>
                </w:rPr>
                <w:t>Statement of Cash Flows for the period from September 15, 2020 (inception) through</w:t>
              </w:r>
            </w:hyperlink>
          </w:p>
        </w:tc>
        <w:tc>
          <w:tcPr>
            <w:tcW w:w="10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6"/>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December 31, 2020</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Notes to Financial Statements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F-7</w:t>
            </w:r>
          </w:p>
        </w:tc>
      </w:tr>
      <w:tr>
        <w:trPr>
          <w:trHeight w:val="392"/>
        </w:trPr>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4"/>
          </w:tcPr>
          <w:p>
            <w:pPr>
              <w:ind w:left="1720"/>
              <w:spacing w:after="0"/>
              <w:rPr>
                <w:sz w:val="20"/>
                <w:szCs w:val="20"/>
                <w:color w:val="auto"/>
              </w:rPr>
            </w:pPr>
            <w:r>
              <w:rPr>
                <w:rFonts w:ascii="Arial" w:cs="Arial" w:eastAsia="Arial" w:hAnsi="Arial"/>
                <w:sz w:val="18"/>
                <w:szCs w:val="18"/>
                <w:color w:val="auto"/>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Archimedes Tech SPAC Partners Co.</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We have audited the accompanying balance sheet of Archimedes Tech SPAC Partners Co. (the “Company”) as of December 31, 2020, the related statements of operations, stockholder’s equity, and cash flows for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September 15, 2020 (inception) through December 31, 2020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1 to the financial statements, the Company’s ability to execute its business plan is dependent upon its completion of the proposed initial public offering described in Note 3 to the financial statements. The Company has a working capital deficiency as of December 31, 2020, and lacks the financial resources it needs to sustain operations for a reasonable period of time, which is considered to be one year from issuance date of the financial statements. These conditions raise substantial doubt about the Company’s ability to continue as a going concern. Management’s plans with regard to these matters are also described in Notes 1 and 3. The financial statements do not include any adjustments that might become necessary should the Company be unable to continue as a going concern.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Marcum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2021.</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March 1, 2021, except for the seventh and eighth paragraphs of Note 8 as to which the date is March 12,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640" w:type="dxa"/>
            <w:vAlign w:val="bottom"/>
          </w:tcPr>
          <w:p>
            <w:pPr>
              <w:ind w:left="2220"/>
              <w:spacing w:after="0"/>
              <w:rPr>
                <w:sz w:val="20"/>
                <w:szCs w:val="20"/>
                <w:color w:val="auto"/>
              </w:rPr>
            </w:pPr>
            <w:r>
              <w:rPr>
                <w:rFonts w:ascii="Arial" w:cs="Arial" w:eastAsia="Arial" w:hAnsi="Arial"/>
                <w:sz w:val="18"/>
                <w:szCs w:val="18"/>
                <w:b w:val="1"/>
                <w:bCs w:val="1"/>
                <w:color w:val="auto"/>
              </w:rPr>
              <w:t>ARCHIMEDES TECH SPAC PARTNERS CO.</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280"/>
              <w:spacing w:after="0"/>
              <w:rPr>
                <w:sz w:val="20"/>
                <w:szCs w:val="20"/>
                <w:color w:val="auto"/>
              </w:rPr>
            </w:pPr>
            <w:r>
              <w:rPr>
                <w:rFonts w:ascii="Arial" w:cs="Arial" w:eastAsia="Arial" w:hAnsi="Arial"/>
                <w:sz w:val="18"/>
                <w:szCs w:val="18"/>
                <w:b w:val="1"/>
                <w:bCs w:val="1"/>
                <w:color w:val="auto"/>
              </w:rPr>
              <w:t>BALANCE SHEET</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3"/>
          </w:tcPr>
          <w:p>
            <w:pPr>
              <w:jc w:val="right"/>
              <w:ind w:right="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13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6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8"/>
                <w:szCs w:val="18"/>
                <w:color w:val="auto"/>
              </w:rPr>
              <w:t>Deferred offering cost</w:t>
            </w:r>
          </w:p>
        </w:tc>
        <w:tc>
          <w:tcPr>
            <w:tcW w:w="62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to related party</w:t>
            </w: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$0.0001 par value; 100,000,000 shares authorized; 0 shares issued and</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2020</w:t>
            </w: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6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r>
              <w:rPr>
                <w:rFonts w:ascii="Arial" w:cs="Arial" w:eastAsia="Arial" w:hAnsi="Arial"/>
                <w:sz w:val="18"/>
                <w:szCs w:val="18"/>
                <w:b w:val="1"/>
                <w:bCs w:val="1"/>
                <w:color w:val="auto"/>
              </w:rPr>
              <w:t>Total stockholder’s deficit</w:t>
            </w:r>
          </w:p>
        </w:tc>
        <w:tc>
          <w:tcPr>
            <w:tcW w:w="3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1043305</wp:posOffset>
            </wp:positionV>
            <wp:extent cx="514350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Formation cost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97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19748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Basic and diluted weighted average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96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Basic and diluted net loss per common stock</w:t>
      </w:r>
    </w:p>
    <w:p>
      <w:pPr>
        <w:spacing w:after="0" w:line="256" w:lineRule="exact"/>
        <w:rPr>
          <w:sz w:val="20"/>
          <w:szCs w:val="20"/>
          <w:color w:val="auto"/>
        </w:rPr>
      </w:pPr>
    </w:p>
    <w:p>
      <w:pPr>
        <w:jc w:val="center"/>
        <w:ind w:left="184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For the period</w:t>
      </w:r>
    </w:p>
    <w:p>
      <w:pPr>
        <w:spacing w:after="0" w:line="26" w:lineRule="exact"/>
        <w:rPr>
          <w:sz w:val="20"/>
          <w:szCs w:val="20"/>
          <w:color w:val="auto"/>
        </w:rPr>
      </w:pPr>
    </w:p>
    <w:p>
      <w:pPr>
        <w:jc w:val="center"/>
        <w:ind w:right="511"/>
        <w:spacing w:after="0"/>
        <w:rPr>
          <w:sz w:val="20"/>
          <w:szCs w:val="20"/>
          <w:color w:val="auto"/>
        </w:rPr>
      </w:pPr>
      <w:r>
        <w:rPr>
          <w:rFonts w:ascii="Arial" w:cs="Arial" w:eastAsia="Arial" w:hAnsi="Arial"/>
          <w:sz w:val="16"/>
          <w:szCs w:val="16"/>
          <w:b w:val="1"/>
          <w:bCs w:val="1"/>
          <w:color w:val="auto"/>
        </w:rPr>
        <w:t>from</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September 15,</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4"/>
          <w:szCs w:val="14"/>
          <w:b w:val="1"/>
          <w:bCs w:val="1"/>
          <w:color w:val="auto"/>
        </w:rPr>
        <w:t>2020 (inception)</w:t>
      </w:r>
    </w:p>
    <w:p>
      <w:pPr>
        <w:spacing w:after="0" w:line="42"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through</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2020</w:t>
      </w:r>
    </w:p>
    <w:p>
      <w:pPr>
        <w:spacing w:after="0" w:line="91" w:lineRule="exact"/>
        <w:rPr>
          <w:sz w:val="20"/>
          <w:szCs w:val="20"/>
          <w:color w:val="auto"/>
        </w:rPr>
      </w:pPr>
    </w:p>
    <w:p>
      <w:pPr>
        <w:ind w:left="828" w:hanging="828"/>
        <w:spacing w:after="0"/>
        <w:tabs>
          <w:tab w:leader="none" w:pos="8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029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3" w:lineRule="exact"/>
        <w:rPr>
          <w:sz w:val="20"/>
          <w:szCs w:val="20"/>
          <w:color w:val="auto"/>
        </w:rPr>
      </w:pPr>
    </w:p>
    <w:p>
      <w:pPr>
        <w:ind w:left="768" w:hanging="768"/>
        <w:spacing w:after="0"/>
        <w:tabs>
          <w:tab w:leader="none" w:pos="768" w:val="left"/>
        </w:tabs>
        <w:numPr>
          <w:ilvl w:val="0"/>
          <w:numId w:val="67"/>
        </w:numPr>
        <w:rPr>
          <w:rFonts w:ascii="Arial" w:cs="Arial" w:eastAsia="Arial" w:hAnsi="Arial"/>
          <w:sz w:val="17"/>
          <w:szCs w:val="17"/>
          <w:color w:val="auto"/>
        </w:rPr>
      </w:pPr>
      <w:r>
        <w:rPr>
          <w:rFonts w:ascii="Arial" w:cs="Arial" w:eastAsia="Arial" w:hAnsi="Arial"/>
          <w:sz w:val="17"/>
          <w:szCs w:val="17"/>
          <w:color w:val="auto"/>
        </w:rPr>
        <w:t>(716)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29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92" w:lineRule="exact"/>
        <w:rPr>
          <w:sz w:val="20"/>
          <w:szCs w:val="20"/>
          <w:color w:val="auto"/>
        </w:rPr>
      </w:pPr>
    </w:p>
    <w:p>
      <w:pPr>
        <w:ind w:left="928"/>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029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67" w:lineRule="exact"/>
        <w:rPr>
          <w:sz w:val="20"/>
          <w:szCs w:val="20"/>
          <w:color w:val="auto"/>
        </w:rPr>
      </w:pPr>
    </w:p>
    <w:p>
      <w:pPr>
        <w:ind w:left="928" w:hanging="928"/>
        <w:spacing w:after="0"/>
        <w:tabs>
          <w:tab w:leader="none" w:pos="9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029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029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ectPr>
          <w:pgSz w:w="11900" w:h="16838" w:orient="portrait"/>
          <w:cols w:equalWidth="0" w:num="2">
            <w:col w:w="7160" w:space="152"/>
            <w:col w:w="1707"/>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15, 2020 (INCEPTION) THROUGH DECEMBER 31, 2020</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80" w:type="dxa"/>
            <w:vAlign w:val="bottom"/>
            <w:gridSpan w:val="4"/>
            <w:vMerge w:val="restart"/>
          </w:tcPr>
          <w:p>
            <w:pPr>
              <w:ind w:left="5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w w:val="94"/>
              </w:rPr>
              <w:t>Additional</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ind w:right="161"/>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16"/>
        </w:trPr>
        <w:tc>
          <w:tcPr>
            <w:tcW w:w="2740" w:type="dxa"/>
            <w:vAlign w:val="bottom"/>
          </w:tcPr>
          <w:p>
            <w:pPr>
              <w:spacing w:after="0"/>
              <w:rPr>
                <w:sz w:val="10"/>
                <w:szCs w:val="10"/>
                <w:color w:val="auto"/>
              </w:rPr>
            </w:pPr>
          </w:p>
        </w:tc>
        <w:tc>
          <w:tcPr>
            <w:tcW w:w="188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center"/>
              <w:ind w:left="99"/>
              <w:spacing w:after="0" w:line="142" w:lineRule="exact"/>
              <w:rPr>
                <w:sz w:val="20"/>
                <w:szCs w:val="20"/>
                <w:color w:val="auto"/>
              </w:rPr>
            </w:pPr>
            <w:r>
              <w:rPr>
                <w:rFonts w:ascii="Arial" w:cs="Arial" w:eastAsia="Arial" w:hAnsi="Arial"/>
                <w:sz w:val="16"/>
                <w:szCs w:val="16"/>
                <w:b w:val="1"/>
                <w:bCs w:val="1"/>
                <w:color w:val="auto"/>
                <w:w w:val="93"/>
              </w:rPr>
              <w:t>Paid-in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060" w:type="dxa"/>
            <w:vAlign w:val="bottom"/>
            <w:gridSpan w:val="3"/>
            <w:vMerge w:val="restart"/>
          </w:tcPr>
          <w:p>
            <w:pPr>
              <w:jc w:val="center"/>
              <w:spacing w:after="0" w:line="14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760" w:type="dxa"/>
            <w:vAlign w:val="bottom"/>
          </w:tcPr>
          <w:p>
            <w:pPr>
              <w:ind w:left="260"/>
              <w:spacing w:after="0"/>
              <w:rPr>
                <w:sz w:val="20"/>
                <w:szCs w:val="20"/>
                <w:color w:val="auto"/>
              </w:rPr>
            </w:pPr>
            <w:r>
              <w:rPr>
                <w:rFonts w:ascii="Arial" w:cs="Arial" w:eastAsia="Arial" w:hAnsi="Arial"/>
                <w:sz w:val="16"/>
                <w:szCs w:val="16"/>
                <w:b w:val="1"/>
                <w:bCs w:val="1"/>
                <w:color w:val="auto"/>
                <w:w w:val="89"/>
              </w:rPr>
              <w:t>Shares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22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center"/>
              <w:ind w:left="139"/>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20"/>
                <w:szCs w:val="20"/>
                <w:color w:val="auto"/>
              </w:rPr>
            </w:pPr>
          </w:p>
        </w:tc>
        <w:tc>
          <w:tcPr>
            <w:tcW w:w="860" w:type="dxa"/>
            <w:vAlign w:val="bottom"/>
            <w:gridSpan w:val="2"/>
          </w:tcPr>
          <w:p>
            <w:pPr>
              <w:jc w:val="center"/>
              <w:ind w:right="121"/>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46"/>
        </w:trPr>
        <w:tc>
          <w:tcPr>
            <w:tcW w:w="27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4"/>
              </w:rPr>
              <w:t>Balance as of September 15, 2020</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1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4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Balance as of December 31, 2020</w:t>
            </w:r>
          </w:p>
        </w:tc>
        <w:tc>
          <w:tcPr>
            <w:tcW w:w="7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0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4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1043305</wp:posOffset>
            </wp:positionV>
            <wp:extent cx="514350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Adjustments to reconcile net cash used in operating activities:</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Formation cost paid by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514350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beginning of the period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968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Deferred offering cost paid by Sponsor in exchange for issuance of common stock</w:t>
      </w:r>
    </w:p>
    <w:p>
      <w:pPr>
        <w:spacing w:after="0" w:line="264" w:lineRule="exact"/>
        <w:rPr>
          <w:sz w:val="20"/>
          <w:szCs w:val="20"/>
          <w:color w:val="auto"/>
        </w:rPr>
      </w:pPr>
    </w:p>
    <w:p>
      <w:pPr>
        <w:jc w:val="center"/>
        <w:ind w:left="184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For the period</w:t>
      </w:r>
    </w:p>
    <w:p>
      <w:pPr>
        <w:spacing w:after="0" w:line="26"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from</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September 15,</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4"/>
          <w:szCs w:val="14"/>
          <w:b w:val="1"/>
          <w:bCs w:val="1"/>
          <w:color w:val="auto"/>
        </w:rPr>
        <w:t>2020 (inception)</w:t>
      </w:r>
    </w:p>
    <w:p>
      <w:pPr>
        <w:spacing w:after="0" w:line="42"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through</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2020</w:t>
      </w:r>
    </w:p>
    <w:p>
      <w:pPr>
        <w:spacing w:after="0" w:line="375" w:lineRule="exact"/>
        <w:rPr>
          <w:sz w:val="20"/>
          <w:szCs w:val="20"/>
          <w:color w:val="auto"/>
        </w:rPr>
      </w:pPr>
    </w:p>
    <w:p>
      <w:pPr>
        <w:ind w:left="768" w:hanging="768"/>
        <w:spacing w:after="0"/>
        <w:tabs>
          <w:tab w:leader="none" w:pos="768" w:val="left"/>
        </w:tabs>
        <w:numPr>
          <w:ilvl w:val="0"/>
          <w:numId w:val="69"/>
        </w:numPr>
        <w:rPr>
          <w:rFonts w:ascii="Arial" w:cs="Arial" w:eastAsia="Arial" w:hAnsi="Arial"/>
          <w:sz w:val="17"/>
          <w:szCs w:val="17"/>
          <w:color w:val="auto"/>
        </w:rPr>
      </w:pPr>
      <w:r>
        <w:rPr>
          <w:rFonts w:ascii="Arial" w:cs="Arial" w:eastAsia="Arial" w:hAnsi="Arial"/>
          <w:sz w:val="17"/>
          <w:szCs w:val="17"/>
          <w:color w:val="auto"/>
        </w:rPr>
        <w:t>(716)</w:t>
      </w:r>
    </w:p>
    <w:p>
      <w:pPr>
        <w:spacing w:after="0" w:line="385"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716</w:t>
      </w:r>
    </w:p>
    <w:p>
      <w:pPr>
        <w:spacing w:after="0" w:line="7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029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40" w:lineRule="exact"/>
        <w:rPr>
          <w:sz w:val="20"/>
          <w:szCs w:val="20"/>
          <w:color w:val="auto"/>
        </w:rPr>
      </w:pPr>
    </w:p>
    <w:p>
      <w:pPr>
        <w:ind w:left="928"/>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928"/>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029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53" w:lineRule="exact"/>
        <w:rPr>
          <w:sz w:val="20"/>
          <w:szCs w:val="20"/>
          <w:color w:val="auto"/>
        </w:rPr>
      </w:pPr>
    </w:p>
    <w:p>
      <w:pPr>
        <w:ind w:left="928" w:hanging="928"/>
        <w:spacing w:after="0"/>
        <w:tabs>
          <w:tab w:leader="none" w:pos="928"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029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28" w:hanging="928"/>
        <w:spacing w:after="0"/>
        <w:tabs>
          <w:tab w:leader="none" w:pos="9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029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ectPr>
          <w:pgSz w:w="11900" w:h="16838" w:orient="portrait"/>
          <w:cols w:equalWidth="0" w:num="2">
            <w:col w:w="7160" w:space="152"/>
            <w:col w:w="1707"/>
          </w:cols>
          <w:pgMar w:left="1440" w:top="274" w:right="1440" w:bottom="1440" w:gutter="0" w:footer="0" w:header="0"/>
        </w:sectPr>
      </w:pPr>
    </w:p>
    <w:bookmarkStart w:id="119" w:name="page120"/>
    <w:bookmarkEnd w:id="11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and Business Operation</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None of the Company’s officers, directors, promoters and other affiliates has engaged in any substantive discussions on its behalf with representatives of other companies regarding the possibility of a potential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158" w:lineRule="exact"/>
        <w:rPr>
          <w:sz w:val="20"/>
          <w:szCs w:val="20"/>
          <w:color w:val="auto"/>
        </w:rPr>
      </w:pPr>
    </w:p>
    <w:p>
      <w:pPr>
        <w:jc w:val="both"/>
        <w:ind w:left="460" w:right="479"/>
        <w:spacing w:after="0" w:line="272" w:lineRule="auto"/>
        <w:rPr>
          <w:sz w:val="20"/>
          <w:szCs w:val="20"/>
          <w:color w:val="auto"/>
        </w:rPr>
      </w:pPr>
      <w:r>
        <w:rPr>
          <w:rFonts w:ascii="Arial" w:cs="Arial" w:eastAsia="Arial" w:hAnsi="Arial"/>
          <w:sz w:val="17"/>
          <w:szCs w:val="17"/>
          <w:color w:val="auto"/>
        </w:rPr>
        <w:t>The Company was formed on September 15, 2020 and remained dormant through December 31, 2020. For the period from September 15, 2020 through December 31, 2020, there had been no activity since the formation of the entity and no equity shares were issued. The Company commenced operations on January 4, 2021 when the founder shares were issued.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w:t>
      </w:r>
    </w:p>
    <w:p>
      <w:pPr>
        <w:spacing w:after="0" w:line="9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Company’s Sponsor is Archimedes Tech SPAC Sponsors LLC, a Delaware limited liability company (the “Sponsor”). The Company’s ability to commence operations is contingent upon obtaining adequate financial resources through a proposed public offering of 12,000,000 units at $10.00 per unit (or 13,800,000 units if the underwriters’ over-allotment option is exercised in full) (the “Public Units”), which is discussed in Note 3 (the “Proposed Public Offering”), and the sale of 390,000 units (or 426,000 units if the underwriters’ over-allotment option is exercised in full) (the “Private Units”) at a price of $10.00 per Private Unit in a private placement to the Sponsor and EarlyBirdCapital, Inc., or EarlyBirdCapital, that will close simultaneously with the Proposed Public Offering. Each Public Unit consists of (i) one subunit (the “Public Subunit”), which consists of one share of common stock (the “Public Shares”) and one-quarter of one warrant (the “Public Warrants”), and (ii) one-quarter of one warrant (the “Public Warrants”); each whole warrant will be exercisable to purchase one share of common stock. Each Private Unit will also consist of (i) one subunit (the “Private Subunits”), which consists of one share of common stock (the “Private Shares”) and one-quarter of one warrant (the “Private Warrants”), and (ii) one-quarter of one warrant (the “Private Warrants”).</w:t>
      </w:r>
    </w:p>
    <w:p>
      <w:pPr>
        <w:spacing w:after="0" w:line="10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Company must complete one or more initial Business Combinations having an aggregate fair market value of at least 80% of the value of the assets held in the Trust Account (as defined below)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9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the closing of the Proposed Public Offering, management has agreed that an aggregate of $10.00 per Public Unit sold in the Proposed Public Offering (regardless of whether or not the over-allotment option is exercised), will be placed in a U.S.-based Trust Account maintained by Continental Stock Transfer &amp; Trust Company, acting as trustee pursuant to an agreement to be signed on the date of the Proposed Public Offering, The funds held in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shares of common stock subject to redemption will be recorded at a redemption value and classified as temporary equity upon the completion of the Proposed Public Offering,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8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Company will continue in existence only until 18 months from the closing of the Proposed Public Offering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31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 public stockholder will be entitled to receive funds from the Trust Account (including interest earned on his, her or its portion of the Trust Account to the extent not previously released to the Company) only in the event of</w:t>
      </w:r>
    </w:p>
    <w:p>
      <w:pPr>
        <w:jc w:val="both"/>
        <w:ind w:left="460" w:right="459" w:hanging="6"/>
        <w:spacing w:after="0" w:line="285" w:lineRule="auto"/>
        <w:tabs>
          <w:tab w:leader="none" w:pos="691"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07"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0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December 31, 2020, the Company had no cash and a working capital deficit of $716 (excluding deferred offering cost). The Company has incurred and expects to continue to incur significant costs in pursuit of its financing and acquisition plans. These conditions raise substantial doubt about the Company’s ability to continue as a going concern. Management plans to address this uncertainty through a Proposed Public Offering as discussed in Note 3. There is no assurance that the Company’s plans to raise capital or to consummate a Business Combination will be successful within the Combination Period. The financial statements do not include any adjustments that might result from the outcome of this uncertainty.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The accompanying financial statements are presented in conformity with accounting principles generally accepted in the United States of America (“US GAAP”) and pursuant to the rules and regulations of the SEC.</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58" w:lineRule="exact"/>
        <w:rPr>
          <w:sz w:val="20"/>
          <w:szCs w:val="20"/>
          <w:color w:val="auto"/>
        </w:rPr>
      </w:pPr>
    </w:p>
    <w:p>
      <w:pPr>
        <w:jc w:val="both"/>
        <w:ind w:left="460" w:right="479"/>
        <w:spacing w:after="0" w:line="290"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The Company did not have any cash equivalents as of December 31, 2020.</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Deferred offering costs consist of underwriting, legal, accounting and other expenses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Net loss per share is computed by dividing net loss by the weighted average number of common stock outstanding during the period, excluding common stocks subject to forfeiture by the Sponsor. Weighted average shares were reduced for the effect of an aggregate of 450,000 shares of common stock that are subject to forfeiture if the over-allotment option is not exercised by the underwriters (see Note 5). At December 31, 2021, the Company did not have any dilutive securities and other contracts that could, potentially, be exercised or converted into common stocks and then share in the earnings of the Company. As a result, diluted loss per share is the same as basic loss per share for the period presented.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97"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provision for income taxes was deemed to be immaterial for the period from September 15, 2020 (inception) through December 31, 2020. The Company’s deferred tax assets were deemed to be de minimis as of December 31, 2020,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standards, if currently adopted, would have a material effect on the Company’s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4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Pursuant to the Proposed Public Offering, the Company intends to offer for sale 12,000,000 Public Units, (or 13,800,000 Public Units if the underwriters’ over-allotment option is exercised in full) at a price of $10.00 per Public Unit. Each Public Unit consists of (i) one Public Subunit, which consists of one Public Share and one-quarter of one Public Warrant, and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Private Placement</w:t>
      </w:r>
    </w:p>
    <w:p>
      <w:pPr>
        <w:spacing w:after="0" w:line="14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Sponsor and EarlyBirdCapital have committed to purchase an aggregate of 390,000 Private Units of which 330,000 units shall be purchased by the Sponsor the 60,000 units shall be purchased by EarlyBirdCapital and/or its designees at $10.00 per unit (for a total purchase price of $3,900,000). These purchases will take place on a private placement basis simultaneously with the consummation of the Proposed Public Offering. The Sponsor and EarlyBirdCapital have also agreed that, if the over-allotment option is exercised by the underwriters in full or in part, they and/or their designees will purchase from the Company additional Private Units (up to a maximum of 36,000 Private Units at a price of $10.00 per Private Unit, of which up to 27,000 units will be purchased by the Sponsor and 9,000 units will be purchased by EarlyBirdCapital) necessary to maintain in the Trust Account $10.00 per unit sold to the public in the Proposed Public Offering.</w:t>
      </w:r>
    </w:p>
    <w:p>
      <w:pPr>
        <w:spacing w:after="0" w:line="85"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8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there were no founder shares issued and outstanding.</w:t>
      </w:r>
    </w:p>
    <w:p>
      <w:pPr>
        <w:spacing w:after="0" w:line="15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Company’s sponsor if the underwriters’ over-allotment option is not exercised in full) (See Note 8).</w:t>
      </w:r>
    </w:p>
    <w:p>
      <w:pPr>
        <w:spacing w:after="0" w:line="9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On the date of the Proposed Public Offering, the Founder Shares will be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shareholders having the right to exchange their shares of common stock for cash, securities or other property.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On January 4, 2021, the Sponsor agreed to loan the Company up to $300,000 to be used for a portion of the expenses of the Proposed Public Offering (the “Promissory Note”). These loans are non-interest bearing, unsecured and are due at the earlier of March 31, 2021 or the closing of the Proposed Public Offering. The Company intends to repay the loan from the proceeds of the Proposed Public Offering not being placed in trust upon consummation of the Proposed Public Offering.</w:t>
      </w:r>
    </w:p>
    <w:p>
      <w:pPr>
        <w:spacing w:after="0" w:line="10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On February 1, 2021, the Sponsor loaned to the Company $100,000 pursuant to the Promissory Note. On February 10, 2021, the Sponsor funded to the Company an additional $25,000 pursuant to the Promissory Note, for an aggregate amount of $125,000.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order to meet the working capital needs following the consummation of the Proposed Public Offering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Commencing on the date of the Proposed Public Offering through the acquisition of a target business, the Company will pay an affiliate of the Chief Executive Officer, an aggregate fee of $10,000 per month for providing the Company with office space and certain office and secretarial services.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 &amp;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holders of the Founder Shares and Representative Shares (as defined below) issued and outstanding on the date of the Proposed Public Offering, as well as the holders of the Private Units and any units the Sponsor, officers, directors or their affiliates may be issued in payment of Working Capital Loans made to the Company (and all underlying securities), will be entitled to registration rights pursuant to an agreement to be signed prior to or on the effective date of the Proposed Public Offering. The holders of a majority of these securities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&amp; Contingencies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Business Combination. Notwithstanding anything to the contrary, EarlyBirdCapital may only make a demand on one occasion and only during the five-year period beginning on the effective date of the registration statement.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Underwriters Agreement</w:t>
      </w:r>
    </w:p>
    <w:p>
      <w:pPr>
        <w:spacing w:after="0" w:line="13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Company will grant the underwriters a 45-day option from the date of the Proposed Public Offering to purchase up to an additional 1,800,000 Public Units to cover over-allotments, if any.</w:t>
      </w:r>
    </w:p>
    <w:p>
      <w:pPr>
        <w:spacing w:after="0" w:line="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underwriters will be entitled to a cash underwriting discount of two percent (2%) of the gross proceeds of the Proposed Public Offering, or $2,400,000 (or up to $2,760,000 if the underwriters’ over-allotment is exercised in full).</w:t>
      </w:r>
    </w:p>
    <w:p>
      <w:pPr>
        <w:spacing w:after="0" w:line="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EarlyBirdCapital will have the right of first refusal for a period commencing from the consummation of the Proposed Public Offering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98"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In addition, under certain circumstances EarlyBirdCapital will be granted, for a period of one year from the closing of the Proposed Public Offering,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public offering.</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11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Proposed Public Offering (exclusive of any applicable finders’ fees which might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Representative Shares</w:t>
      </w:r>
    </w:p>
    <w:p>
      <w:pPr>
        <w:spacing w:after="0" w:line="11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January 13, 2021, the Company has issued to EarlyBirdCapital and its designees an aggregate of 350,000 representative shares at $0.0001 per share (the “Representative Shares”).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(See Note 8).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&amp; Contingencies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date of the effectiveness of the registration statement pursuant to Rule 5110(g)(1) of the FINRA Manual. Pursuant to FINRA Rule 5110(g)(1),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at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(See Note 8). As of March 12, 2021, there were no shares of preferred stock issued or outstanding.</w:t>
      </w:r>
    </w:p>
    <w:p>
      <w:pPr>
        <w:spacing w:after="0" w:line="8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100,000,000 shares of common stock with a par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$0.0001 per share. Holders are entitled to one vote for each share of common stock. At December 31, 2020, there were no shares of common stock issued and outstanding. On January 4, 2021, the Sponsor paid $25,000 for 2,875,000 shares of common stock, par value $0.0001. Of the 2,875,000 shares of common stock, an aggregate of up to 375,000 shares of common stock are subject to forfeiture to the Company for no consideration to the extent that the underwriters’ over-allotment option is not exercised in full or in part, so that the initial stockholders will collectively own 20% of the Company’s issued and outstanding common stocks after the Proposed Public Offering. On March 10, 2021, the Company effected a stock dividend of 0.2 shares for each founder share outstanding, resulting in an aggregate of 3,450,000 founder shares outstanding and held by the Sponsor and the Company’s directors (up to 450,000 of which are subject to forfeiture by the Company’s sponsor if the underwriters’ over-allotment option is not exercised in full) and an aggregate of 420,000 representative shares outstanding and held by EarlyBirdCapital and its designees (See Note 8).</w:t>
      </w:r>
    </w:p>
    <w:p>
      <w:pPr>
        <w:spacing w:after="0" w:line="87"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No warrants are currently outstanding. Each whole warrant entitles the holder to purchase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93"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1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06" w:lineRule="exact"/>
        <w:rPr>
          <w:sz w:val="20"/>
          <w:szCs w:val="20"/>
          <w:color w:val="auto"/>
        </w:rPr>
      </w:pPr>
    </w:p>
    <w:p>
      <w:pPr>
        <w:ind w:left="1300" w:hanging="41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57" w:lineRule="exact"/>
        <w:rPr>
          <w:rFonts w:ascii="Arial" w:cs="Arial" w:eastAsia="Arial" w:hAnsi="Arial"/>
          <w:sz w:val="18"/>
          <w:szCs w:val="18"/>
          <w:color w:val="auto"/>
        </w:rPr>
      </w:pPr>
    </w:p>
    <w:p>
      <w:pPr>
        <w:jc w:val="center"/>
        <w:ind w:left="4340" w:right="1559" w:hanging="3454"/>
        <w:spacing w:after="0" w:line="481" w:lineRule="auto"/>
        <w:tabs>
          <w:tab w:leader="none" w:pos="13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89" w:lineRule="exact"/>
        <w:rPr>
          <w:sz w:val="20"/>
          <w:szCs w:val="20"/>
          <w:color w:val="auto"/>
        </w:rPr>
      </w:pPr>
    </w:p>
    <w:p>
      <w:pPr>
        <w:jc w:val="both"/>
        <w:ind w:left="1320" w:right="479" w:hanging="434"/>
        <w:spacing w:after="0" w:line="257" w:lineRule="auto"/>
        <w:tabs>
          <w:tab w:leader="none" w:pos="13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20"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March 1, 2021, the date that the financial statements were issued.</w:t>
      </w:r>
    </w:p>
    <w:p>
      <w:pPr>
        <w:spacing w:after="0" w:line="10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 January 4, 2021, the Sponsor paid $25,000, or approximately $0.009 per share, to cover certain offering costs in consideration for 2,875,000 shares of common stock, par value $0.0001.</w:t>
      </w:r>
    </w:p>
    <w:p>
      <w:pPr>
        <w:spacing w:after="0" w:line="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 January 4, 2021, the Sponsor agreed to loan the Company up to $300,000 to be used for a portion of the expenses of the Proposed Public Offering.</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January 13, 2021, the Sponsor sold 25,000 Founder Shares to each of Mr. Edwards, Mr. Julia and Mr. Pai, for an aggregate of 75,000 founder share, at approximately $0.009 per share, the same as the Sponsor’s original effective purchase price for the Founder Shares.</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On January 13, 2021, the Company issued to EarlyBirdCapital and its designees an aggregate of 350,000 representative shares at $0.0001 per share.</w:t>
      </w:r>
    </w:p>
    <w:p>
      <w:pPr>
        <w:spacing w:after="0" w:line="8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February 1, 2021, the Sponsor funded to the Company $100,000 pursuant to the Promissory Note. On February 10, 2021, the Sponsor funded to the Company an additional $25,000 pursuant to the Promissory Note, for an aggregate amount of $125,000.</w:t>
      </w:r>
    </w:p>
    <w:p>
      <w:pPr>
        <w:spacing w:after="0" w:line="11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On March 10, 2021, the Company effected a stock dividend of 0.2 shares for each founder share outstanding, resulting in an aggregate of 3,450,000 founder shares outstanding and held by the Sponsor and the Company’s directors (up to 450,000 of which are subject to forfeiture by the Company’s sponsor if the underwriters’ over-allotment option is not exercised in full) and an aggregate of 420,000 representative shares outstanding and held by EarlyBirdCapital and its designees. The financial statements have been retroactively restated to reflect the stock dividend that occurred in March 2021.</w:t>
      </w:r>
    </w:p>
    <w:p>
      <w:pPr>
        <w:spacing w:after="0" w:line="11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On March 10, 2021, the Company filed an amended and restated certificate of incorporation with the State of Delaware which authorized the Company to issue 100,000,000 shares of common stock with a par value of $0.0001 per share and 1,000,000 shares of preferred stock at a par value of $0.0001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12,000,000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Archimedes Tech SPAC Partners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March 10, 2021</w:t>
      </w:r>
    </w:p>
    <w:p>
      <w:pPr>
        <w:spacing w:after="0" w:line="7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EarlyBirdCapital, Inc.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Co-Manager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I-Bankers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Until April 4, 2021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676275</wp:posOffset>
            </wp:positionV>
            <wp:extent cx="514350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718820</wp:posOffset>
            </wp:positionV>
            <wp:extent cx="514350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993140</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decimal"/>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0"/>
      <w:numFmt w:val="bullet"/>
      <w:start w:val="1"/>
    </w:lvl>
  </w:abstractNum>
  <w:abstractNum w:abstractNumId="3">
    <w:nsid w:val="5E884ADC"/>
    <w:multiLevelType w:val="hybridMultilevel"/>
    <w:lvl w:ilvl="0">
      <w:lvlJc w:val="left"/>
      <w:lvlText w:val="0"/>
      <w:numFmt w:val="bullet"/>
      <w:start w:val="1"/>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1)"/>
      <w:numFmt w:val="lowerLetter"/>
      <w:start w:val="24"/>
    </w:lvl>
  </w:abstractNum>
  <w:abstractNum w:abstractNumId="6">
    <w:nsid w:val="580BD78F"/>
    <w:multiLevelType w:val="hybridMultilevel"/>
    <w:lvl w:ilvl="0">
      <w:lvlJc w:val="left"/>
      <w:lvlText w:val="(%1)"/>
      <w:numFmt w:val="lowerLetter"/>
      <w:start w:val="26"/>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1)"/>
      <w:numFmt w:val="lowerRoman"/>
      <w:start w:val="2"/>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lvl w:ilvl="1">
      <w:lvlJc w:val="left"/>
      <w:lvlText w:val="(%2)"/>
      <w:numFmt w:val="decimal"/>
      <w:start w:val="2"/>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decimal"/>
      <w:start w:val="2"/>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lowerRoman"/>
      <w:start w:val="3"/>
    </w:lvl>
  </w:abstractNum>
  <w:abstractNum w:abstractNumId="45">
    <w:nsid w:val="741226BB"/>
    <w:multiLevelType w:val="hybridMultilevel"/>
    <w:lvl w:ilvl="0">
      <w:lvlJc w:val="left"/>
      <w:lvlText w:val="(%1)"/>
      <w:numFmt w:val="upperLetter"/>
      <w:start w:val="2"/>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1)"/>
      <w:numFmt w:val="upperLetter"/>
      <w:start w:val="2"/>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1)"/>
      <w:numFmt w:val="lowerRoman"/>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1)"/>
      <w:numFmt w:val="lowerRoman"/>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2021-03-12T16:39:51Z</dcterms:created>
  <dcterms:modified xsi:type="dcterms:W3CDTF">2021-03-12T16:39:51Z</dcterms:modified>
</cp:coreProperties>
</file>