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FORM 12b-25</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NOTIFICATION OF LATE FILING</w:t>
      </w:r>
    </w:p>
    <w:p>
      <w:pPr>
        <w:spacing w:after="0" w:line="196" w:lineRule="exact"/>
        <w:rPr>
          <w:sz w:val="24"/>
          <w:szCs w:val="24"/>
          <w:color w:val="auto"/>
        </w:rPr>
      </w:pPr>
    </w:p>
    <w:p>
      <w:pPr>
        <w:ind w:left="340"/>
        <w:spacing w:after="0" w:line="207" w:lineRule="exact"/>
        <w:tabs>
          <w:tab w:leader="none" w:pos="5000" w:val="left"/>
        </w:tabs>
        <w:rPr>
          <w:sz w:val="20"/>
          <w:szCs w:val="20"/>
          <w:color w:val="auto"/>
        </w:rPr>
      </w:pPr>
      <w:r>
        <w:rPr>
          <w:rFonts w:ascii="Arial" w:cs="Arial" w:eastAsia="Arial" w:hAnsi="Arial"/>
          <w:sz w:val="18"/>
          <w:szCs w:val="18"/>
          <w:color w:val="auto"/>
        </w:rPr>
        <w:t xml:space="preserve">(Check One): </w:t>
      </w:r>
      <w:r>
        <w:rPr>
          <w:rFonts w:ascii="MS PGothic" w:cs="MS PGothic" w:eastAsia="MS PGothic" w:hAnsi="MS PGothic"/>
          <w:sz w:val="18"/>
          <w:szCs w:val="18"/>
          <w:color w:val="auto"/>
        </w:rPr>
        <w:t>☐</w:t>
      </w:r>
      <w:r>
        <w:rPr>
          <w:rFonts w:ascii="Arial" w:cs="Arial" w:eastAsia="Arial" w:hAnsi="Arial"/>
          <w:sz w:val="18"/>
          <w:szCs w:val="18"/>
          <w:color w:val="auto"/>
        </w:rPr>
        <w:t xml:space="preserve"> Form 10-K </w:t>
      </w:r>
      <w:r>
        <w:rPr>
          <w:rFonts w:ascii="MS PGothic" w:cs="MS PGothic" w:eastAsia="MS PGothic" w:hAnsi="MS PGothic"/>
          <w:sz w:val="18"/>
          <w:szCs w:val="18"/>
          <w:color w:val="auto"/>
        </w:rPr>
        <w:t>☐</w:t>
      </w:r>
      <w:r>
        <w:rPr>
          <w:rFonts w:ascii="Arial" w:cs="Arial" w:eastAsia="Arial" w:hAnsi="Arial"/>
          <w:sz w:val="18"/>
          <w:szCs w:val="18"/>
          <w:color w:val="auto"/>
        </w:rPr>
        <w:t xml:space="preserve"> Form 20-F </w:t>
      </w:r>
      <w:r>
        <w:rPr>
          <w:rFonts w:ascii="MS PGothic" w:cs="MS PGothic" w:eastAsia="MS PGothic" w:hAnsi="MS PGothic"/>
          <w:sz w:val="18"/>
          <w:szCs w:val="18"/>
          <w:color w:val="auto"/>
        </w:rPr>
        <w:t>☐</w:t>
      </w:r>
      <w:r>
        <w:rPr>
          <w:rFonts w:ascii="Arial" w:cs="Arial" w:eastAsia="Arial" w:hAnsi="Arial"/>
          <w:sz w:val="18"/>
          <w:szCs w:val="18"/>
          <w:color w:val="auto"/>
        </w:rPr>
        <w:t xml:space="preserve"> Form 11-K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10-Q </w:t>
      </w:r>
      <w:r>
        <w:rPr>
          <w:rFonts w:ascii="MS PGothic" w:cs="MS PGothic" w:eastAsia="MS PGothic" w:hAnsi="MS PGothic"/>
          <w:sz w:val="17"/>
          <w:szCs w:val="17"/>
          <w:color w:val="auto"/>
        </w:rPr>
        <w:t>☐</w:t>
      </w:r>
      <w:r>
        <w:rPr>
          <w:rFonts w:ascii="Arial" w:cs="Arial" w:eastAsia="Arial" w:hAnsi="Arial"/>
          <w:sz w:val="17"/>
          <w:szCs w:val="17"/>
          <w:color w:val="auto"/>
        </w:rPr>
        <w:t xml:space="preserve"> Form 10-D </w:t>
      </w:r>
      <w:r>
        <w:rPr>
          <w:rFonts w:ascii="MS PGothic" w:cs="MS PGothic" w:eastAsia="MS PGothic" w:hAnsi="MS PGothic"/>
          <w:sz w:val="17"/>
          <w:szCs w:val="17"/>
          <w:color w:val="auto"/>
        </w:rPr>
        <w:t>☐</w:t>
      </w:r>
      <w:r>
        <w:rPr>
          <w:rFonts w:ascii="Arial" w:cs="Arial" w:eastAsia="Arial" w:hAnsi="Arial"/>
          <w:sz w:val="17"/>
          <w:szCs w:val="17"/>
          <w:color w:val="auto"/>
        </w:rPr>
        <w:t xml:space="preserve"> Form N-CEN </w:t>
      </w:r>
      <w:r>
        <w:rPr>
          <w:rFonts w:ascii="MS PGothic" w:cs="MS PGothic" w:eastAsia="MS PGothic" w:hAnsi="MS PGothic"/>
          <w:sz w:val="17"/>
          <w:szCs w:val="17"/>
          <w:color w:val="auto"/>
        </w:rPr>
        <w:t>☐</w:t>
      </w:r>
      <w:r>
        <w:rPr>
          <w:rFonts w:ascii="Arial" w:cs="Arial" w:eastAsia="Arial" w:hAnsi="Arial"/>
          <w:sz w:val="17"/>
          <w:szCs w:val="17"/>
          <w:color w:val="auto"/>
        </w:rPr>
        <w:t xml:space="preserve"> Form N-CSR</w:t>
      </w:r>
    </w:p>
    <w:p>
      <w:pPr>
        <w:spacing w:after="0" w:line="258" w:lineRule="exact"/>
        <w:rPr>
          <w:sz w:val="24"/>
          <w:szCs w:val="24"/>
          <w:color w:val="auto"/>
        </w:rPr>
      </w:pPr>
    </w:p>
    <w:p>
      <w:pPr>
        <w:ind w:left="660"/>
        <w:spacing w:after="0"/>
        <w:rPr>
          <w:sz w:val="20"/>
          <w:szCs w:val="20"/>
          <w:color w:val="auto"/>
        </w:rPr>
      </w:pPr>
      <w:r>
        <w:rPr>
          <w:rFonts w:ascii="Arial" w:cs="Arial" w:eastAsia="Arial" w:hAnsi="Arial"/>
          <w:sz w:val="18"/>
          <w:szCs w:val="18"/>
          <w:color w:val="auto"/>
        </w:rPr>
        <w:t xml:space="preserve">For Period Ended: </w:t>
      </w:r>
      <w:r>
        <w:rPr>
          <w:rFonts w:ascii="Arial" w:cs="Arial" w:eastAsia="Arial" w:hAnsi="Arial"/>
          <w:sz w:val="18"/>
          <w:szCs w:val="18"/>
          <w:u w:val="single" w:color="auto"/>
          <w:color w:val="auto"/>
        </w:rPr>
        <w:t>March 31, 2022</w:t>
      </w:r>
    </w:p>
    <w:p>
      <w:pPr>
        <w:spacing w:after="0" w:line="225" w:lineRule="exact"/>
        <w:rPr>
          <w:sz w:val="24"/>
          <w:szCs w:val="24"/>
          <w:color w:val="auto"/>
        </w:rPr>
      </w:pPr>
    </w:p>
    <w:p>
      <w:pPr>
        <w:ind w:left="860" w:hanging="20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10-K</w:t>
      </w:r>
    </w:p>
    <w:p>
      <w:pPr>
        <w:spacing w:after="0" w:line="25" w:lineRule="exact"/>
        <w:rPr>
          <w:rFonts w:ascii="MS PGothic" w:cs="MS PGothic" w:eastAsia="MS PGothic" w:hAnsi="MS PGothic"/>
          <w:sz w:val="18"/>
          <w:szCs w:val="18"/>
          <w:color w:val="auto"/>
        </w:rPr>
      </w:pPr>
    </w:p>
    <w:p>
      <w:pPr>
        <w:ind w:left="860" w:hanging="20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20-F</w:t>
      </w:r>
    </w:p>
    <w:p>
      <w:pPr>
        <w:spacing w:after="0" w:line="9" w:lineRule="exact"/>
        <w:rPr>
          <w:rFonts w:ascii="MS PGothic" w:cs="MS PGothic" w:eastAsia="MS PGothic" w:hAnsi="MS PGothic"/>
          <w:sz w:val="18"/>
          <w:szCs w:val="18"/>
          <w:color w:val="auto"/>
        </w:rPr>
      </w:pPr>
    </w:p>
    <w:p>
      <w:pPr>
        <w:ind w:left="860" w:hanging="20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11-K</w:t>
      </w:r>
    </w:p>
    <w:p>
      <w:pPr>
        <w:spacing w:after="0" w:line="9" w:lineRule="exact"/>
        <w:rPr>
          <w:rFonts w:ascii="MS PGothic" w:cs="MS PGothic" w:eastAsia="MS PGothic" w:hAnsi="MS PGothic"/>
          <w:sz w:val="18"/>
          <w:szCs w:val="18"/>
          <w:color w:val="auto"/>
        </w:rPr>
      </w:pPr>
    </w:p>
    <w:p>
      <w:pPr>
        <w:ind w:left="860" w:hanging="20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10-Q</w:t>
      </w:r>
    </w:p>
    <w:p>
      <w:pPr>
        <w:spacing w:after="0" w:line="209" w:lineRule="exact"/>
        <w:rPr>
          <w:sz w:val="24"/>
          <w:szCs w:val="24"/>
          <w:color w:val="auto"/>
        </w:rPr>
      </w:pPr>
    </w:p>
    <w:p>
      <w:pPr>
        <w:ind w:left="660"/>
        <w:spacing w:after="0"/>
        <w:rPr>
          <w:sz w:val="20"/>
          <w:szCs w:val="20"/>
          <w:color w:val="auto"/>
        </w:rPr>
      </w:pPr>
      <w:r>
        <w:rPr>
          <w:rFonts w:ascii="Arial" w:cs="Arial" w:eastAsia="Arial" w:hAnsi="Arial"/>
          <w:sz w:val="18"/>
          <w:szCs w:val="18"/>
          <w:color w:val="auto"/>
        </w:rPr>
        <w:t>For the Transition Period Ended: _____________________________________</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Read Instructions (on back page) Before Preparing Form. Please Print or Type.</w:t>
      </w:r>
    </w:p>
    <w:p>
      <w:pPr>
        <w:spacing w:after="0" w:line="225" w:lineRule="exact"/>
        <w:rPr>
          <w:sz w:val="24"/>
          <w:szCs w:val="24"/>
          <w:color w:val="auto"/>
        </w:rPr>
      </w:pPr>
    </w:p>
    <w:p>
      <w:pPr>
        <w:jc w:val="center"/>
        <w:ind w:left="400"/>
        <w:spacing w:after="0" w:line="277" w:lineRule="auto"/>
        <w:rPr>
          <w:sz w:val="20"/>
          <w:szCs w:val="20"/>
          <w:color w:val="auto"/>
        </w:rPr>
      </w:pPr>
      <w:r>
        <w:rPr>
          <w:rFonts w:ascii="Arial" w:cs="Arial" w:eastAsia="Arial" w:hAnsi="Arial"/>
          <w:sz w:val="18"/>
          <w:szCs w:val="18"/>
          <w:color w:val="auto"/>
        </w:rPr>
        <w:t>NOTHING IN THIS FORM SHALL BE CONSTRUED TO IMPLY THAT THE COMMISSION HAS VERIFIED ANY INFORMATION CONTAINED HEREIN.</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If the notification relates to a portion of the filing checked above, identify the Item(s) to which the notification relates:</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PART I -- REGISTRANT INFORMATION</w:t>
      </w:r>
    </w:p>
    <w:p>
      <w:pPr>
        <w:sectPr>
          <w:pgSz w:w="11900" w:h="16838" w:orient="portrait"/>
          <w:cols w:equalWidth="0" w:num="1">
            <w:col w:w="11240"/>
          </w:cols>
          <w:pgMar w:left="320" w:top="513" w:right="339" w:bottom="1440" w:gutter="0" w:footer="0" w:header="0"/>
        </w:sectPr>
      </w:pP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Full Name of Registrant:</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Former Name if Applicable:</w:t>
      </w:r>
    </w:p>
    <w:p>
      <w:pPr>
        <w:spacing w:after="0" w:line="9" w:lineRule="exact"/>
        <w:rPr>
          <w:sz w:val="24"/>
          <w:szCs w:val="24"/>
          <w:color w:val="auto"/>
        </w:rPr>
      </w:pPr>
    </w:p>
    <w:p>
      <w:pPr>
        <w:spacing w:after="0"/>
        <w:rPr>
          <w:sz w:val="20"/>
          <w:szCs w:val="20"/>
          <w:color w:val="auto"/>
        </w:rPr>
      </w:pPr>
      <w:r>
        <w:rPr>
          <w:rFonts w:ascii="Arial" w:cs="Arial" w:eastAsia="Arial" w:hAnsi="Arial"/>
          <w:sz w:val="16"/>
          <w:szCs w:val="16"/>
          <w:color w:val="auto"/>
        </w:rPr>
        <w:t>Address of Principal Executive Office (Street and Number):</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City, State and Zip Code:</w:t>
      </w:r>
    </w:p>
    <w:p>
      <w:pPr>
        <w:spacing w:after="0" w:line="20" w:lineRule="exact"/>
        <w:rPr>
          <w:sz w:val="24"/>
          <w:szCs w:val="24"/>
          <w:color w:val="auto"/>
        </w:rPr>
      </w:pPr>
      <w:r>
        <w:rPr>
          <w:sz w:val="24"/>
          <w:szCs w:val="24"/>
          <w:color w:val="auto"/>
        </w:rPr>
        <w:br w:type="column"/>
      </w:r>
    </w:p>
    <w:p>
      <w:pPr>
        <w:spacing w:after="0" w:line="209" w:lineRule="exact"/>
        <w:rPr>
          <w:sz w:val="24"/>
          <w:szCs w:val="24"/>
          <w:color w:val="auto"/>
        </w:rPr>
      </w:pPr>
    </w:p>
    <w:p>
      <w:pPr>
        <w:spacing w:after="0"/>
        <w:rPr>
          <w:sz w:val="20"/>
          <w:szCs w:val="20"/>
          <w:color w:val="auto"/>
        </w:rPr>
      </w:pPr>
      <w:r>
        <w:rPr>
          <w:rFonts w:ascii="Arial" w:cs="Arial" w:eastAsia="Arial" w:hAnsi="Arial"/>
          <w:sz w:val="18"/>
          <w:szCs w:val="18"/>
          <w:color w:val="auto"/>
        </w:rPr>
        <w:t>SOUNDHOUND AI, INC.</w:t>
      </w:r>
    </w:p>
    <w:p>
      <w:pPr>
        <w:spacing w:after="0" w:line="23" w:lineRule="exact"/>
        <w:rPr>
          <w:sz w:val="24"/>
          <w:szCs w:val="24"/>
          <w:color w:val="auto"/>
        </w:rPr>
      </w:pPr>
    </w:p>
    <w:p>
      <w:pPr>
        <w:spacing w:after="0"/>
        <w:rPr>
          <w:sz w:val="20"/>
          <w:szCs w:val="20"/>
          <w:color w:val="auto"/>
        </w:rPr>
      </w:pPr>
      <w:r>
        <w:rPr>
          <w:rFonts w:ascii="Arial" w:cs="Arial" w:eastAsia="Arial" w:hAnsi="Arial"/>
          <w:sz w:val="16"/>
          <w:szCs w:val="16"/>
          <w:color w:val="auto"/>
        </w:rPr>
        <w:t>ARCHIMEDES TECH SPAC PARTNERS CO.</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5400 Betsy Ross Drive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Santa Clara, CA 95054</w:t>
      </w:r>
    </w:p>
    <w:p>
      <w:pPr>
        <w:spacing w:after="0" w:line="200" w:lineRule="exact"/>
        <w:rPr>
          <w:sz w:val="24"/>
          <w:szCs w:val="24"/>
          <w:color w:val="auto"/>
        </w:rPr>
      </w:pPr>
    </w:p>
    <w:p>
      <w:pPr>
        <w:sectPr>
          <w:pgSz w:w="11900" w:h="16838" w:orient="portrait"/>
          <w:cols w:equalWidth="0" w:num="2">
            <w:col w:w="4900" w:space="720"/>
            <w:col w:w="5620"/>
          </w:cols>
          <w:pgMar w:left="320" w:top="513" w:right="339" w:bottom="1440" w:gutter="0" w:footer="0" w:header="0"/>
          <w:type w:val="continuous"/>
        </w:sectPr>
      </w:pPr>
    </w:p>
    <w:p>
      <w:pPr>
        <w:spacing w:after="0" w:line="7"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PART II - RULES 12b-25(b) AND (c)</w:t>
      </w:r>
    </w:p>
    <w:p>
      <w:pPr>
        <w:sectPr>
          <w:pgSz w:w="11900" w:h="16838" w:orient="portrait"/>
          <w:cols w:equalWidth="0" w:num="1">
            <w:col w:w="11240"/>
          </w:cols>
          <w:pgMar w:left="320" w:top="513" w:right="339" w:bottom="1440" w:gutter="0" w:footer="0" w:header="0"/>
          <w:type w:val="continuous"/>
        </w:sectPr>
      </w:pPr>
    </w:p>
    <w:p>
      <w:pPr>
        <w:spacing w:after="0" w:line="2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If the subject report could not be filed without unreasonable effort or expense and the registrant seeks relief pursuant to Rule 12b-25(b), the following should be completed (Check box if appropriate)</w:t>
      </w:r>
    </w:p>
    <w:p>
      <w:pPr>
        <w:spacing w:after="0" w:line="170" w:lineRule="exact"/>
        <w:rPr>
          <w:sz w:val="24"/>
          <w:szCs w:val="24"/>
          <w:color w:val="auto"/>
        </w:rPr>
      </w:pPr>
    </w:p>
    <w:p>
      <w:pPr>
        <w:ind w:left="980" w:hanging="324"/>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The reason described in reasonable detail in Part III of this form could not be eliminated without unreasonable effort or expense;</w:t>
      </w:r>
    </w:p>
    <w:p>
      <w:pPr>
        <w:spacing w:after="0" w:line="36" w:lineRule="exact"/>
        <w:rPr>
          <w:rFonts w:ascii="Arial" w:cs="Arial" w:eastAsia="Arial" w:hAnsi="Arial"/>
          <w:sz w:val="18"/>
          <w:szCs w:val="18"/>
          <w:color w:val="auto"/>
        </w:rPr>
      </w:pPr>
    </w:p>
    <w:p>
      <w:pPr>
        <w:ind w:left="980" w:hanging="324"/>
        <w:spacing w:after="0"/>
        <w:tabs>
          <w:tab w:leader="none" w:pos="980" w:val="left"/>
        </w:tabs>
        <w:numPr>
          <w:ilvl w:val="1"/>
          <w:numId w:val="2"/>
        </w:numPr>
        <w:rPr>
          <w:rFonts w:ascii="Arial" w:cs="Arial" w:eastAsia="Arial" w:hAnsi="Arial"/>
          <w:sz w:val="17"/>
          <w:szCs w:val="17"/>
          <w:color w:val="auto"/>
        </w:rPr>
      </w:pPr>
      <w:r>
        <w:rPr>
          <w:rFonts w:ascii="Arial" w:cs="Arial" w:eastAsia="Arial" w:hAnsi="Arial"/>
          <w:sz w:val="17"/>
          <w:szCs w:val="17"/>
          <w:color w:val="auto"/>
        </w:rPr>
        <w:t>The subject annual report, semi-annual report, transition report on Form 10-K, Form 20-F, Form 11-K, Form N-CEN or Form N-CSR, or</w:t>
      </w:r>
    </w:p>
    <w:p>
      <w:pPr>
        <w:spacing w:after="0" w:line="34" w:lineRule="exact"/>
        <w:rPr>
          <w:rFonts w:ascii="Arial" w:cs="Arial" w:eastAsia="Arial" w:hAnsi="Arial"/>
          <w:sz w:val="17"/>
          <w:szCs w:val="17"/>
          <w:color w:val="auto"/>
        </w:rPr>
      </w:pPr>
    </w:p>
    <w:p>
      <w:pPr>
        <w:jc w:val="both"/>
        <w:ind w:left="980" w:hanging="729"/>
        <w:spacing w:after="0" w:line="200" w:lineRule="auto"/>
        <w:tabs>
          <w:tab w:leader="none" w:pos="980" w:val="left"/>
        </w:tabs>
        <w:numPr>
          <w:ilvl w:val="0"/>
          <w:numId w:val="2"/>
        </w:numPr>
        <w:rPr>
          <w:rFonts w:ascii="MS PGothic" w:cs="MS PGothic" w:eastAsia="MS PGothic" w:hAnsi="MS PGothic"/>
          <w:sz w:val="36"/>
          <w:szCs w:val="36"/>
          <w:color w:val="auto"/>
          <w:vertAlign w:val="subscript"/>
        </w:rPr>
      </w:pPr>
      <w:r>
        <w:rPr>
          <w:rFonts w:ascii="Arial" w:cs="Arial" w:eastAsia="Arial" w:hAnsi="Arial"/>
          <w:sz w:val="18"/>
          <w:szCs w:val="18"/>
          <w:color w:val="auto"/>
        </w:rPr>
        <w:t>portion thereof, will be filed on or before the fifteenth calendar day following the prescribed due date; or the subject quarterly report or transition report on Form 10-Q or subject distribution report on Form 10-D, or portion thereof, will be filed on or before the fifth calendar day following the prescribed due date; and</w:t>
      </w:r>
    </w:p>
    <w:p>
      <w:pPr>
        <w:spacing w:after="0" w:line="3" w:lineRule="exact"/>
        <w:rPr>
          <w:rFonts w:ascii="MS PGothic" w:cs="MS PGothic" w:eastAsia="MS PGothic" w:hAnsi="MS PGothic"/>
          <w:sz w:val="36"/>
          <w:szCs w:val="36"/>
          <w:color w:val="auto"/>
          <w:vertAlign w:val="subscript"/>
        </w:rPr>
      </w:pPr>
    </w:p>
    <w:p>
      <w:pPr>
        <w:ind w:left="980" w:hanging="324"/>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The accountant’s statement or other exhibit required by Rule 12b-25(c) has been attached if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451485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3"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PART III -- NARRATIVE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221F1F"/>
        </w:rPr>
        <w:t>State below in reasonable detail why Forms 10-K, 20-F, 11-K, 10-Q, 10-D, N-CEN, N-CSR, or the transition report or portion thereof, could not be filed within the prescribed time period</w:t>
      </w:r>
      <w:r>
        <w:rPr>
          <w:rFonts w:ascii="Arial" w:cs="Arial" w:eastAsia="Arial" w:hAnsi="Arial"/>
          <w:sz w:val="18"/>
          <w:szCs w:val="18"/>
          <w:color w:val="000000"/>
        </w:rPr>
        <w:t>.</w:t>
      </w:r>
    </w:p>
    <w:p>
      <w:pPr>
        <w:spacing w:after="0" w:line="170" w:lineRule="exact"/>
        <w:rPr>
          <w:sz w:val="20"/>
          <w:szCs w:val="20"/>
          <w:color w:val="auto"/>
        </w:rPr>
      </w:pPr>
    </w:p>
    <w:p>
      <w:pPr>
        <w:jc w:val="both"/>
        <w:ind w:left="660"/>
        <w:spacing w:after="0" w:line="259" w:lineRule="auto"/>
        <w:rPr>
          <w:sz w:val="20"/>
          <w:szCs w:val="20"/>
          <w:color w:val="auto"/>
        </w:rPr>
      </w:pPr>
      <w:r>
        <w:rPr>
          <w:rFonts w:ascii="Arial" w:cs="Arial" w:eastAsia="Arial" w:hAnsi="Arial"/>
          <w:sz w:val="18"/>
          <w:szCs w:val="18"/>
          <w:color w:val="auto"/>
        </w:rPr>
        <w:t>The Registrant is unable to file its Form 10-Q for the quarterly period ended March 31, 2022, within the prescribed time period, without unreasonable effort or expense because additional time is needed to complete the financial statements for the quarterly period ended March 31, 2022. The Registrant anticipates that it will file its Form 10-Q within the five-day grace period provided by Rule 12b-25 of the Securities Exchange Act of 1934, as amended.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IV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(1) Name and telephone number of person to contact in regard to this notification:</w:t>
      </w:r>
    </w:p>
    <w:p>
      <w:pPr>
        <w:spacing w:after="0" w:line="225" w:lineRule="exact"/>
        <w:rPr>
          <w:sz w:val="20"/>
          <w:szCs w:val="20"/>
          <w:color w:val="auto"/>
        </w:rPr>
      </w:pPr>
    </w:p>
    <w:tbl>
      <w:tblPr>
        <w:tblLayout w:type="fixed"/>
        <w:tblInd w:w="1140" w:type="dxa"/>
        <w:tblCellMar>
          <w:top w:w="0" w:type="dxa"/>
          <w:left w:w="0" w:type="dxa"/>
          <w:bottom w:w="0" w:type="dxa"/>
          <w:right w:w="0" w:type="dxa"/>
        </w:tblCellMar>
      </w:tblPr>
      <w:tr>
        <w:trPr>
          <w:trHeight w:val="237"/>
        </w:trPr>
        <w:tc>
          <w:tcPr>
            <w:tcW w:w="3380" w:type="dxa"/>
            <w:vAlign w:val="bottom"/>
          </w:tcPr>
          <w:p>
            <w:pPr>
              <w:jc w:val="center"/>
              <w:spacing w:after="0"/>
              <w:rPr>
                <w:sz w:val="20"/>
                <w:szCs w:val="20"/>
                <w:color w:val="auto"/>
              </w:rPr>
            </w:pPr>
            <w:r>
              <w:rPr>
                <w:rFonts w:ascii="Arial" w:cs="Arial" w:eastAsia="Arial" w:hAnsi="Arial"/>
                <w:sz w:val="18"/>
                <w:szCs w:val="18"/>
                <w:color w:val="auto"/>
                <w:w w:val="96"/>
              </w:rPr>
              <w:t>Scott M. Miller</w:t>
            </w:r>
          </w:p>
        </w:tc>
        <w:tc>
          <w:tcPr>
            <w:tcW w:w="3580" w:type="dxa"/>
            <w:vAlign w:val="bottom"/>
            <w:gridSpan w:val="2"/>
          </w:tcPr>
          <w:p>
            <w:pPr>
              <w:jc w:val="right"/>
              <w:ind w:right="1390"/>
              <w:spacing w:after="0"/>
              <w:rPr>
                <w:sz w:val="20"/>
                <w:szCs w:val="20"/>
                <w:color w:val="auto"/>
              </w:rPr>
            </w:pPr>
            <w:r>
              <w:rPr>
                <w:rFonts w:ascii="Arial" w:cs="Arial" w:eastAsia="Arial" w:hAnsi="Arial"/>
                <w:sz w:val="18"/>
                <w:szCs w:val="18"/>
                <w:color w:val="auto"/>
              </w:rPr>
              <w:t>(212)</w:t>
            </w:r>
          </w:p>
        </w:tc>
        <w:tc>
          <w:tcPr>
            <w:tcW w:w="3140" w:type="dxa"/>
            <w:vAlign w:val="bottom"/>
            <w:gridSpan w:val="2"/>
          </w:tcPr>
          <w:p>
            <w:pPr>
              <w:jc w:val="right"/>
              <w:ind w:right="1030"/>
              <w:spacing w:after="0"/>
              <w:rPr>
                <w:sz w:val="20"/>
                <w:szCs w:val="20"/>
                <w:color w:val="auto"/>
              </w:rPr>
            </w:pPr>
            <w:r>
              <w:rPr>
                <w:rFonts w:ascii="Arial" w:cs="Arial" w:eastAsia="Arial" w:hAnsi="Arial"/>
                <w:sz w:val="18"/>
                <w:szCs w:val="18"/>
                <w:color w:val="auto"/>
              </w:rPr>
              <w:t>370-1300</w:t>
            </w:r>
          </w:p>
        </w:tc>
      </w:tr>
      <w:tr>
        <w:trPr>
          <w:trHeight w:val="243"/>
        </w:trPr>
        <w:tc>
          <w:tcPr>
            <w:tcW w:w="33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(Name)</w:t>
            </w:r>
          </w:p>
        </w:tc>
        <w:tc>
          <w:tcPr>
            <w:tcW w:w="220" w:type="dxa"/>
            <w:vAlign w:val="bottom"/>
          </w:tcPr>
          <w:p>
            <w:pPr>
              <w:spacing w:after="0"/>
              <w:rPr>
                <w:sz w:val="21"/>
                <w:szCs w:val="21"/>
                <w:color w:val="auto"/>
              </w:rPr>
            </w:pPr>
          </w:p>
        </w:tc>
        <w:tc>
          <w:tcPr>
            <w:tcW w:w="33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(Area Code)</w:t>
            </w:r>
          </w:p>
        </w:tc>
        <w:tc>
          <w:tcPr>
            <w:tcW w:w="220" w:type="dxa"/>
            <w:vAlign w:val="bottom"/>
          </w:tcPr>
          <w:p>
            <w:pPr>
              <w:spacing w:after="0"/>
              <w:rPr>
                <w:sz w:val="21"/>
                <w:szCs w:val="21"/>
                <w:color w:val="auto"/>
              </w:rPr>
            </w:pPr>
          </w:p>
        </w:tc>
        <w:tc>
          <w:tcPr>
            <w:tcW w:w="29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(Telephone Number)</w:t>
            </w:r>
          </w:p>
        </w:tc>
      </w:tr>
    </w:tbl>
    <w:p>
      <w:pPr>
        <w:spacing w:after="0" w:line="202" w:lineRule="exact"/>
        <w:rPr>
          <w:sz w:val="20"/>
          <w:szCs w:val="20"/>
          <w:color w:val="auto"/>
        </w:rPr>
      </w:pPr>
    </w:p>
    <w:p>
      <w:pPr>
        <w:jc w:val="both"/>
        <w:ind w:left="340" w:hanging="332"/>
        <w:spacing w:after="0" w:line="263"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Have all other periodic reports required under Section 13 or 15(d) of the Securities Exchange Act of 1934 or Section 30 of the Investment Company Act of 1940 during the preceding 12 months or for such shorter period that the registrant was required to file such report(s) been filed? If answer is no, identify report(s).</w:t>
      </w:r>
    </w:p>
    <w:p>
      <w:pPr>
        <w:spacing w:after="0" w:line="150" w:lineRule="exact"/>
        <w:rPr>
          <w:rFonts w:ascii="Arial" w:cs="Arial" w:eastAsia="Arial" w:hAnsi="Arial"/>
          <w:sz w:val="18"/>
          <w:szCs w:val="18"/>
          <w:color w:val="auto"/>
        </w:rPr>
      </w:pPr>
    </w:p>
    <w:p>
      <w:pPr>
        <w:ind w:left="10460" w:hanging="215"/>
        <w:spacing w:after="0" w:line="196" w:lineRule="exact"/>
        <w:tabs>
          <w:tab w:leader="none" w:pos="10460" w:val="left"/>
        </w:tabs>
        <w:numPr>
          <w:ilvl w:val="1"/>
          <w:numId w:val="4"/>
        </w:numPr>
        <w:rPr>
          <w:rFonts w:ascii="MS PGothic" w:cs="MS PGothic" w:eastAsia="MS PGothic" w:hAnsi="MS PGothic"/>
          <w:sz w:val="17"/>
          <w:szCs w:val="17"/>
          <w:color w:val="auto"/>
        </w:rPr>
      </w:pPr>
      <w:r>
        <w:rPr>
          <w:rFonts w:ascii="Arial" w:cs="Arial" w:eastAsia="Arial" w:hAnsi="Arial"/>
          <w:sz w:val="17"/>
          <w:szCs w:val="17"/>
          <w:color w:val="auto"/>
        </w:rPr>
        <w:t xml:space="preserve">Yes </w:t>
      </w:r>
      <w:r>
        <w:rPr>
          <w:rFonts w:ascii="MS PGothic" w:cs="MS PGothic" w:eastAsia="MS PGothic" w:hAnsi="MS PGothic"/>
          <w:sz w:val="17"/>
          <w:szCs w:val="17"/>
          <w:color w:val="auto"/>
        </w:rPr>
        <w:t>☐</w:t>
      </w:r>
      <w:r>
        <w:rPr>
          <w:rFonts w:ascii="Arial" w:cs="Arial" w:eastAsia="Arial" w:hAnsi="Arial"/>
          <w:sz w:val="17"/>
          <w:szCs w:val="17"/>
          <w:color w:val="auto"/>
        </w:rPr>
        <w:t xml:space="preserve"> No</w:t>
      </w:r>
    </w:p>
    <w:p>
      <w:pPr>
        <w:spacing w:after="0" w:line="269" w:lineRule="exact"/>
        <w:rPr>
          <w:rFonts w:ascii="MS PGothic" w:cs="MS PGothic" w:eastAsia="MS PGothic" w:hAnsi="MS PGothic"/>
          <w:sz w:val="17"/>
          <w:szCs w:val="17"/>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Is it anticipated that any significant change in results of operations from the corresponding period for the last fiscal year will be reflected by the earnings statements to be included in the subject report or portion thereof?</w:t>
      </w:r>
    </w:p>
    <w:p>
      <w:pPr>
        <w:spacing w:after="0" w:line="124" w:lineRule="exact"/>
        <w:rPr>
          <w:rFonts w:ascii="Arial" w:cs="Arial" w:eastAsia="Arial" w:hAnsi="Arial"/>
          <w:sz w:val="18"/>
          <w:szCs w:val="18"/>
          <w:color w:val="auto"/>
        </w:rPr>
      </w:pPr>
    </w:p>
    <w:p>
      <w:pPr>
        <w:ind w:left="10460" w:hanging="205"/>
        <w:spacing w:after="0" w:line="196" w:lineRule="exact"/>
        <w:tabs>
          <w:tab w:leader="none" w:pos="10460" w:val="left"/>
        </w:tabs>
        <w:numPr>
          <w:ilvl w:val="1"/>
          <w:numId w:val="4"/>
        </w:numPr>
        <w:rPr>
          <w:rFonts w:ascii="MS PGothic" w:cs="MS PGothic" w:eastAsia="MS PGothic" w:hAnsi="MS PGothic"/>
          <w:sz w:val="17"/>
          <w:szCs w:val="17"/>
          <w:color w:val="auto"/>
        </w:rPr>
      </w:pPr>
      <w:r>
        <w:rPr>
          <w:rFonts w:ascii="Arial" w:cs="Arial" w:eastAsia="Arial" w:hAnsi="Arial"/>
          <w:sz w:val="17"/>
          <w:szCs w:val="17"/>
          <w:color w:val="auto"/>
        </w:rPr>
        <w:t xml:space="preserve">Yes </w:t>
      </w:r>
      <w:r>
        <w:rPr>
          <w:rFonts w:ascii="MS PGothic" w:cs="MS PGothic" w:eastAsia="MS PGothic" w:hAnsi="MS PGothic"/>
          <w:sz w:val="17"/>
          <w:szCs w:val="17"/>
          <w:color w:val="auto"/>
        </w:rPr>
        <w:t>☐</w:t>
      </w:r>
      <w:r>
        <w:rPr>
          <w:rFonts w:ascii="Arial" w:cs="Arial" w:eastAsia="Arial" w:hAnsi="Arial"/>
          <w:sz w:val="17"/>
          <w:szCs w:val="17"/>
          <w:color w:val="auto"/>
        </w:rPr>
        <w:t xml:space="preserve"> No</w:t>
      </w:r>
    </w:p>
    <w:p>
      <w:pPr>
        <w:spacing w:after="0" w:line="26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If so, attach an explanation of the anticipated change, both narratively and quantitatively, and, if appropriate, state the reasons why a reasonable estimate of the results cannot be made.</w:t>
      </w:r>
    </w:p>
    <w:p>
      <w:pPr>
        <w:spacing w:after="0" w:line="170" w:lineRule="exact"/>
        <w:rPr>
          <w:sz w:val="20"/>
          <w:szCs w:val="20"/>
          <w:color w:val="auto"/>
        </w:rPr>
      </w:pPr>
    </w:p>
    <w:p>
      <w:pPr>
        <w:jc w:val="both"/>
        <w:ind w:left="660"/>
        <w:spacing w:after="0" w:line="254" w:lineRule="auto"/>
        <w:rPr>
          <w:sz w:val="20"/>
          <w:szCs w:val="20"/>
          <w:color w:val="auto"/>
        </w:rPr>
      </w:pPr>
      <w:r>
        <w:rPr>
          <w:rFonts w:ascii="Arial" w:cs="Arial" w:eastAsia="Arial" w:hAnsi="Arial"/>
          <w:sz w:val="18"/>
          <w:szCs w:val="18"/>
          <w:color w:val="auto"/>
        </w:rPr>
        <w:t>We were not engaged in any operations, nor did we generate any revenues during the three-month periods ended March 31, 2022 and 2021, respectively. Our only activities during those periods were operational activities related to identifying a target company for a business combination and activities in connection with closing a business combination, subsequent to the three-month period ended March 31, 2022, on April 26, 2022. We generated non-operating income in the form of interest income on cash and cash equivalents. We also had an unrealized gain on the change in the fair value of warrants, during the three-month period ended March 31, 2022. During both periods, we incurred expenses as a result of being a public company (for legal, financial reporting, accounting and auditing compliance), as well as in connection with the business combination closed on April 26, 2022.</w:t>
      </w:r>
    </w:p>
    <w:p>
      <w:pPr>
        <w:spacing w:after="0" w:line="195" w:lineRule="exact"/>
        <w:rPr>
          <w:sz w:val="20"/>
          <w:szCs w:val="20"/>
          <w:color w:val="auto"/>
        </w:rPr>
      </w:pPr>
    </w:p>
    <w:p>
      <w:pPr>
        <w:jc w:val="both"/>
        <w:ind w:left="660"/>
        <w:spacing w:after="0" w:line="263" w:lineRule="auto"/>
        <w:rPr>
          <w:sz w:val="20"/>
          <w:szCs w:val="20"/>
          <w:color w:val="auto"/>
        </w:rPr>
      </w:pPr>
      <w:r>
        <w:rPr>
          <w:rFonts w:ascii="Arial" w:cs="Arial" w:eastAsia="Arial" w:hAnsi="Arial"/>
          <w:sz w:val="18"/>
          <w:szCs w:val="18"/>
          <w:color w:val="auto"/>
        </w:rPr>
        <w:t>For the three months ended March 31, 2022, we had a net loss of $385,450, which resulted primarily from a loss of $490,053 incurred in connection with operating costs, which was partially offset by (i) an unrealized gain of $92,746 on the change in fair value of warrants and (ii) interest income of $11,857.</w:t>
      </w:r>
    </w:p>
    <w:p>
      <w:pPr>
        <w:spacing w:after="0" w:line="184" w:lineRule="exact"/>
        <w:rPr>
          <w:sz w:val="20"/>
          <w:szCs w:val="20"/>
          <w:color w:val="auto"/>
        </w:rPr>
      </w:pPr>
    </w:p>
    <w:p>
      <w:pPr>
        <w:jc w:val="both"/>
        <w:ind w:left="660"/>
        <w:spacing w:after="0" w:line="308" w:lineRule="auto"/>
        <w:rPr>
          <w:sz w:val="20"/>
          <w:szCs w:val="20"/>
          <w:color w:val="auto"/>
        </w:rPr>
      </w:pPr>
      <w:r>
        <w:rPr>
          <w:rFonts w:ascii="Arial" w:cs="Arial" w:eastAsia="Arial" w:hAnsi="Arial"/>
          <w:sz w:val="17"/>
          <w:szCs w:val="17"/>
          <w:color w:val="auto"/>
        </w:rPr>
        <w:t>For the three months ended March 31, 2021, we had a net loss of $84,033, which resulted primarily from (i) a loss of $81,441 incurred in connection with formation and operating costs and (ii) an unrealized loss of $3,117 on the change in fair value of warrants.</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amounts reported above are still subject to completion.</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7"/>
        </w:trPr>
        <w:tc>
          <w:tcPr>
            <w:tcW w:w="3380" w:type="dxa"/>
            <w:vAlign w:val="bottom"/>
          </w:tcPr>
          <w:p>
            <w:pPr>
              <w:spacing w:after="0"/>
              <w:rPr>
                <w:sz w:val="20"/>
                <w:szCs w:val="20"/>
                <w:color w:val="auto"/>
              </w:rPr>
            </w:pPr>
          </w:p>
        </w:tc>
        <w:tc>
          <w:tcPr>
            <w:tcW w:w="7860" w:type="dxa"/>
            <w:vAlign w:val="bottom"/>
            <w:gridSpan w:val="3"/>
          </w:tcPr>
          <w:p>
            <w:pPr>
              <w:jc w:val="center"/>
              <w:ind w:right="3360"/>
              <w:spacing w:after="0"/>
              <w:rPr>
                <w:sz w:val="20"/>
                <w:szCs w:val="20"/>
                <w:color w:val="auto"/>
              </w:rPr>
            </w:pPr>
            <w:r>
              <w:rPr>
                <w:rFonts w:ascii="Arial" w:cs="Arial" w:eastAsia="Arial" w:hAnsi="Arial"/>
                <w:sz w:val="18"/>
                <w:szCs w:val="18"/>
                <w:color w:val="auto"/>
                <w:w w:val="97"/>
              </w:rPr>
              <w:t>SOUNDHOUND AI, INC.</w:t>
            </w:r>
          </w:p>
        </w:tc>
      </w:tr>
      <w:tr>
        <w:trPr>
          <w:trHeight w:val="234"/>
        </w:trPr>
        <w:tc>
          <w:tcPr>
            <w:tcW w:w="3380" w:type="dxa"/>
            <w:vAlign w:val="bottom"/>
          </w:tcPr>
          <w:p>
            <w:pPr>
              <w:spacing w:after="0"/>
              <w:rPr>
                <w:sz w:val="20"/>
                <w:szCs w:val="20"/>
                <w:color w:val="auto"/>
              </w:rPr>
            </w:pPr>
          </w:p>
        </w:tc>
        <w:tc>
          <w:tcPr>
            <w:tcW w:w="4500" w:type="dxa"/>
            <w:vAlign w:val="bottom"/>
            <w:tcBorders>
              <w:top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0"/>
              </w:rPr>
              <w:t>(Name of Registrant as Specified in Charter)</w:t>
            </w:r>
          </w:p>
        </w:tc>
        <w:tc>
          <w:tcPr>
            <w:tcW w:w="3360" w:type="dxa"/>
            <w:vAlign w:val="bottom"/>
          </w:tcPr>
          <w:p>
            <w:pPr>
              <w:spacing w:after="0"/>
              <w:rPr>
                <w:sz w:val="20"/>
                <w:szCs w:val="20"/>
                <w:color w:val="auto"/>
              </w:rPr>
            </w:pPr>
          </w:p>
        </w:tc>
      </w:tr>
      <w:tr>
        <w:trPr>
          <w:trHeight w:val="427"/>
        </w:trPr>
        <w:tc>
          <w:tcPr>
            <w:tcW w:w="11240" w:type="dxa"/>
            <w:vAlign w:val="bottom"/>
            <w:gridSpan w:val="4"/>
          </w:tcPr>
          <w:p>
            <w:pPr>
              <w:spacing w:after="0"/>
              <w:rPr>
                <w:sz w:val="20"/>
                <w:szCs w:val="20"/>
                <w:color w:val="auto"/>
              </w:rPr>
            </w:pPr>
            <w:r>
              <w:rPr>
                <w:rFonts w:ascii="Arial" w:cs="Arial" w:eastAsia="Arial" w:hAnsi="Arial"/>
                <w:sz w:val="18"/>
                <w:szCs w:val="18"/>
                <w:color w:val="auto"/>
              </w:rPr>
              <w:t>has caused this notification to be signed on its behalf by the undersigned hereunto duly authorized.</w:t>
            </w:r>
          </w:p>
        </w:tc>
      </w:tr>
      <w:tr>
        <w:trPr>
          <w:trHeight w:val="439"/>
        </w:trPr>
        <w:tc>
          <w:tcPr>
            <w:tcW w:w="3380" w:type="dxa"/>
            <w:vAlign w:val="bottom"/>
          </w:tcPr>
          <w:p>
            <w:pPr>
              <w:spacing w:after="0"/>
              <w:rPr>
                <w:sz w:val="20"/>
                <w:szCs w:val="20"/>
                <w:color w:val="auto"/>
              </w:rPr>
            </w:pPr>
            <w:r>
              <w:rPr>
                <w:rFonts w:ascii="Arial" w:cs="Arial" w:eastAsia="Arial" w:hAnsi="Arial"/>
                <w:sz w:val="18"/>
                <w:szCs w:val="18"/>
                <w:color w:val="auto"/>
              </w:rPr>
              <w:t>Date: May 16, 2022</w:t>
            </w:r>
          </w:p>
        </w:tc>
        <w:tc>
          <w:tcPr>
            <w:tcW w:w="7860" w:type="dxa"/>
            <w:vAlign w:val="bottom"/>
            <w:gridSpan w:val="3"/>
          </w:tcPr>
          <w:p>
            <w:pPr>
              <w:ind w:left="3380"/>
              <w:spacing w:after="0"/>
              <w:rPr>
                <w:sz w:val="20"/>
                <w:szCs w:val="20"/>
                <w:color w:val="auto"/>
              </w:rPr>
            </w:pPr>
            <w:r>
              <w:rPr>
                <w:rFonts w:ascii="Arial" w:cs="Arial" w:eastAsia="Arial" w:hAnsi="Arial"/>
                <w:sz w:val="18"/>
                <w:szCs w:val="18"/>
                <w:color w:val="auto"/>
              </w:rPr>
              <w:t>By:  /s/ Keyvan Mohajer</w:t>
            </w:r>
          </w:p>
        </w:tc>
      </w:tr>
      <w:tr>
        <w:trPr>
          <w:trHeight w:val="215"/>
        </w:trPr>
        <w:tc>
          <w:tcPr>
            <w:tcW w:w="3380" w:type="dxa"/>
            <w:vAlign w:val="bottom"/>
          </w:tcPr>
          <w:p>
            <w:pPr>
              <w:spacing w:after="0"/>
              <w:rPr>
                <w:sz w:val="18"/>
                <w:szCs w:val="18"/>
                <w:color w:val="auto"/>
              </w:rPr>
            </w:pPr>
          </w:p>
        </w:tc>
        <w:tc>
          <w:tcPr>
            <w:tcW w:w="3820" w:type="dxa"/>
            <w:vAlign w:val="bottom"/>
          </w:tcPr>
          <w:p>
            <w:pPr>
              <w:spacing w:after="0"/>
              <w:rPr>
                <w:sz w:val="18"/>
                <w:szCs w:val="18"/>
                <w:color w:val="auto"/>
              </w:rPr>
            </w:pPr>
          </w:p>
        </w:tc>
        <w:tc>
          <w:tcPr>
            <w:tcW w:w="40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Keyvan Mohajer</w:t>
            </w:r>
          </w:p>
        </w:tc>
      </w:tr>
      <w:tr>
        <w:trPr>
          <w:trHeight w:val="230"/>
        </w:trPr>
        <w:tc>
          <w:tcPr>
            <w:tcW w:w="338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4040" w:type="dxa"/>
            <w:vAlign w:val="bottom"/>
            <w:gridSpan w:val="2"/>
          </w:tcPr>
          <w:p>
            <w:pPr>
              <w:spacing w:after="0"/>
              <w:rPr>
                <w:sz w:val="20"/>
                <w:szCs w:val="20"/>
                <w:color w:val="auto"/>
              </w:rPr>
            </w:pPr>
            <w:r>
              <w:rPr>
                <w:rFonts w:ascii="Arial" w:cs="Arial" w:eastAsia="Arial" w:hAnsi="Arial"/>
                <w:sz w:val="18"/>
                <w:szCs w:val="18"/>
                <w:color w:val="auto"/>
              </w:rPr>
              <w:t>Chief Executive Officer</w:t>
            </w:r>
          </w:p>
        </w:tc>
      </w:tr>
      <w:tr>
        <w:trPr>
          <w:trHeight w:val="682"/>
        </w:trPr>
        <w:tc>
          <w:tcPr>
            <w:tcW w:w="3380" w:type="dxa"/>
            <w:vAlign w:val="bottom"/>
            <w:tcBorders>
              <w:bottom w:val="single" w:sz="8" w:color="auto"/>
            </w:tcBorders>
          </w:tcPr>
          <w:p>
            <w:pPr>
              <w:spacing w:after="0"/>
              <w:rPr>
                <w:sz w:val="24"/>
                <w:szCs w:val="24"/>
                <w:color w:val="auto"/>
              </w:rPr>
            </w:pPr>
          </w:p>
        </w:tc>
        <w:tc>
          <w:tcPr>
            <w:tcW w:w="3820" w:type="dxa"/>
            <w:vAlign w:val="bottom"/>
            <w:tcBorders>
              <w:bottom w:val="single" w:sz="8" w:color="auto"/>
            </w:tcBorders>
          </w:tcPr>
          <w:p>
            <w:pPr>
              <w:jc w:val="center"/>
              <w:ind w:left="570"/>
              <w:spacing w:after="0"/>
              <w:rPr>
                <w:sz w:val="20"/>
                <w:szCs w:val="20"/>
                <w:color w:val="auto"/>
              </w:rPr>
            </w:pPr>
            <w:r>
              <w:rPr>
                <w:rFonts w:ascii="Arial" w:cs="Arial" w:eastAsia="Arial" w:hAnsi="Arial"/>
                <w:sz w:val="18"/>
                <w:szCs w:val="18"/>
                <w:color w:val="auto"/>
                <w:w w:val="79"/>
              </w:rPr>
              <w:t>3</w:t>
            </w:r>
          </w:p>
        </w:tc>
        <w:tc>
          <w:tcPr>
            <w:tcW w:w="680" w:type="dxa"/>
            <w:vAlign w:val="bottom"/>
            <w:tcBorders>
              <w:bottom w:val="single" w:sz="8" w:color="auto"/>
            </w:tcBorders>
          </w:tcPr>
          <w:p>
            <w:pPr>
              <w:spacing w:after="0"/>
              <w:rPr>
                <w:sz w:val="24"/>
                <w:szCs w:val="24"/>
                <w:color w:val="auto"/>
              </w:rPr>
            </w:pPr>
          </w:p>
        </w:tc>
        <w:tc>
          <w:tcPr>
            <w:tcW w:w="336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2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lvl w:ilvl="1">
      <w:lvlJc w:val="left"/>
      <w:lvlText w:val="(%2)"/>
      <w:numFmt w:val="lowerLetter"/>
      <w:start w:val="1"/>
    </w:lvl>
  </w:abstractNum>
  <w:abstractNum w:abstractNumId="2">
    <w:nsid w:val="2AE8944A"/>
    <w:multiLevelType w:val="hybridMultilevel"/>
    <w:lvl w:ilvl="0">
      <w:lvlJc w:val="left"/>
      <w:lvlText w:val="☒"/>
      <w:numFmt w:val="bullet"/>
      <w:start w:val="1"/>
    </w:lvl>
    <w:lvl w:ilvl="1">
      <w:lvlJc w:val="left"/>
      <w:lvlText w:val="(%2)"/>
      <w:numFmt w:val="lowerLetter"/>
      <w:start w:val="3"/>
    </w:lvl>
  </w:abstractNum>
  <w:abstractNum w:abstractNumId="3">
    <w:nsid w:val="625558EC"/>
    <w:multiLevelType w:val="hybridMultilevel"/>
    <w:lvl w:ilvl="0">
      <w:lvlJc w:val="left"/>
      <w:lvlText w:val="(%1)"/>
      <w:numFmt w:val="decimal"/>
      <w:start w:val="2"/>
    </w:lvl>
    <w:lvl w:ilvl="1">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2022-05-17T05:21:34Z</dcterms:created>
  <dcterms:modified xsi:type="dcterms:W3CDTF">2022-05-17T05:21:34Z</dcterms:modified>
</cp:coreProperties>
</file>