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12b-25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NOTIFICATION OF LATE FILING</w:t>
      </w:r>
    </w:p>
    <w:p>
      <w:pPr>
        <w:spacing w:after="0" w:line="196" w:lineRule="exact"/>
        <w:rPr>
          <w:sz w:val="24"/>
          <w:szCs w:val="24"/>
          <w:color w:val="auto"/>
        </w:rPr>
      </w:pPr>
    </w:p>
    <w:p>
      <w:pPr>
        <w:ind w:left="340"/>
        <w:spacing w:after="0" w:line="207" w:lineRule="exact"/>
        <w:tabs>
          <w:tab w:leader="none" w:pos="5000" w:val="left"/>
        </w:tabs>
        <w:rPr>
          <w:sz w:val="20"/>
          <w:szCs w:val="20"/>
          <w:color w:val="auto"/>
        </w:rPr>
      </w:pPr>
      <w:r>
        <w:rPr>
          <w:rFonts w:ascii="Arial" w:cs="Arial" w:eastAsia="Arial" w:hAnsi="Arial"/>
          <w:sz w:val="18"/>
          <w:szCs w:val="18"/>
          <w:color w:val="auto"/>
        </w:rPr>
        <w:t xml:space="preserve">(Check One):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10-Q </w:t>
      </w:r>
      <w:r>
        <w:rPr>
          <w:rFonts w:ascii="MS PGothic" w:cs="MS PGothic" w:eastAsia="MS PGothic" w:hAnsi="MS PGothic"/>
          <w:sz w:val="17"/>
          <w:szCs w:val="17"/>
          <w:color w:val="auto"/>
        </w:rPr>
        <w:t>☐</w:t>
      </w:r>
      <w:r>
        <w:rPr>
          <w:rFonts w:ascii="Arial" w:cs="Arial" w:eastAsia="Arial" w:hAnsi="Arial"/>
          <w:sz w:val="17"/>
          <w:szCs w:val="17"/>
          <w:color w:val="auto"/>
        </w:rPr>
        <w:t xml:space="preserve"> Form 10-D </w:t>
      </w:r>
      <w:r>
        <w:rPr>
          <w:rFonts w:ascii="MS PGothic" w:cs="MS PGothic" w:eastAsia="MS PGothic" w:hAnsi="MS PGothic"/>
          <w:sz w:val="17"/>
          <w:szCs w:val="17"/>
          <w:color w:val="auto"/>
        </w:rPr>
        <w:t>☐</w:t>
      </w:r>
      <w:r>
        <w:rPr>
          <w:rFonts w:ascii="Arial" w:cs="Arial" w:eastAsia="Arial" w:hAnsi="Arial"/>
          <w:sz w:val="17"/>
          <w:szCs w:val="17"/>
          <w:color w:val="auto"/>
        </w:rPr>
        <w:t xml:space="preserve"> Form N-CEN </w:t>
      </w:r>
      <w:r>
        <w:rPr>
          <w:rFonts w:ascii="MS PGothic" w:cs="MS PGothic" w:eastAsia="MS PGothic" w:hAnsi="MS PGothic"/>
          <w:sz w:val="17"/>
          <w:szCs w:val="17"/>
          <w:color w:val="auto"/>
        </w:rPr>
        <w:t>☐</w:t>
      </w:r>
      <w:r>
        <w:rPr>
          <w:rFonts w:ascii="Arial" w:cs="Arial" w:eastAsia="Arial" w:hAnsi="Arial"/>
          <w:sz w:val="17"/>
          <w:szCs w:val="17"/>
          <w:color w:val="auto"/>
        </w:rPr>
        <w:t xml:space="preserve"> Form N-CSR</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u w:val="single" w:color="auto"/>
          <w:color w:val="auto"/>
        </w:rPr>
        <w:t>March 31, 2022</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20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Ended: _____________________________________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Read Instructions (on back page) Before Preparing Form. Please Print or Type.</w:t>
      </w:r>
    </w:p>
    <w:p>
      <w:pPr>
        <w:spacing w:after="0" w:line="225" w:lineRule="exact"/>
        <w:rPr>
          <w:sz w:val="24"/>
          <w:szCs w:val="24"/>
          <w:color w:val="auto"/>
        </w:rPr>
      </w:pPr>
    </w:p>
    <w:p>
      <w:pPr>
        <w:jc w:val="center"/>
        <w:ind w:left="400"/>
        <w:spacing w:after="0" w:line="277" w:lineRule="auto"/>
        <w:rPr>
          <w:sz w:val="20"/>
          <w:szCs w:val="20"/>
          <w:color w:val="auto"/>
        </w:rPr>
      </w:pPr>
      <w:r>
        <w:rPr>
          <w:rFonts w:ascii="Arial" w:cs="Arial" w:eastAsia="Arial" w:hAnsi="Arial"/>
          <w:sz w:val="18"/>
          <w:szCs w:val="18"/>
          <w:color w:val="auto"/>
        </w:rPr>
        <w:t>NOTHING IN THIS FORM SHALL BE CONSTRUED TO IMPLY THAT THE COMMISSION HAS VERIFIED ANY INFORMATION CONTAINED HEREIN.</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ectPr>
          <w:pgSz w:w="11900" w:h="16838" w:orient="portrait"/>
          <w:cols w:equalWidth="0" w:num="1">
            <w:col w:w="11240"/>
          </w:cols>
          <w:pgMar w:left="320" w:top="513" w:right="339" w:bottom="1440" w:gutter="0" w:footer="0" w:header="0"/>
        </w:sectPr>
      </w:pP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Address of Principal Executive Office (Street and Number):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SOUNDHOUND AI,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ARCHIMEDES TECH SPAC PARTNERS CO.</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5400 Betsy Ross Drive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200" w:lineRule="exact"/>
        <w:rPr>
          <w:sz w:val="24"/>
          <w:szCs w:val="24"/>
          <w:color w:val="auto"/>
        </w:rPr>
      </w:pPr>
    </w:p>
    <w:p>
      <w:pPr>
        <w:sectPr>
          <w:pgSz w:w="11900" w:h="16838" w:orient="portrait"/>
          <w:cols w:equalWidth="0" w:num="2">
            <w:col w:w="4900" w:space="720"/>
            <w:col w:w="5620"/>
          </w:cols>
          <w:pgMar w:left="320" w:top="513"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PART II - RULES 12b-25(b) AND (c)</w:t>
      </w:r>
    </w:p>
    <w:p>
      <w:pPr>
        <w:sectPr>
          <w:pgSz w:w="11900" w:h="16838" w:orient="portrait"/>
          <w:cols w:equalWidth="0" w:num="1">
            <w:col w:w="11240"/>
          </w:cols>
          <w:pgMar w:left="320" w:top="513" w:right="339" w:bottom="1440" w:gutter="0" w:footer="0" w:header="0"/>
          <w:type w:val="continuous"/>
        </w:sectPr>
      </w:pPr>
    </w:p>
    <w:p>
      <w:pPr>
        <w:spacing w:after="0" w:line="2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4"/>
          <w:szCs w:val="24"/>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subject annual report, semi-annual report, transition report on Form 10-K, Form 20-F, Form 11-K, Form N-CEN or Form N-CSR, or</w:t>
      </w:r>
    </w:p>
    <w:p>
      <w:pPr>
        <w:spacing w:after="0" w:line="34" w:lineRule="exact"/>
        <w:rPr>
          <w:rFonts w:ascii="Arial" w:cs="Arial" w:eastAsia="Arial" w:hAnsi="Arial"/>
          <w:sz w:val="17"/>
          <w:szCs w:val="17"/>
          <w:color w:val="auto"/>
        </w:rPr>
      </w:pPr>
    </w:p>
    <w:p>
      <w:pPr>
        <w:jc w:val="both"/>
        <w:ind w:left="980" w:hanging="729"/>
        <w:spacing w:after="0" w:line="200" w:lineRule="auto"/>
        <w:tabs>
          <w:tab w:leader="none" w:pos="98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221F1F"/>
        </w:rPr>
        <w:t>State below in reasonable detail why Forms 10-K, 20-F, 11-K, 10-Q, 10-D, N-CEN, N-CSR, or the transition report or portion thereof, could not be filed within the prescribed time period</w:t>
      </w:r>
      <w:r>
        <w:rPr>
          <w:rFonts w:ascii="Arial" w:cs="Arial" w:eastAsia="Arial" w:hAnsi="Arial"/>
          <w:sz w:val="18"/>
          <w:szCs w:val="18"/>
          <w:color w:val="000000"/>
        </w:rPr>
        <w:t>.</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Registrant is unable to file its Form 10-Q for the quarterly period ended March 31, 2022, within the prescribed time period, without unreasonable effort or expense because additional time is needed to complete the financial statements for the quarterly period ended March 31, 2022. The Registrant anticipates that it will file its Form 10-Q within the five-day grace period provided by Rule 12b-25 of the Securities Exchange Act of 1934,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3380" w:type="dxa"/>
            <w:vAlign w:val="bottom"/>
          </w:tcPr>
          <w:p>
            <w:pPr>
              <w:jc w:val="center"/>
              <w:spacing w:after="0"/>
              <w:rPr>
                <w:sz w:val="20"/>
                <w:szCs w:val="20"/>
                <w:color w:val="auto"/>
              </w:rPr>
            </w:pPr>
            <w:r>
              <w:rPr>
                <w:rFonts w:ascii="Arial" w:cs="Arial" w:eastAsia="Arial" w:hAnsi="Arial"/>
                <w:sz w:val="18"/>
                <w:szCs w:val="18"/>
                <w:color w:val="auto"/>
                <w:w w:val="96"/>
              </w:rPr>
              <w:t>Scott M. Miller</w:t>
            </w:r>
          </w:p>
        </w:tc>
        <w:tc>
          <w:tcPr>
            <w:tcW w:w="3580" w:type="dxa"/>
            <w:vAlign w:val="bottom"/>
            <w:gridSpan w:val="2"/>
          </w:tcPr>
          <w:p>
            <w:pPr>
              <w:jc w:val="right"/>
              <w:ind w:right="1390"/>
              <w:spacing w:after="0"/>
              <w:rPr>
                <w:sz w:val="20"/>
                <w:szCs w:val="20"/>
                <w:color w:val="auto"/>
              </w:rPr>
            </w:pPr>
            <w:r>
              <w:rPr>
                <w:rFonts w:ascii="Arial" w:cs="Arial" w:eastAsia="Arial" w:hAnsi="Arial"/>
                <w:sz w:val="18"/>
                <w:szCs w:val="18"/>
                <w:color w:val="auto"/>
              </w:rPr>
              <w:t>(212)</w:t>
            </w:r>
          </w:p>
        </w:tc>
        <w:tc>
          <w:tcPr>
            <w:tcW w:w="3140" w:type="dxa"/>
            <w:vAlign w:val="bottom"/>
            <w:gridSpan w:val="2"/>
          </w:tcPr>
          <w:p>
            <w:pPr>
              <w:jc w:val="right"/>
              <w:ind w:right="1030"/>
              <w:spacing w:after="0"/>
              <w:rPr>
                <w:sz w:val="20"/>
                <w:szCs w:val="20"/>
                <w:color w:val="auto"/>
              </w:rPr>
            </w:pPr>
            <w:r>
              <w:rPr>
                <w:rFonts w:ascii="Arial" w:cs="Arial" w:eastAsia="Arial" w:hAnsi="Arial"/>
                <w:sz w:val="18"/>
                <w:szCs w:val="18"/>
                <w:color w:val="auto"/>
              </w:rPr>
              <w:t>370-1300</w:t>
            </w:r>
          </w:p>
        </w:tc>
      </w:tr>
      <w:tr>
        <w:trPr>
          <w:trHeight w:val="243"/>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220" w:type="dxa"/>
            <w:vAlign w:val="bottom"/>
          </w:tcPr>
          <w:p>
            <w:pPr>
              <w:spacing w:after="0"/>
              <w:rPr>
                <w:sz w:val="21"/>
                <w:szCs w:val="21"/>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20" w:type="dxa"/>
            <w:vAlign w:val="bottom"/>
          </w:tcPr>
          <w:p>
            <w:pPr>
              <w:spacing w:after="0"/>
              <w:rPr>
                <w:sz w:val="21"/>
                <w:szCs w:val="21"/>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50" w:lineRule="exact"/>
        <w:rPr>
          <w:rFonts w:ascii="Arial" w:cs="Arial" w:eastAsia="Arial" w:hAnsi="Arial"/>
          <w:sz w:val="18"/>
          <w:szCs w:val="18"/>
          <w:color w:val="auto"/>
        </w:rPr>
      </w:pPr>
    </w:p>
    <w:p>
      <w:pPr>
        <w:ind w:left="10460" w:hanging="215"/>
        <w:spacing w:after="0" w:line="196" w:lineRule="exact"/>
        <w:tabs>
          <w:tab w:leader="none" w:pos="10460" w:val="left"/>
        </w:tabs>
        <w:numPr>
          <w:ilvl w:val="1"/>
          <w:numId w:val="4"/>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69" w:lineRule="exact"/>
        <w:rPr>
          <w:rFonts w:ascii="MS PGothic" w:cs="MS PGothic" w:eastAsia="MS PGothic" w:hAnsi="MS PGothic"/>
          <w:sz w:val="17"/>
          <w:szCs w:val="17"/>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4" w:lineRule="exact"/>
        <w:rPr>
          <w:rFonts w:ascii="Arial" w:cs="Arial" w:eastAsia="Arial" w:hAnsi="Arial"/>
          <w:sz w:val="18"/>
          <w:szCs w:val="18"/>
          <w:color w:val="auto"/>
        </w:rPr>
      </w:pPr>
    </w:p>
    <w:p>
      <w:pPr>
        <w:ind w:left="10460" w:hanging="205"/>
        <w:spacing w:after="0" w:line="196" w:lineRule="exact"/>
        <w:tabs>
          <w:tab w:leader="none" w:pos="10460" w:val="left"/>
        </w:tabs>
        <w:numPr>
          <w:ilvl w:val="1"/>
          <w:numId w:val="4"/>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We were not engaged in any operations, nor did we generate any revenues during the three-month periods ended March 31, 2022 and 2021, respectively. Our only activities during those periods were operational activities related to identifying a target company for a business combination and activities in connection with closing a business combination, subsequent to the three-month period ended March 31, 2022, on April 26, 2022. We generated non-operating income in the form of interest income on cash and cash equivalents. We also had an unrealized gain on the change in the fair value of warrants, during the three-month period ended March 31, 2022. During both periods, we incurred expenses as a result of being a public company (for legal, financial reporting, accounting and auditing compliance), as well as in connection with the business combination closed on April 26, 2022.</w:t>
      </w:r>
    </w:p>
    <w:p>
      <w:pPr>
        <w:spacing w:after="0" w:line="19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three months ended March 31, 2022, we had a net loss of $385,450, which resulted primarily from a loss of $490,053 incurred in connection with operating costs, which was partially offset by (i) an unrealized gain of $92,746 on the change in fair value of warrants and (ii) interest income of $11,857.</w:t>
      </w:r>
    </w:p>
    <w:p>
      <w:pPr>
        <w:spacing w:after="0" w:line="184"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For the three months ended March 31, 2021, we had a net loss of $84,033, which resulted primarily from (i) a loss of $81,441 incurred in connection with formation and operating costs and (ii) an unrealized loss of $3,117 on the change in fair value of warrants.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reported above are still subject to completion.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3380" w:type="dxa"/>
            <w:vAlign w:val="bottom"/>
          </w:tcPr>
          <w:p>
            <w:pPr>
              <w:spacing w:after="0"/>
              <w:rPr>
                <w:sz w:val="20"/>
                <w:szCs w:val="20"/>
                <w:color w:val="auto"/>
              </w:rPr>
            </w:pPr>
          </w:p>
        </w:tc>
        <w:tc>
          <w:tcPr>
            <w:tcW w:w="7860" w:type="dxa"/>
            <w:vAlign w:val="bottom"/>
            <w:gridSpan w:val="3"/>
          </w:tcPr>
          <w:p>
            <w:pPr>
              <w:jc w:val="center"/>
              <w:ind w:right="3360"/>
              <w:spacing w:after="0"/>
              <w:rPr>
                <w:sz w:val="20"/>
                <w:szCs w:val="20"/>
                <w:color w:val="auto"/>
              </w:rPr>
            </w:pPr>
            <w:r>
              <w:rPr>
                <w:rFonts w:ascii="Arial" w:cs="Arial" w:eastAsia="Arial" w:hAnsi="Arial"/>
                <w:sz w:val="18"/>
                <w:szCs w:val="18"/>
                <w:color w:val="auto"/>
                <w:w w:val="97"/>
              </w:rPr>
              <w:t>SOUNDHOUND AI, INC.</w:t>
            </w:r>
          </w:p>
        </w:tc>
      </w:tr>
      <w:tr>
        <w:trPr>
          <w:trHeight w:val="234"/>
        </w:trPr>
        <w:tc>
          <w:tcPr>
            <w:tcW w:w="3380" w:type="dxa"/>
            <w:vAlign w:val="bottom"/>
          </w:tcPr>
          <w:p>
            <w:pPr>
              <w:spacing w:after="0"/>
              <w:rPr>
                <w:sz w:val="20"/>
                <w:szCs w:val="20"/>
                <w:color w:val="auto"/>
              </w:rPr>
            </w:pPr>
          </w:p>
        </w:tc>
        <w:tc>
          <w:tcPr>
            <w:tcW w:w="45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(Name of Registrant as Specified in Charter)</w:t>
            </w:r>
          </w:p>
        </w:tc>
        <w:tc>
          <w:tcPr>
            <w:tcW w:w="3360" w:type="dxa"/>
            <w:vAlign w:val="bottom"/>
          </w:tcPr>
          <w:p>
            <w:pPr>
              <w:spacing w:after="0"/>
              <w:rPr>
                <w:sz w:val="20"/>
                <w:szCs w:val="20"/>
                <w:color w:val="auto"/>
              </w:rPr>
            </w:pPr>
          </w:p>
        </w:tc>
      </w:tr>
      <w:tr>
        <w:trPr>
          <w:trHeight w:val="427"/>
        </w:trPr>
        <w:tc>
          <w:tcPr>
            <w:tcW w:w="11240" w:type="dxa"/>
            <w:vAlign w:val="bottom"/>
            <w:gridSpan w:val="4"/>
          </w:tcPr>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tc>
      </w:tr>
      <w:tr>
        <w:trPr>
          <w:trHeight w:val="439"/>
        </w:trPr>
        <w:tc>
          <w:tcPr>
            <w:tcW w:w="3380" w:type="dxa"/>
            <w:vAlign w:val="bottom"/>
          </w:tcPr>
          <w:p>
            <w:pPr>
              <w:spacing w:after="0"/>
              <w:rPr>
                <w:sz w:val="20"/>
                <w:szCs w:val="20"/>
                <w:color w:val="auto"/>
              </w:rPr>
            </w:pPr>
            <w:r>
              <w:rPr>
                <w:rFonts w:ascii="Arial" w:cs="Arial" w:eastAsia="Arial" w:hAnsi="Arial"/>
                <w:sz w:val="18"/>
                <w:szCs w:val="18"/>
                <w:color w:val="auto"/>
              </w:rPr>
              <w:t>Date: May 16, 2022</w:t>
            </w:r>
          </w:p>
        </w:tc>
        <w:tc>
          <w:tcPr>
            <w:tcW w:w="7860" w:type="dxa"/>
            <w:vAlign w:val="bottom"/>
            <w:gridSpan w:val="3"/>
          </w:tcPr>
          <w:p>
            <w:pPr>
              <w:ind w:left="3380"/>
              <w:spacing w:after="0"/>
              <w:rPr>
                <w:sz w:val="20"/>
                <w:szCs w:val="20"/>
                <w:color w:val="auto"/>
              </w:rPr>
            </w:pPr>
            <w:r>
              <w:rPr>
                <w:rFonts w:ascii="Arial" w:cs="Arial" w:eastAsia="Arial" w:hAnsi="Arial"/>
                <w:sz w:val="18"/>
                <w:szCs w:val="18"/>
                <w:color w:val="auto"/>
              </w:rPr>
              <w:t>By:  /s/ Keyvan Mohajer</w:t>
            </w:r>
          </w:p>
        </w:tc>
      </w:tr>
      <w:tr>
        <w:trPr>
          <w:trHeight w:val="215"/>
        </w:trPr>
        <w:tc>
          <w:tcPr>
            <w:tcW w:w="3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Keyvan Mohajer</w:t>
            </w:r>
          </w:p>
        </w:tc>
      </w:tr>
      <w:tr>
        <w:trPr>
          <w:trHeight w:val="230"/>
        </w:trPr>
        <w:tc>
          <w:tcPr>
            <w:tcW w:w="33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682"/>
        </w:trPr>
        <w:tc>
          <w:tcPr>
            <w:tcW w:w="33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79"/>
              </w:rPr>
              <w:t>3</w:t>
            </w:r>
          </w:p>
        </w:tc>
        <w:tc>
          <w:tcPr>
            <w:tcW w:w="6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lowerLetter"/>
      <w:start w:val="1"/>
    </w:lvl>
  </w:abstractNum>
  <w:abstractNum w:abstractNumId="2">
    <w:nsid w:val="2AE8944A"/>
    <w:multiLevelType w:val="hybridMultilevel"/>
    <w:lvl w:ilvl="0">
      <w:lvlJc w:val="left"/>
      <w:lvlText w:val="☒"/>
      <w:numFmt w:val="bullet"/>
      <w:start w:val="1"/>
    </w:lvl>
    <w:lvl w:ilvl="1">
      <w:lvlJc w:val="left"/>
      <w:lvlText w:val="(%2)"/>
      <w:numFmt w:val="lowerLetter"/>
      <w:start w:val="3"/>
    </w:lvl>
  </w:abstractNum>
  <w:abstractNum w:abstractNumId="3">
    <w:nsid w:val="625558EC"/>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2022-05-17T05:21:34Z</dcterms:created>
  <dcterms:modified xsi:type="dcterms:W3CDTF">2022-05-17T05:21:34Z</dcterms:modified>
</cp:coreProperties>
</file>