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STONEHOCKER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01/22/2024</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01/22/2024</w:t>
            </w:r>
          </w:p>
        </w:tc>
        <w:tc>
          <w:tcPr>
            <w:tcW w:w="116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01/22/2024</w:t>
            </w: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5,657</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990,176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September 7, 2022, August 3, 2023.</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4,299 shares of common stock acquired in November 2023 through the SoundHound AI, Inc. 2022 Employee Stock Purchase Plan.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STONEHOCKER</w:t>
      </w:r>
      <w:r>
        <w:rPr>
          <w:sz w:val="20"/>
          <w:szCs w:val="20"/>
          <w:color w:val="auto"/>
        </w:rPr>
        <w:tab/>
      </w:r>
      <w:r>
        <w:rPr>
          <w:rFonts w:ascii="Times New Roman" w:cs="Times New Roman" w:eastAsia="Times New Roman" w:hAnsi="Times New Roman"/>
          <w:sz w:val="17"/>
          <w:szCs w:val="17"/>
          <w:color w:val="0000FF"/>
        </w:rPr>
        <w:t>01/24/2024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TIMOTHY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6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139"/>
        <w:spacing w:after="0" w:line="284"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STONEHOCKER TIMOTHY - CIK # 0001921376</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1376"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2024-01-24T18:36:11Z</dcterms:created>
  <dcterms:modified xsi:type="dcterms:W3CDTF">2024-01-24T18:36:11Z</dcterms:modified>
</cp:coreProperties>
</file>