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12(g)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Archimedes Tech SPAC Partners Co.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jc w:val="center"/>
              <w:ind w:left="1490"/>
              <w:spacing w:after="0"/>
              <w:rPr>
                <w:sz w:val="20"/>
                <w:szCs w:val="20"/>
                <w:color w:val="auto"/>
              </w:rPr>
            </w:pPr>
            <w:r>
              <w:rPr>
                <w:rFonts w:ascii="Arial" w:cs="Arial" w:eastAsia="Arial" w:hAnsi="Arial"/>
                <w:sz w:val="18"/>
                <w:szCs w:val="18"/>
                <w:color w:val="auto"/>
                <w:w w:val="92"/>
              </w:rPr>
              <w:t>Delaware</w:t>
            </w:r>
          </w:p>
        </w:tc>
        <w:tc>
          <w:tcPr>
            <w:tcW w:w="7400" w:type="dxa"/>
            <w:vAlign w:val="bottom"/>
            <w:gridSpan w:val="3"/>
          </w:tcPr>
          <w:p>
            <w:pPr>
              <w:jc w:val="center"/>
              <w:ind w:left="1930"/>
              <w:spacing w:after="0"/>
              <w:rPr>
                <w:sz w:val="20"/>
                <w:szCs w:val="20"/>
                <w:color w:val="auto"/>
              </w:rPr>
            </w:pPr>
            <w:r>
              <w:rPr>
                <w:rFonts w:ascii="Arial" w:cs="Arial" w:eastAsia="Arial" w:hAnsi="Arial"/>
                <w:sz w:val="18"/>
                <w:szCs w:val="18"/>
                <w:color w:val="auto"/>
                <w:w w:val="89"/>
              </w:rPr>
              <w:t>86-1286799</w:t>
            </w:r>
          </w:p>
        </w:tc>
      </w:tr>
      <w:tr>
        <w:trPr>
          <w:trHeight w:val="195"/>
        </w:trPr>
        <w:tc>
          <w:tcPr>
            <w:tcW w:w="3840" w:type="dxa"/>
            <w:vAlign w:val="bottom"/>
            <w:tcBorders>
              <w:top w:val="single" w:sz="8" w:color="auto"/>
            </w:tcBorders>
          </w:tcPr>
          <w:p>
            <w:pPr>
              <w:jc w:val="center"/>
              <w:ind w:left="1470"/>
              <w:spacing w:after="0" w:line="195" w:lineRule="exact"/>
              <w:rPr>
                <w:sz w:val="20"/>
                <w:szCs w:val="20"/>
                <w:color w:val="auto"/>
              </w:rPr>
            </w:pPr>
            <w:r>
              <w:rPr>
                <w:rFonts w:ascii="Arial" w:cs="Arial" w:eastAsia="Arial" w:hAnsi="Arial"/>
                <w:sz w:val="18"/>
                <w:szCs w:val="18"/>
                <w:color w:val="auto"/>
                <w:w w:val="92"/>
              </w:rPr>
              <w:t>(State of Incorporation</w:t>
            </w:r>
          </w:p>
        </w:tc>
        <w:tc>
          <w:tcPr>
            <w:tcW w:w="156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53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3840" w:type="dxa"/>
            <w:vAlign w:val="bottom"/>
          </w:tcPr>
          <w:p>
            <w:pPr>
              <w:jc w:val="center"/>
              <w:ind w:left="1490"/>
              <w:spacing w:after="0"/>
              <w:rPr>
                <w:sz w:val="20"/>
                <w:szCs w:val="20"/>
                <w:color w:val="auto"/>
              </w:rPr>
            </w:pPr>
            <w:r>
              <w:rPr>
                <w:rFonts w:ascii="Arial" w:cs="Arial" w:eastAsia="Arial" w:hAnsi="Arial"/>
                <w:sz w:val="18"/>
                <w:szCs w:val="18"/>
                <w:color w:val="auto"/>
                <w:w w:val="91"/>
              </w:rPr>
              <w:t>or Organization)</w:t>
            </w:r>
          </w:p>
        </w:tc>
        <w:tc>
          <w:tcPr>
            <w:tcW w:w="1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77"/>
        </w:trPr>
        <w:tc>
          <w:tcPr>
            <w:tcW w:w="3840" w:type="dxa"/>
            <w:vAlign w:val="bottom"/>
          </w:tcPr>
          <w:p>
            <w:pPr>
              <w:spacing w:after="0"/>
              <w:rPr>
                <w:sz w:val="24"/>
                <w:szCs w:val="24"/>
                <w:color w:val="auto"/>
              </w:rPr>
            </w:pPr>
          </w:p>
        </w:tc>
        <w:tc>
          <w:tcPr>
            <w:tcW w:w="7400" w:type="dxa"/>
            <w:vAlign w:val="bottom"/>
            <w:gridSpan w:val="3"/>
          </w:tcPr>
          <w:p>
            <w:pPr>
              <w:jc w:val="center"/>
              <w:ind w:right="3750"/>
              <w:spacing w:after="0"/>
              <w:rPr>
                <w:sz w:val="20"/>
                <w:szCs w:val="20"/>
                <w:color w:val="auto"/>
              </w:rPr>
            </w:pPr>
            <w:r>
              <w:rPr>
                <w:rFonts w:ascii="Arial" w:cs="Arial" w:eastAsia="Arial" w:hAnsi="Arial"/>
                <w:sz w:val="18"/>
                <w:szCs w:val="18"/>
                <w:color w:val="auto"/>
                <w:w w:val="90"/>
              </w:rPr>
              <w:t>2093 Philadelphia Pike #1968</w:t>
            </w:r>
          </w:p>
        </w:tc>
      </w:tr>
      <w:tr>
        <w:trPr>
          <w:trHeight w:val="216"/>
        </w:trPr>
        <w:tc>
          <w:tcPr>
            <w:tcW w:w="3840" w:type="dxa"/>
            <w:vAlign w:val="bottom"/>
          </w:tcPr>
          <w:p>
            <w:pPr>
              <w:spacing w:after="0"/>
              <w:rPr>
                <w:sz w:val="18"/>
                <w:szCs w:val="18"/>
                <w:color w:val="auto"/>
              </w:rPr>
            </w:pPr>
          </w:p>
        </w:tc>
        <w:tc>
          <w:tcPr>
            <w:tcW w:w="7400" w:type="dxa"/>
            <w:vAlign w:val="bottom"/>
            <w:gridSpan w:val="3"/>
          </w:tcPr>
          <w:p>
            <w:pPr>
              <w:jc w:val="center"/>
              <w:ind w:right="3730"/>
              <w:spacing w:after="0"/>
              <w:rPr>
                <w:sz w:val="20"/>
                <w:szCs w:val="20"/>
                <w:color w:val="auto"/>
              </w:rPr>
            </w:pPr>
            <w:r>
              <w:rPr>
                <w:rFonts w:ascii="Arial" w:cs="Arial" w:eastAsia="Arial" w:hAnsi="Arial"/>
                <w:sz w:val="18"/>
                <w:szCs w:val="18"/>
                <w:color w:val="auto"/>
                <w:w w:val="92"/>
              </w:rPr>
              <w:t>Claymont, DE 19703</w:t>
            </w:r>
          </w:p>
        </w:tc>
      </w:tr>
      <w:tr>
        <w:trPr>
          <w:trHeight w:val="230"/>
        </w:trPr>
        <w:tc>
          <w:tcPr>
            <w:tcW w:w="3840" w:type="dxa"/>
            <w:vAlign w:val="bottom"/>
          </w:tcPr>
          <w:p>
            <w:pPr>
              <w:spacing w:after="0"/>
              <w:rPr>
                <w:sz w:val="20"/>
                <w:szCs w:val="20"/>
                <w:color w:val="auto"/>
              </w:rPr>
            </w:pPr>
          </w:p>
        </w:tc>
        <w:tc>
          <w:tcPr>
            <w:tcW w:w="7400" w:type="dxa"/>
            <w:vAlign w:val="bottom"/>
            <w:gridSpan w:val="3"/>
          </w:tcPr>
          <w:p>
            <w:pPr>
              <w:jc w:val="center"/>
              <w:ind w:right="3730"/>
              <w:spacing w:after="0"/>
              <w:rPr>
                <w:sz w:val="20"/>
                <w:szCs w:val="20"/>
                <w:color w:val="auto"/>
              </w:rPr>
            </w:pPr>
            <w:r>
              <w:rPr>
                <w:rFonts w:ascii="Arial" w:cs="Arial" w:eastAsia="Arial" w:hAnsi="Arial"/>
                <w:sz w:val="18"/>
                <w:szCs w:val="18"/>
                <w:color w:val="auto"/>
                <w:w w:val="92"/>
              </w:rPr>
              <w:t>(Address of Principal Executive Offices)</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12(b) of the Act:</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640" w:type="dxa"/>
            <w:vAlign w:val="bottom"/>
            <w:gridSpan w:val="2"/>
          </w:tcPr>
          <w:p>
            <w:pPr>
              <w:ind w:left="2540"/>
              <w:spacing w:after="0"/>
              <w:rPr>
                <w:sz w:val="20"/>
                <w:szCs w:val="20"/>
                <w:color w:val="auto"/>
              </w:rPr>
            </w:pPr>
            <w:r>
              <w:rPr>
                <w:rFonts w:ascii="Arial" w:cs="Arial" w:eastAsia="Arial" w:hAnsi="Arial"/>
                <w:sz w:val="18"/>
                <w:szCs w:val="18"/>
                <w:b w:val="1"/>
                <w:bCs w:val="1"/>
                <w:color w:val="auto"/>
              </w:rPr>
              <w:t>Title of Each Class</w:t>
            </w:r>
          </w:p>
        </w:tc>
        <w:tc>
          <w:tcPr>
            <w:tcW w:w="4600" w:type="dxa"/>
            <w:vAlign w:val="bottom"/>
          </w:tcPr>
          <w:p>
            <w:pPr>
              <w:jc w:val="center"/>
              <w:spacing w:after="0"/>
              <w:rPr>
                <w:sz w:val="20"/>
                <w:szCs w:val="20"/>
                <w:color w:val="auto"/>
              </w:rPr>
            </w:pPr>
            <w:r>
              <w:rPr>
                <w:rFonts w:ascii="Arial" w:cs="Arial" w:eastAsia="Arial" w:hAnsi="Arial"/>
                <w:sz w:val="18"/>
                <w:szCs w:val="18"/>
                <w:b w:val="1"/>
                <w:bCs w:val="1"/>
                <w:color w:val="auto"/>
                <w:w w:val="90"/>
              </w:rPr>
              <w:t>Name of Each Exchange on Which</w:t>
            </w:r>
          </w:p>
        </w:tc>
      </w:tr>
      <w:tr>
        <w:trPr>
          <w:trHeight w:val="241"/>
        </w:trPr>
        <w:tc>
          <w:tcPr>
            <w:tcW w:w="6640" w:type="dxa"/>
            <w:vAlign w:val="bottom"/>
            <w:gridSpan w:val="2"/>
          </w:tcPr>
          <w:p>
            <w:pPr>
              <w:ind w:left="2660"/>
              <w:spacing w:after="0"/>
              <w:rPr>
                <w:sz w:val="20"/>
                <w:szCs w:val="20"/>
                <w:color w:val="auto"/>
              </w:rPr>
            </w:pPr>
            <w:r>
              <w:rPr>
                <w:rFonts w:ascii="Arial" w:cs="Arial" w:eastAsia="Arial" w:hAnsi="Arial"/>
                <w:sz w:val="18"/>
                <w:szCs w:val="18"/>
                <w:b w:val="1"/>
                <w:bCs w:val="1"/>
                <w:color w:val="auto"/>
              </w:rPr>
              <w:t>to be Registered</w:t>
            </w:r>
          </w:p>
        </w:tc>
        <w:tc>
          <w:tcPr>
            <w:tcW w:w="4600" w:type="dxa"/>
            <w:vAlign w:val="bottom"/>
          </w:tcPr>
          <w:p>
            <w:pPr>
              <w:jc w:val="center"/>
              <w:spacing w:after="0"/>
              <w:rPr>
                <w:sz w:val="20"/>
                <w:szCs w:val="20"/>
                <w:color w:val="auto"/>
              </w:rPr>
            </w:pPr>
            <w:r>
              <w:rPr>
                <w:rFonts w:ascii="Arial" w:cs="Arial" w:eastAsia="Arial" w:hAnsi="Arial"/>
                <w:sz w:val="18"/>
                <w:szCs w:val="18"/>
                <w:b w:val="1"/>
                <w:bCs w:val="1"/>
                <w:color w:val="auto"/>
                <w:w w:val="86"/>
              </w:rPr>
              <w:t>Each Class is to be Registered</w:t>
            </w:r>
          </w:p>
        </w:tc>
      </w:tr>
      <w:tr>
        <w:trPr>
          <w:trHeight w:val="216"/>
        </w:trPr>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Units, each consisting of one subunit and one-quarter of one warrant</w:t>
            </w:r>
          </w:p>
        </w:tc>
        <w:tc>
          <w:tcPr>
            <w:tcW w:w="120" w:type="dxa"/>
            <w:vAlign w:val="bottom"/>
            <w:tcBorders>
              <w:top w:val="single" w:sz="8" w:color="CCEEFF"/>
            </w:tcBorders>
            <w:shd w:val="clear" w:color="auto" w:fill="CCEEFF"/>
          </w:tcPr>
          <w:p>
            <w:pPr>
              <w:spacing w:after="0"/>
              <w:rPr>
                <w:sz w:val="18"/>
                <w:szCs w:val="18"/>
                <w:color w:val="auto"/>
              </w:rPr>
            </w:pPr>
          </w:p>
        </w:tc>
        <w:tc>
          <w:tcPr>
            <w:tcW w:w="4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0" w:type="dxa"/>
            <w:vAlign w:val="bottom"/>
          </w:tcPr>
          <w:p>
            <w:pPr>
              <w:spacing w:after="0"/>
              <w:rPr>
                <w:sz w:val="18"/>
                <w:szCs w:val="18"/>
                <w:color w:val="auto"/>
              </w:rPr>
            </w:pPr>
          </w:p>
        </w:tc>
      </w:tr>
      <w:tr>
        <w:trPr>
          <w:trHeight w:val="198"/>
        </w:trPr>
        <w:tc>
          <w:tcPr>
            <w:tcW w:w="66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89"/>
              </w:rPr>
              <w:t>Subunits included as part of the units, each consisting of one share of common stock,</w:t>
            </w:r>
          </w:p>
        </w:tc>
        <w:tc>
          <w:tcPr>
            <w:tcW w:w="4600" w:type="dxa"/>
            <w:vAlign w:val="bottom"/>
            <w:shd w:val="clear" w:color="auto" w:fill="CCEEFF"/>
          </w:tcPr>
          <w:p>
            <w:pPr>
              <w:spacing w:after="0"/>
              <w:rPr>
                <w:sz w:val="17"/>
                <w:szCs w:val="17"/>
                <w:color w:val="auto"/>
              </w:rPr>
            </w:pPr>
          </w:p>
        </w:tc>
      </w:tr>
      <w:tr>
        <w:trPr>
          <w:trHeight w:val="234"/>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$0.0001 par value, and one-quarter of one warrant</w:t>
            </w:r>
          </w:p>
        </w:tc>
        <w:tc>
          <w:tcPr>
            <w:tcW w:w="4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Common Stock, par value $0.0001 per share</w:t>
            </w:r>
          </w:p>
        </w:tc>
        <w:tc>
          <w:tcPr>
            <w:tcW w:w="4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Redeemable warrants</w:t>
            </w:r>
          </w:p>
        </w:tc>
        <w:tc>
          <w:tcPr>
            <w:tcW w:w="4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0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Securities Act Registration Statement or Regulation A offering statement file number to which this form relates 333-253108 (if applicable)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 w:name="page2"/>
    <w:bookmarkEnd w:id="1"/>
    <w:p>
      <w:pPr>
        <w:ind w:left="120"/>
        <w:spacing w:after="0"/>
        <w:tabs>
          <w:tab w:leader="none" w:pos="1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 description of the units, subunits, common stock and redeemable warrants to be registered hereunder is contained in the section entitled “Description of Securities” in the Prospectus included in Archimedes Tech SPAC Partners Co.’s (the “Registrant”) Registration Statement on Form S-1 (Registration No. 333-253108) initially filed with the Securities and Exchange Commission on February 12, 2021, as amended from time to time (the “Registration Statement”). This information is incorporated herein by reference. Any form of prospectus or prospectus supplement to the Registration Statement that includes such descriptions and that are filed subsequently to the Registration Statement are hereby also incorporated by reference herein.</w:t>
      </w:r>
    </w:p>
    <w:p>
      <w:pPr>
        <w:spacing w:after="0" w:line="157" w:lineRule="exact"/>
        <w:rPr>
          <w:sz w:val="20"/>
          <w:szCs w:val="20"/>
          <w:color w:val="auto"/>
        </w:rPr>
      </w:pPr>
    </w:p>
    <w:p>
      <w:pPr>
        <w:ind w:left="120"/>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Under the Instructions as to Exhibits with respect to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012"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2021</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ARCHIMEDES TECH SPAC PARTNERS CO.</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ind w:left="7320"/>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N. Cannon</w:t>
            </w:r>
          </w:p>
        </w:tc>
      </w:tr>
      <w:tr>
        <w:trPr>
          <w:trHeight w:val="195"/>
        </w:trPr>
        <w:tc>
          <w:tcPr>
            <w:tcW w:w="7860" w:type="dxa"/>
            <w:vAlign w:val="bottom"/>
          </w:tcPr>
          <w:p>
            <w:pPr>
              <w:ind w:left="7320"/>
              <w:spacing w:after="0" w:line="195" w:lineRule="exact"/>
              <w:rPr>
                <w:sz w:val="20"/>
                <w:szCs w:val="20"/>
                <w:color w:val="auto"/>
              </w:rPr>
            </w:pPr>
            <w:r>
              <w:rPr>
                <w:rFonts w:ascii="Arial" w:cs="Arial" w:eastAsia="Arial" w:hAnsi="Arial"/>
                <w:sz w:val="18"/>
                <w:szCs w:val="18"/>
                <w:color w:val="auto"/>
                <w:w w:val="98"/>
              </w:rPr>
              <w:t>Name:</w:t>
            </w:r>
          </w:p>
        </w:tc>
        <w:tc>
          <w:tcPr>
            <w:tcW w:w="3380" w:type="dxa"/>
            <w:vAlign w:val="bottom"/>
          </w:tcPr>
          <w:p>
            <w:pPr>
              <w:ind w:left="60"/>
              <w:spacing w:after="0" w:line="195" w:lineRule="exact"/>
              <w:rPr>
                <w:sz w:val="20"/>
                <w:szCs w:val="20"/>
                <w:color w:val="auto"/>
              </w:rPr>
            </w:pPr>
            <w:r>
              <w:rPr>
                <w:rFonts w:ascii="Arial" w:cs="Arial" w:eastAsia="Arial" w:hAnsi="Arial"/>
                <w:sz w:val="18"/>
                <w:szCs w:val="18"/>
                <w:color w:val="auto"/>
              </w:rPr>
              <w:t>Stephen N. Cannon</w:t>
            </w:r>
          </w:p>
        </w:tc>
      </w:tr>
      <w:tr>
        <w:trPr>
          <w:trHeight w:val="230"/>
        </w:trPr>
        <w:tc>
          <w:tcPr>
            <w:tcW w:w="7860" w:type="dxa"/>
            <w:vAlign w:val="bottom"/>
          </w:tcPr>
          <w:p>
            <w:pPr>
              <w:ind w:left="7320"/>
              <w:spacing w:after="0"/>
              <w:rPr>
                <w:sz w:val="20"/>
                <w:szCs w:val="20"/>
                <w:color w:val="auto"/>
              </w:rPr>
            </w:pPr>
            <w:r>
              <w:rPr>
                <w:rFonts w:ascii="Arial" w:cs="Arial" w:eastAsia="Arial" w:hAnsi="Arial"/>
                <w:sz w:val="18"/>
                <w:szCs w:val="18"/>
                <w:color w:val="auto"/>
              </w:rPr>
              <w:t>Title:</w:t>
            </w:r>
          </w:p>
        </w:tc>
        <w:tc>
          <w:tcPr>
            <w:tcW w:w="33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709"/>
        </w:trPr>
        <w:tc>
          <w:tcPr>
            <w:tcW w:w="78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0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2021-03-10T10:00:19Z</dcterms:created>
  <dcterms:modified xsi:type="dcterms:W3CDTF">2021-03-10T10:00:19Z</dcterms:modified>
</cp:coreProperties>
</file>