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(Amendment No.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9"/>
        <w:spacing w:after="0"/>
        <w:rPr>
          <w:sz w:val="20"/>
          <w:szCs w:val="20"/>
          <w:color w:val="auto"/>
        </w:rPr>
      </w:pPr>
      <w:r>
        <w:rPr>
          <w:rFonts w:ascii="Arial" w:cs="Arial" w:eastAsia="Arial" w:hAnsi="Arial"/>
          <w:sz w:val="40"/>
          <w:szCs w:val="40"/>
          <w:b w:val="1"/>
          <w:bCs w:val="1"/>
          <w:color w:val="auto"/>
        </w:rPr>
        <w:t>Archimedes Tech SPAC Partners Co.</w:t>
      </w:r>
    </w:p>
    <w:p>
      <w:pPr>
        <w:spacing w:after="0" w:line="3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39562202</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March 15, 2021</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219075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60" w:right="80" w:hanging="452"/>
        <w:spacing w:after="0" w:line="308"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(Continued on the Following Pages)</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(Page 1 of 10 Pages)</w:t>
      </w:r>
    </w:p>
    <w:p>
      <w:pPr>
        <w:sectPr>
          <w:pgSz w:w="11900" w:h="16838" w:orient="portrait"/>
          <w:cols w:equalWidth="0" w:num="1">
            <w:col w:w="11060"/>
          </w:cols>
          <w:pgMar w:left="320"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2 of 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CUSIP No. 39562202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50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LINDEN CAPITAL L.P.</w:t>
            </w:r>
          </w:p>
        </w:tc>
        <w:tc>
          <w:tcPr>
            <w:tcW w:w="0" w:type="dxa"/>
            <w:vAlign w:val="bottom"/>
          </w:tcPr>
          <w:p>
            <w:pPr>
              <w:spacing w:after="0"/>
              <w:rPr>
                <w:sz w:val="1"/>
                <w:szCs w:val="1"/>
                <w:color w:val="auto"/>
              </w:rPr>
            </w:pPr>
          </w:p>
        </w:tc>
      </w:tr>
      <w:tr>
        <w:trPr>
          <w:trHeight w:val="169"/>
        </w:trPr>
        <w:tc>
          <w:tcPr>
            <w:tcW w:w="50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7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5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50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Bermuda</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779,490</w:t>
            </w: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3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0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779,490</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9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779,490</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PN</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3 of 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CUSIP No. 39562202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0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LINDEN GP LLC</w:t>
            </w:r>
          </w:p>
        </w:tc>
        <w:tc>
          <w:tcPr>
            <w:tcW w:w="0" w:type="dxa"/>
            <w:vAlign w:val="bottom"/>
          </w:tcPr>
          <w:p>
            <w:pPr>
              <w:spacing w:after="0"/>
              <w:rPr>
                <w:sz w:val="1"/>
                <w:szCs w:val="1"/>
                <w:color w:val="auto"/>
              </w:rPr>
            </w:pPr>
          </w:p>
        </w:tc>
      </w:tr>
      <w:tr>
        <w:trPr>
          <w:trHeight w:val="169"/>
        </w:trPr>
        <w:tc>
          <w:tcPr>
            <w:tcW w:w="50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7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5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50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7"/>
              </w:rPr>
              <w:t>Delaware</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779,490</w:t>
            </w: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3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0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779,490</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9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779,490</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HC</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4 of 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CUSIP No. 39562202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0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LINDEN ADVISORS LP</w:t>
            </w:r>
          </w:p>
        </w:tc>
        <w:tc>
          <w:tcPr>
            <w:tcW w:w="0" w:type="dxa"/>
            <w:vAlign w:val="bottom"/>
          </w:tcPr>
          <w:p>
            <w:pPr>
              <w:spacing w:after="0"/>
              <w:rPr>
                <w:sz w:val="1"/>
                <w:szCs w:val="1"/>
                <w:color w:val="auto"/>
              </w:rPr>
            </w:pPr>
          </w:p>
        </w:tc>
      </w:tr>
      <w:tr>
        <w:trPr>
          <w:trHeight w:val="169"/>
        </w:trPr>
        <w:tc>
          <w:tcPr>
            <w:tcW w:w="50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7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5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50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7"/>
              </w:rPr>
              <w:t>Delaware</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830,000</w:t>
            </w: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3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0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830,000</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9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830,000</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IA, PN</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5 of 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CUSIP No. 39562202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0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76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SIU MIN WONG</w:t>
            </w:r>
          </w:p>
        </w:tc>
        <w:tc>
          <w:tcPr>
            <w:tcW w:w="0" w:type="dxa"/>
            <w:vAlign w:val="bottom"/>
          </w:tcPr>
          <w:p>
            <w:pPr>
              <w:spacing w:after="0"/>
              <w:rPr>
                <w:sz w:val="1"/>
                <w:szCs w:val="1"/>
                <w:color w:val="auto"/>
              </w:rPr>
            </w:pPr>
          </w:p>
        </w:tc>
      </w:tr>
      <w:tr>
        <w:trPr>
          <w:trHeight w:val="169"/>
        </w:trPr>
        <w:tc>
          <w:tcPr>
            <w:tcW w:w="50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76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0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50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50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50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3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China (Hong Kong) and USA</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830,000</w:t>
            </w: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92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3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0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50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830,000</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9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830,000</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7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50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 HC</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6 of 10</w:t>
      </w:r>
    </w:p>
    <w:p>
      <w:pPr>
        <w:spacing w:after="0" w:line="15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Archimedes Tech SPAC Partners Co. (the “Issuer”).</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2093 Philadelphia Pike #1968</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Claymont, DE 19703</w:t>
      </w: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131" w:lineRule="exact"/>
        <w:rPr>
          <w:sz w:val="20"/>
          <w:szCs w:val="20"/>
          <w:color w:val="auto"/>
        </w:rPr>
      </w:pPr>
    </w:p>
    <w:p>
      <w:pPr>
        <w:ind w:left="1460" w:hanging="453"/>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Linden Capital L.P., a Bermuda limited partnership (“Linden Capital”);</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Linden GP LLC, a Delaware limited liability company (“Linden GP”);</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Linden Advisors LP, a Delaware limited partnership (“Linden Advisors”); and</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Siu Min (Joe) Wong (“Mr. Wong”).</w:t>
      </w:r>
    </w:p>
    <w:p>
      <w:pPr>
        <w:spacing w:after="0" w:line="225" w:lineRule="exact"/>
        <w:rPr>
          <w:sz w:val="20"/>
          <w:szCs w:val="20"/>
          <w:color w:val="auto"/>
        </w:rPr>
      </w:pPr>
    </w:p>
    <w:p>
      <w:pPr>
        <w:ind w:right="260" w:firstLine="449"/>
        <w:spacing w:after="0" w:line="287" w:lineRule="auto"/>
        <w:rPr>
          <w:sz w:val="20"/>
          <w:szCs w:val="20"/>
          <w:color w:val="auto"/>
        </w:rPr>
      </w:pPr>
      <w:r>
        <w:rPr>
          <w:rFonts w:ascii="Arial" w:cs="Arial" w:eastAsia="Arial" w:hAnsi="Arial"/>
          <w:sz w:val="16"/>
          <w:szCs w:val="16"/>
          <w:color w:val="auto"/>
        </w:rPr>
        <w:t>This Statement relates to Shares (as defined herein) held for the account of Linden Capital and one or more separately managed accounts (the “Managed Accounts”). Linden GP is the general partner of Linden Capital and, in such capacity, may be deemed to beneficially own the Shares held by Linden Capital. Linden Advisors is the investment manager of Linden Capital and trading advisor or investment advisor for the Managed Accounts.</w:t>
      </w:r>
    </w:p>
    <w:p>
      <w:pPr>
        <w:spacing w:after="0" w:line="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Mr. Wong is the principal owner and controlling person of Linden Advisors and Linden GP. In such capacities, Linden Advisors and Mr. Wong may each be deemed to beneficially own the Shares held by each of Linden Capital and the Managed Accounts.</w:t>
      </w:r>
    </w:p>
    <w:p>
      <w:pPr>
        <w:spacing w:after="0" w:line="33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principal business address for Linden Capital is Victoria Place, 31 Victoria Street, Hamilton HM10, Bermuda. The principal business address for each of Linden Advisors, Linden GP and Mr. Wong is 590 Madison Avenue, 15th Floor, New York, New York 10022.</w:t>
      </w:r>
    </w:p>
    <w:p>
      <w:pPr>
        <w:spacing w:after="0" w:line="3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35" w:lineRule="exact"/>
        <w:rPr>
          <w:sz w:val="20"/>
          <w:szCs w:val="20"/>
          <w:color w:val="auto"/>
        </w:rPr>
      </w:pPr>
    </w:p>
    <w:p>
      <w:pPr>
        <w:ind w:left="1460" w:hanging="453"/>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Linden Capital is a Bermuda limited partnership.</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Linden GP is a Delaware limited liability company.</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Linden Advisors is a Delaware limited partnership.</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Wong is a citizen of China (Hong Kong) and the United States.</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par value $0.0001 per share (the “Shares”).</w:t>
      </w:r>
    </w:p>
    <w:p>
      <w:pPr>
        <w:sectPr>
          <w:pgSz w:w="11900" w:h="16838" w:orient="portrait"/>
          <w:cols w:equalWidth="0" w:num="1">
            <w:col w:w="11200"/>
          </w:cols>
          <w:pgMar w:left="320" w:top="274"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7 of 10</w:t>
      </w:r>
    </w:p>
    <w:p>
      <w:pPr>
        <w:spacing w:after="0" w:line="15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 xml:space="preserve">CUSIP Number: </w:t>
      </w:r>
      <w:r>
        <w:rPr>
          <w:rFonts w:ascii="Arial" w:cs="Arial" w:eastAsia="Arial" w:hAnsi="Arial"/>
          <w:sz w:val="16"/>
          <w:szCs w:val="16"/>
          <w:color w:val="auto"/>
        </w:rPr>
        <w:t>39562202</w:t>
      </w:r>
    </w:p>
    <w:p>
      <w:pPr>
        <w:spacing w:after="0" w:line="13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Item 3 is not applicable.</w:t>
      </w:r>
    </w:p>
    <w:p>
      <w:pPr>
        <w:sectPr>
          <w:pgSz w:w="11900" w:h="16838" w:orient="portrait"/>
          <w:cols w:equalWidth="0" w:num="1">
            <w:col w:w="11220"/>
          </w:cols>
          <w:pgMar w:left="320" w:top="274" w:right="359" w:bottom="1440" w:gutter="0" w:footer="0" w:header="0"/>
        </w:sectPr>
      </w:pPr>
    </w:p>
    <w:p>
      <w:pPr>
        <w:spacing w:after="0" w:line="370" w:lineRule="exact"/>
        <w:rPr>
          <w:sz w:val="20"/>
          <w:szCs w:val="20"/>
          <w:color w:val="auto"/>
        </w:rPr>
      </w:pPr>
    </w:p>
    <w:p>
      <w:pPr>
        <w:spacing w:after="0" w:line="408" w:lineRule="auto"/>
        <w:rPr>
          <w:sz w:val="20"/>
          <w:szCs w:val="20"/>
          <w:color w:val="auto"/>
        </w:rPr>
      </w:pPr>
      <w:r>
        <w:rPr>
          <w:rFonts w:ascii="Arial" w:cs="Arial" w:eastAsia="Arial" w:hAnsi="Arial"/>
          <w:sz w:val="17"/>
          <w:szCs w:val="17"/>
          <w:b w:val="1"/>
          <w:bCs w:val="1"/>
          <w:color w:val="auto"/>
        </w:rPr>
        <w:t>Item 4. Item 4(a)</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Beneficially Owned:</w:t>
      </w:r>
    </w:p>
    <w:p>
      <w:pPr>
        <w:spacing w:after="0" w:line="144" w:lineRule="exact"/>
        <w:rPr>
          <w:sz w:val="20"/>
          <w:szCs w:val="20"/>
          <w:color w:val="auto"/>
        </w:rPr>
      </w:pPr>
    </w:p>
    <w:p>
      <w:pPr>
        <w:sectPr>
          <w:pgSz w:w="11900" w:h="16838" w:orient="portrait"/>
          <w:cols w:equalWidth="0" w:num="2">
            <w:col w:w="720" w:space="400"/>
            <w:col w:w="10100"/>
          </w:cols>
          <w:pgMar w:left="320" w:top="274" w:right="359" w:bottom="1440" w:gutter="0" w:footer="0" w:header="0"/>
          <w:type w:val="continuous"/>
        </w:sectPr>
      </w:pPr>
    </w:p>
    <w:p>
      <w:pPr>
        <w:ind w:firstLine="449"/>
        <w:spacing w:after="0" w:line="263" w:lineRule="auto"/>
        <w:rPr>
          <w:sz w:val="20"/>
          <w:szCs w:val="20"/>
          <w:color w:val="auto"/>
        </w:rPr>
      </w:pPr>
      <w:r>
        <w:rPr>
          <w:rFonts w:ascii="Arial" w:cs="Arial" w:eastAsia="Arial" w:hAnsi="Arial"/>
          <w:sz w:val="18"/>
          <w:szCs w:val="18"/>
          <w:color w:val="auto"/>
        </w:rPr>
        <w:t>As of March 15, 2021, each of Linden Advisors and Mr. Wong may be deemed the beneficial owner of 830,000 Shares. This 830,000 amount consists of 779,490 Shares held by Linden Capital and 50,510 Shares held by the Managed Accounts. As of March 15, 2021 each of Linden GP and Linden Capital may be deemed the beneficial owner of the 779,490 Shares held by Linden Capital.</w:t>
      </w:r>
    </w:p>
    <w:p>
      <w:pPr>
        <w:spacing w:after="0" w:line="32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121"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As of March 15, 2021, each of Linden Advisors and Mr. Wong may be deemed the beneficial owner of approximately 5.1% of Shares outstanding, and each of Linden GP and Linden Capital may be deemed the beneficial owner of approximately 4.8% of Shares outstanding. These percentages are based on the 16,260,000 Shares presumed to be outstanding based on the Issuer’s Current Report on Form 8-K filed on March 16,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4(c)</w:t>
            </w:r>
          </w:p>
        </w:tc>
        <w:tc>
          <w:tcPr>
            <w:tcW w:w="6420" w:type="dxa"/>
            <w:vAlign w:val="bottom"/>
            <w:gridSpan w:val="6"/>
          </w:tcPr>
          <w:p>
            <w:pPr>
              <w:ind w:left="200"/>
              <w:spacing w:after="0"/>
              <w:rPr>
                <w:sz w:val="20"/>
                <w:szCs w:val="20"/>
                <w:color w:val="auto"/>
              </w:rPr>
            </w:pPr>
            <w:r>
              <w:rPr>
                <w:rFonts w:ascii="Arial" w:cs="Arial" w:eastAsia="Arial" w:hAnsi="Arial"/>
                <w:sz w:val="18"/>
                <w:szCs w:val="18"/>
                <w:b w:val="1"/>
                <w:bCs w:val="1"/>
                <w:color w:val="auto"/>
              </w:rPr>
              <w:t>Number of Shares as to which such person has:</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90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1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55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 of March 15, 2021:</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242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b w:val="1"/>
                <w:bCs w:val="1"/>
                <w:color w:val="auto"/>
                <w:w w:val="91"/>
              </w:rPr>
              <w:t>Linden Capital and Linden GP:</w:t>
            </w:r>
          </w:p>
        </w:tc>
        <w:tc>
          <w:tcPr>
            <w:tcW w:w="3080" w:type="dxa"/>
            <w:vAlign w:val="bottom"/>
            <w:gridSpan w:val="2"/>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(i) Sole power to vote or direct the vote:</w:t>
            </w:r>
          </w:p>
        </w:tc>
        <w:tc>
          <w:tcPr>
            <w:tcW w:w="21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(ii) Shared power to vote or direct the vote:</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779,490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Arial" w:cs="Arial" w:eastAsia="Arial" w:hAnsi="Arial"/>
                <w:sz w:val="18"/>
                <w:szCs w:val="18"/>
                <w:color w:val="auto"/>
              </w:rPr>
              <w:t>(iii) Sole power to dispose or direct the disposition of:</w:t>
            </w:r>
          </w:p>
        </w:tc>
        <w:tc>
          <w:tcPr>
            <w:tcW w:w="21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(iv) Shared power to dispose or direct the disposition of:</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779,490</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18"/>
                <w:szCs w:val="18"/>
                <w:b w:val="1"/>
                <w:bCs w:val="1"/>
                <w:color w:val="auto"/>
                <w:w w:val="90"/>
              </w:rPr>
              <w:t>Linden Advisors and Mr. Wong:</w:t>
            </w:r>
          </w:p>
        </w:tc>
        <w:tc>
          <w:tcPr>
            <w:tcW w:w="30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(i) Sole power to vote or direct the vote:</w:t>
            </w:r>
          </w:p>
        </w:tc>
        <w:tc>
          <w:tcPr>
            <w:tcW w:w="21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(ii) Shared power to vote or direct the vote:</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4"/>
          </w:tcPr>
          <w:p>
            <w:pPr>
              <w:spacing w:after="0"/>
              <w:rPr>
                <w:sz w:val="20"/>
                <w:szCs w:val="20"/>
                <w:color w:val="auto"/>
              </w:rPr>
            </w:pPr>
            <w:r>
              <w:rPr>
                <w:rFonts w:ascii="Arial" w:cs="Arial" w:eastAsia="Arial" w:hAnsi="Arial"/>
                <w:sz w:val="18"/>
                <w:szCs w:val="18"/>
                <w:color w:val="auto"/>
              </w:rPr>
              <w:t>(iii) Sole power to dispose or direct the disposition of:</w:t>
            </w:r>
          </w:p>
        </w:tc>
        <w:tc>
          <w:tcPr>
            <w:tcW w:w="210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(iv) Shared power to dispose or direct the disposition of:</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830,000</w:t>
            </w:r>
          </w:p>
        </w:tc>
        <w:tc>
          <w:tcPr>
            <w:tcW w:w="0" w:type="dxa"/>
            <w:vAlign w:val="bottom"/>
          </w:tcPr>
          <w:p>
            <w:pPr>
              <w:spacing w:after="0"/>
              <w:rPr>
                <w:sz w:val="1"/>
                <w:szCs w:val="1"/>
                <w:color w:val="auto"/>
              </w:rPr>
            </w:pPr>
          </w:p>
        </w:tc>
      </w:tr>
    </w:tbl>
    <w:p>
      <w:pPr>
        <w:sectPr>
          <w:pgSz w:w="11900" w:h="16838" w:orient="portrait"/>
          <w:cols w:equalWidth="0" w:num="1">
            <w:col w:w="11220"/>
          </w:cols>
          <w:pgMar w:left="320" w:top="274"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8 of 10</w:t>
      </w:r>
    </w:p>
    <w:p>
      <w:pPr>
        <w:spacing w:after="0" w:line="15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Item 5 is not applicable.</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disclosure in Items 2 and 4 hereof.</w:t>
      </w:r>
    </w:p>
    <w:p>
      <w:pPr>
        <w:spacing w:after="0" w:line="370" w:lineRule="exact"/>
        <w:rPr>
          <w:sz w:val="20"/>
          <w:szCs w:val="20"/>
          <w:color w:val="auto"/>
        </w:rPr>
      </w:pPr>
    </w:p>
    <w:p>
      <w:pPr>
        <w:ind w:left="1120" w:right="740" w:hanging="1119"/>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disclosure in Item 2 hereof.</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Exhibit A attached hereto.</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item 9 is not applicable.</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pacing w:after="0" w:line="33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Materials to Be Filed as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Statement</w:t>
      </w:r>
    </w:p>
    <w:p>
      <w:pPr>
        <w:sectPr>
          <w:pgSz w:w="11900" w:h="16838" w:orient="portrait"/>
          <w:cols w:equalWidth="0" w:num="1">
            <w:col w:w="11200"/>
          </w:cols>
          <w:pgMar w:left="320" w:top="274"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9 of 10</w:t>
      </w:r>
    </w:p>
    <w:p>
      <w:pPr>
        <w:spacing w:after="0" w:line="15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After reasonable inquiry and to the best of its knowledge and belief, I certify that the information with respect to it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18,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LINDEN CAPITAL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Linden GP LLC, its general partner</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wp:posOffset>
            </wp:positionV>
            <wp:extent cx="2383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Saul Ahn,</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LINDEN 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26142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Saul Ahn,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LINDEN ADVISORS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26142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Saul Ahn,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General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SIU MIN WONG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26142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Saul Ahn, Attorney-in-Fact for Siu Min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886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78" w:lineRule="exact"/>
        <w:rPr>
          <w:sz w:val="20"/>
          <w:szCs w:val="20"/>
          <w:color w:val="auto"/>
        </w:rPr>
      </w:pPr>
    </w:p>
    <w:p>
      <w:pPr>
        <w:ind w:left="4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Duly authorized under Siu Min Wong’s Power of Attorney, dated June 10, 2019, incorporated herein by reference to Exhibit B of the statement on Schedule 13G filed by Linden Capital L.P. on June 19, 2019 in respect of its holdings in Haymaker Acquisition Corp II.</w:t>
      </w:r>
    </w:p>
    <w:p>
      <w:pPr>
        <w:sectPr>
          <w:pgSz w:w="11900" w:h="16838" w:orient="portrait"/>
          <w:cols w:equalWidth="0" w:num="1">
            <w:col w:w="10980"/>
          </w:cols>
          <w:pgMar w:left="320" w:top="274" w:right="5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Page 10 of 10</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undersigned hereby agree that the statement on Schedule 13G with respect to the Common Stock of Archimedes Tech SPAC Partners Co. dated as of March 15, 2021 is, and any further amendments thereto signed by each of the undersigned shall be, filed on behalf of each of us pursuant to and in accordance with the provisions of Rule 13d-1(k) under the Securities Exchange Act of 1934, as amended.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March 18,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LINDEN CAPITAL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Linden GP LLC, its general partner</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wp:posOffset>
            </wp:positionV>
            <wp:extent cx="23831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Saul Ahn,</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LINDEN 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26142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Saul Ahn,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LINDEN ADVISORS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26142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Saul Ahn,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General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SIU MIN WONG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Saul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26142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Saul Ahn, Attorney-in-Fact for Siu Min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88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78" w:lineRule="exact"/>
        <w:rPr>
          <w:sz w:val="20"/>
          <w:szCs w:val="20"/>
          <w:color w:val="auto"/>
        </w:rPr>
      </w:pPr>
    </w:p>
    <w:p>
      <w:pPr>
        <w:ind w:left="560" w:right="160" w:hanging="552"/>
        <w:spacing w:after="0" w:line="27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Duly authorized under Siu Min Wong’s Power of Attorney, dated June 10, 2019, incorporated herein by reference to Exhibit B of the statement on Schedule 13G filed by Linden Capital L.P. on June 19, 2019 in respect of its holdings in Haymaker Acquisition Corp II.</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2021-03-19T05:32:34Z</dcterms:created>
  <dcterms:modified xsi:type="dcterms:W3CDTF">2021-03-19T05:32:34Z</dcterms:modified>
</cp:coreProperties>
</file>